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3390" w:rsidRDefault="00FD3E67">
      <w:pPr>
        <w:pStyle w:val="null3"/>
        <w:jc w:val="center"/>
        <w:outlineLvl w:val="1"/>
        <w:rPr>
          <w:rFonts w:hint="default"/>
        </w:rPr>
      </w:pPr>
      <w:r>
        <w:rPr>
          <w:b/>
          <w:sz w:val="36"/>
        </w:rPr>
        <w:t>第三章</w:t>
      </w:r>
      <w:r>
        <w:rPr>
          <w:b/>
          <w:sz w:val="36"/>
        </w:rPr>
        <w:t xml:space="preserve"> </w:t>
      </w:r>
      <w:r>
        <w:rPr>
          <w:b/>
          <w:sz w:val="36"/>
        </w:rPr>
        <w:t>磋商项目技术、服务、商务及其他要求</w:t>
      </w:r>
    </w:p>
    <w:p w:rsidR="00093390" w:rsidRDefault="00FD3E67">
      <w:pPr>
        <w:pStyle w:val="null3"/>
        <w:ind w:firstLine="480"/>
        <w:rPr>
          <w:rFonts w:hint="default"/>
        </w:rPr>
      </w:pPr>
      <w:r>
        <w:t xml:space="preserve"> </w:t>
      </w:r>
      <w:r>
        <w:t>（注：带“★”的参数需求为实质性要求，供应商必须响应并满足的参数需求，采购人、采购代理机构应当根据项目实际需求合理设定，并明确具体要求。带“▲”号条款为允许负偏离的参数需求，若未响应或者不满足，将在综合评审中予以扣分处理。）</w:t>
      </w:r>
    </w:p>
    <w:p w:rsidR="00093390" w:rsidRDefault="00FD3E67">
      <w:pPr>
        <w:pStyle w:val="null3"/>
        <w:outlineLvl w:val="2"/>
        <w:rPr>
          <w:rFonts w:hint="default"/>
        </w:rPr>
      </w:pPr>
      <w:r>
        <w:rPr>
          <w:b/>
          <w:sz w:val="28"/>
        </w:rPr>
        <w:t>3.1</w:t>
      </w:r>
      <w:r>
        <w:rPr>
          <w:b/>
          <w:sz w:val="28"/>
        </w:rPr>
        <w:t>、采购项目概况</w:t>
      </w:r>
    </w:p>
    <w:p w:rsidR="00093390" w:rsidRDefault="00093390">
      <w:pPr>
        <w:pStyle w:val="null3"/>
        <w:ind w:firstLine="480"/>
        <w:rPr>
          <w:rFonts w:hint="default"/>
        </w:rPr>
      </w:pPr>
    </w:p>
    <w:p w:rsidR="00093390" w:rsidRDefault="00093390">
      <w:pPr>
        <w:pStyle w:val="null3"/>
        <w:rPr>
          <w:rFonts w:hint="default"/>
        </w:rPr>
      </w:pPr>
    </w:p>
    <w:p w:rsidR="00093390" w:rsidRDefault="00FD3E67">
      <w:pPr>
        <w:pStyle w:val="null3"/>
        <w:rPr>
          <w:rFonts w:hint="default"/>
        </w:rPr>
      </w:pPr>
      <w:r>
        <w:t>河湖健康评价是掌握河湖健康状态、分析河湖问题的重要手段，是编制“一河（湖）一策”、实施河湖系统治理的重要依据，是河湖长组织领导河湖管理保护工作、检验河湖管理保护工作成效的重要参考，各地通过开展河湖健康评价、建立河湖健康档案，科学、动态掌握河湖健康状况，为管理、保护、治理河湖提供有力支撑。河湖健康评价作为重点工作之一，并纳入全省河湖长制工作考核内容。完成安昌河、梓江、魏城河健康评价工作。</w:t>
      </w:r>
    </w:p>
    <w:p w:rsidR="00093390" w:rsidRDefault="00FD3E67">
      <w:pPr>
        <w:pStyle w:val="null3"/>
        <w:outlineLvl w:val="2"/>
        <w:rPr>
          <w:rFonts w:hint="default"/>
        </w:rPr>
      </w:pPr>
      <w:r>
        <w:rPr>
          <w:b/>
          <w:sz w:val="28"/>
        </w:rPr>
        <w:t>3.2</w:t>
      </w:r>
      <w:r>
        <w:rPr>
          <w:b/>
          <w:sz w:val="28"/>
        </w:rPr>
        <w:t>、服务内容及服务要求</w:t>
      </w:r>
    </w:p>
    <w:p w:rsidR="00093390" w:rsidRDefault="00FD3E67">
      <w:pPr>
        <w:pStyle w:val="null3"/>
        <w:outlineLvl w:val="3"/>
        <w:rPr>
          <w:rFonts w:hint="default"/>
        </w:rPr>
      </w:pPr>
      <w:r>
        <w:rPr>
          <w:b/>
          <w:sz w:val="24"/>
        </w:rPr>
        <w:t>3.2.1</w:t>
      </w:r>
      <w:r>
        <w:rPr>
          <w:b/>
          <w:sz w:val="24"/>
        </w:rPr>
        <w:t>服务内容</w:t>
      </w: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p>
    <w:p w:rsidR="00093390" w:rsidRDefault="00FD3E67">
      <w:pPr>
        <w:pStyle w:val="null3"/>
        <w:rPr>
          <w:rFonts w:hint="default"/>
        </w:rPr>
      </w:pPr>
      <w:r>
        <w:t>采购包预算金额（元）</w:t>
      </w:r>
      <w:r>
        <w:t>: 600,000.00</w:t>
      </w:r>
    </w:p>
    <w:p w:rsidR="00093390" w:rsidRDefault="00FD3E67">
      <w:pPr>
        <w:pStyle w:val="null3"/>
        <w:rPr>
          <w:rFonts w:hint="default"/>
        </w:rPr>
      </w:pPr>
      <w:r>
        <w:t>采购包最高限</w:t>
      </w:r>
      <w:r>
        <w:t>价（元）</w:t>
      </w:r>
      <w:r>
        <w:t>: 600,000.00</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8"/>
        <w:gridCol w:w="1271"/>
        <w:gridCol w:w="848"/>
        <w:gridCol w:w="1356"/>
        <w:gridCol w:w="678"/>
        <w:gridCol w:w="678"/>
        <w:gridCol w:w="593"/>
        <w:gridCol w:w="678"/>
        <w:gridCol w:w="678"/>
        <w:gridCol w:w="848"/>
      </w:tblGrid>
      <w:tr w:rsidR="00093390">
        <w:tc>
          <w:tcPr>
            <w:tcW w:w="678" w:type="dxa"/>
          </w:tcPr>
          <w:p w:rsidR="00093390" w:rsidRDefault="00FD3E67">
            <w:pPr>
              <w:pStyle w:val="null3"/>
              <w:rPr>
                <w:rFonts w:hint="default"/>
              </w:rPr>
            </w:pPr>
            <w:r>
              <w:t>序号</w:t>
            </w:r>
          </w:p>
        </w:tc>
        <w:tc>
          <w:tcPr>
            <w:tcW w:w="1271" w:type="dxa"/>
          </w:tcPr>
          <w:p w:rsidR="00093390" w:rsidRDefault="00FD3E67">
            <w:pPr>
              <w:pStyle w:val="null3"/>
              <w:rPr>
                <w:rFonts w:hint="default"/>
              </w:rPr>
            </w:pPr>
            <w:r>
              <w:t>标的名称</w:t>
            </w:r>
          </w:p>
        </w:tc>
        <w:tc>
          <w:tcPr>
            <w:tcW w:w="848" w:type="dxa"/>
          </w:tcPr>
          <w:p w:rsidR="00093390" w:rsidRDefault="00FD3E67">
            <w:pPr>
              <w:pStyle w:val="null3"/>
              <w:rPr>
                <w:rFonts w:hint="default"/>
              </w:rPr>
            </w:pPr>
            <w:r>
              <w:t>数量</w:t>
            </w:r>
          </w:p>
        </w:tc>
        <w:tc>
          <w:tcPr>
            <w:tcW w:w="1356" w:type="dxa"/>
          </w:tcPr>
          <w:p w:rsidR="00093390" w:rsidRDefault="00FD3E67">
            <w:pPr>
              <w:pStyle w:val="null3"/>
              <w:rPr>
                <w:rFonts w:hint="default"/>
              </w:rPr>
            </w:pPr>
            <w:r>
              <w:t>标的金额</w:t>
            </w:r>
            <w:r>
              <w:t xml:space="preserve"> </w:t>
            </w:r>
            <w:r>
              <w:t>（元）</w:t>
            </w:r>
          </w:p>
        </w:tc>
        <w:tc>
          <w:tcPr>
            <w:tcW w:w="678" w:type="dxa"/>
          </w:tcPr>
          <w:p w:rsidR="00093390" w:rsidRDefault="00FD3E67">
            <w:pPr>
              <w:pStyle w:val="null3"/>
              <w:rPr>
                <w:rFonts w:hint="default"/>
              </w:rPr>
            </w:pPr>
            <w:r>
              <w:t>计量单位</w:t>
            </w:r>
          </w:p>
        </w:tc>
        <w:tc>
          <w:tcPr>
            <w:tcW w:w="678" w:type="dxa"/>
          </w:tcPr>
          <w:p w:rsidR="00093390" w:rsidRDefault="00FD3E67">
            <w:pPr>
              <w:pStyle w:val="null3"/>
              <w:rPr>
                <w:rFonts w:hint="default"/>
              </w:rPr>
            </w:pPr>
            <w:r>
              <w:t>所属行业</w:t>
            </w:r>
          </w:p>
        </w:tc>
        <w:tc>
          <w:tcPr>
            <w:tcW w:w="593" w:type="dxa"/>
          </w:tcPr>
          <w:p w:rsidR="00093390" w:rsidRDefault="00FD3E67">
            <w:pPr>
              <w:pStyle w:val="null3"/>
              <w:rPr>
                <w:rFonts w:hint="default"/>
              </w:rPr>
            </w:pPr>
            <w:r>
              <w:t>是否涉及核心产品</w:t>
            </w:r>
          </w:p>
        </w:tc>
        <w:tc>
          <w:tcPr>
            <w:tcW w:w="678" w:type="dxa"/>
          </w:tcPr>
          <w:p w:rsidR="00093390" w:rsidRDefault="00FD3E67">
            <w:pPr>
              <w:pStyle w:val="null3"/>
              <w:rPr>
                <w:rFonts w:hint="default"/>
              </w:rPr>
            </w:pPr>
            <w:r>
              <w:t>是否涉及采购进口产品</w:t>
            </w:r>
          </w:p>
        </w:tc>
        <w:tc>
          <w:tcPr>
            <w:tcW w:w="678" w:type="dxa"/>
          </w:tcPr>
          <w:p w:rsidR="00093390" w:rsidRDefault="00FD3E67">
            <w:pPr>
              <w:pStyle w:val="null3"/>
              <w:rPr>
                <w:rFonts w:hint="default"/>
              </w:rPr>
            </w:pPr>
            <w:r>
              <w:t>是否涉及采购节能产品</w:t>
            </w:r>
          </w:p>
        </w:tc>
        <w:tc>
          <w:tcPr>
            <w:tcW w:w="848" w:type="dxa"/>
          </w:tcPr>
          <w:p w:rsidR="00093390" w:rsidRDefault="00FD3E67">
            <w:pPr>
              <w:pStyle w:val="null3"/>
              <w:rPr>
                <w:rFonts w:hint="default"/>
              </w:rPr>
            </w:pPr>
            <w:r>
              <w:t>是否涉及采购环境标志产品</w:t>
            </w:r>
          </w:p>
        </w:tc>
      </w:tr>
      <w:tr w:rsidR="00093390">
        <w:tc>
          <w:tcPr>
            <w:tcW w:w="678" w:type="dxa"/>
          </w:tcPr>
          <w:p w:rsidR="00093390" w:rsidRDefault="00FD3E67">
            <w:pPr>
              <w:pStyle w:val="null3"/>
              <w:rPr>
                <w:rFonts w:hint="default"/>
              </w:rPr>
            </w:pPr>
            <w:r>
              <w:t>1</w:t>
            </w:r>
          </w:p>
        </w:tc>
        <w:tc>
          <w:tcPr>
            <w:tcW w:w="1271" w:type="dxa"/>
          </w:tcPr>
          <w:p w:rsidR="00093390" w:rsidRDefault="00FD3E67">
            <w:pPr>
              <w:pStyle w:val="null3"/>
              <w:rPr>
                <w:rFonts w:hint="default"/>
              </w:rPr>
            </w:pPr>
            <w:r>
              <w:t>河湖健康评价</w:t>
            </w:r>
          </w:p>
        </w:tc>
        <w:tc>
          <w:tcPr>
            <w:tcW w:w="848" w:type="dxa"/>
          </w:tcPr>
          <w:p w:rsidR="00093390" w:rsidRDefault="00FD3E67">
            <w:pPr>
              <w:pStyle w:val="null3"/>
              <w:jc w:val="right"/>
              <w:rPr>
                <w:rFonts w:hint="default"/>
              </w:rPr>
            </w:pPr>
            <w:r>
              <w:t>1.00</w:t>
            </w:r>
          </w:p>
        </w:tc>
        <w:tc>
          <w:tcPr>
            <w:tcW w:w="1356" w:type="dxa"/>
          </w:tcPr>
          <w:p w:rsidR="00093390" w:rsidRDefault="00FD3E67">
            <w:pPr>
              <w:pStyle w:val="null3"/>
              <w:jc w:val="right"/>
              <w:rPr>
                <w:rFonts w:hint="default"/>
              </w:rPr>
            </w:pPr>
            <w:r>
              <w:t>600,000.00</w:t>
            </w:r>
          </w:p>
        </w:tc>
        <w:tc>
          <w:tcPr>
            <w:tcW w:w="678" w:type="dxa"/>
          </w:tcPr>
          <w:p w:rsidR="00093390" w:rsidRDefault="00FD3E67">
            <w:pPr>
              <w:pStyle w:val="null3"/>
              <w:rPr>
                <w:rFonts w:hint="default"/>
              </w:rPr>
            </w:pPr>
            <w:r>
              <w:t>项</w:t>
            </w:r>
          </w:p>
        </w:tc>
        <w:tc>
          <w:tcPr>
            <w:tcW w:w="678" w:type="dxa"/>
          </w:tcPr>
          <w:p w:rsidR="00093390" w:rsidRDefault="00FD3E67">
            <w:pPr>
              <w:pStyle w:val="null3"/>
              <w:rPr>
                <w:rFonts w:hint="default"/>
              </w:rPr>
            </w:pPr>
            <w:r>
              <w:t>其他未列明行业</w:t>
            </w:r>
          </w:p>
        </w:tc>
        <w:tc>
          <w:tcPr>
            <w:tcW w:w="593" w:type="dxa"/>
          </w:tcPr>
          <w:p w:rsidR="00093390" w:rsidRDefault="00FD3E67">
            <w:pPr>
              <w:pStyle w:val="null3"/>
              <w:rPr>
                <w:rFonts w:hint="default"/>
              </w:rPr>
            </w:pPr>
            <w:r>
              <w:t>否</w:t>
            </w:r>
          </w:p>
        </w:tc>
        <w:tc>
          <w:tcPr>
            <w:tcW w:w="678" w:type="dxa"/>
          </w:tcPr>
          <w:p w:rsidR="00093390" w:rsidRDefault="00FD3E67">
            <w:pPr>
              <w:pStyle w:val="null3"/>
              <w:rPr>
                <w:rFonts w:hint="default"/>
              </w:rPr>
            </w:pPr>
            <w:r>
              <w:t>否</w:t>
            </w:r>
          </w:p>
        </w:tc>
        <w:tc>
          <w:tcPr>
            <w:tcW w:w="678" w:type="dxa"/>
          </w:tcPr>
          <w:p w:rsidR="00093390" w:rsidRDefault="00FD3E67">
            <w:pPr>
              <w:pStyle w:val="null3"/>
              <w:rPr>
                <w:rFonts w:hint="default"/>
              </w:rPr>
            </w:pPr>
            <w:r>
              <w:t>否</w:t>
            </w:r>
          </w:p>
        </w:tc>
        <w:tc>
          <w:tcPr>
            <w:tcW w:w="848" w:type="dxa"/>
          </w:tcPr>
          <w:p w:rsidR="00093390" w:rsidRDefault="00FD3E67">
            <w:pPr>
              <w:pStyle w:val="null3"/>
              <w:rPr>
                <w:rFonts w:hint="default"/>
              </w:rPr>
            </w:pPr>
            <w:r>
              <w:t>否</w:t>
            </w:r>
          </w:p>
        </w:tc>
      </w:tr>
    </w:tbl>
    <w:p w:rsidR="00093390" w:rsidRDefault="00FD3E67">
      <w:pPr>
        <w:pStyle w:val="null3"/>
        <w:outlineLvl w:val="3"/>
        <w:rPr>
          <w:rFonts w:hint="default"/>
        </w:rPr>
      </w:pPr>
      <w:r>
        <w:rPr>
          <w:b/>
          <w:sz w:val="24"/>
        </w:rPr>
        <w:t>3.2.2</w:t>
      </w:r>
      <w:r>
        <w:rPr>
          <w:b/>
          <w:sz w:val="24"/>
        </w:rPr>
        <w:t>服务要求</w:t>
      </w:r>
    </w:p>
    <w:p w:rsidR="00093390" w:rsidRDefault="00093390">
      <w:pPr>
        <w:pStyle w:val="null3"/>
        <w:rPr>
          <w:rFonts w:hint="default"/>
        </w:rPr>
      </w:pP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p>
    <w:p w:rsidR="00093390" w:rsidRDefault="00093390">
      <w:pPr>
        <w:pStyle w:val="null3"/>
        <w:rPr>
          <w:rFonts w:hint="default"/>
        </w:rPr>
      </w:pPr>
    </w:p>
    <w:p w:rsidR="00093390" w:rsidRDefault="00FD3E67">
      <w:pPr>
        <w:pStyle w:val="null3"/>
        <w:rPr>
          <w:rFonts w:hint="default"/>
        </w:rPr>
      </w:pPr>
      <w:r>
        <w:t>标的名称：河湖健康评价</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8"/>
        <w:gridCol w:w="2769"/>
        <w:gridCol w:w="2769"/>
      </w:tblGrid>
      <w:tr w:rsidR="00093390">
        <w:tc>
          <w:tcPr>
            <w:tcW w:w="2769" w:type="dxa"/>
          </w:tcPr>
          <w:p w:rsidR="00093390" w:rsidRDefault="00FD3E67">
            <w:pPr>
              <w:pStyle w:val="null3"/>
              <w:rPr>
                <w:rFonts w:hint="default"/>
              </w:rPr>
            </w:pPr>
            <w:r>
              <w:t xml:space="preserve"> </w:t>
            </w:r>
            <w:r>
              <w:t>参数性质</w:t>
            </w:r>
          </w:p>
        </w:tc>
        <w:tc>
          <w:tcPr>
            <w:tcW w:w="2769" w:type="dxa"/>
          </w:tcPr>
          <w:p w:rsidR="00093390" w:rsidRDefault="00FD3E67">
            <w:pPr>
              <w:pStyle w:val="null3"/>
              <w:rPr>
                <w:rFonts w:hint="default"/>
              </w:rPr>
            </w:pPr>
            <w:r>
              <w:t xml:space="preserve"> </w:t>
            </w:r>
            <w:r>
              <w:t>序号</w:t>
            </w:r>
          </w:p>
        </w:tc>
        <w:tc>
          <w:tcPr>
            <w:tcW w:w="2769" w:type="dxa"/>
          </w:tcPr>
          <w:p w:rsidR="00093390" w:rsidRDefault="00FD3E67">
            <w:pPr>
              <w:pStyle w:val="null3"/>
              <w:rPr>
                <w:rFonts w:hint="default"/>
              </w:rPr>
            </w:pPr>
            <w:r>
              <w:t xml:space="preserve"> </w:t>
            </w:r>
            <w:r>
              <w:t>技术参数与性能指标</w:t>
            </w:r>
          </w:p>
        </w:tc>
      </w:tr>
      <w:tr w:rsidR="00093390">
        <w:tc>
          <w:tcPr>
            <w:tcW w:w="2769" w:type="dxa"/>
          </w:tcPr>
          <w:p w:rsidR="00093390" w:rsidRDefault="00093390"/>
        </w:tc>
        <w:tc>
          <w:tcPr>
            <w:tcW w:w="2769" w:type="dxa"/>
          </w:tcPr>
          <w:p w:rsidR="00093390" w:rsidRDefault="00FD3E67">
            <w:pPr>
              <w:pStyle w:val="null3"/>
              <w:rPr>
                <w:rFonts w:hint="default"/>
              </w:rPr>
            </w:pPr>
            <w:r>
              <w:t>1</w:t>
            </w:r>
          </w:p>
        </w:tc>
        <w:tc>
          <w:tcPr>
            <w:tcW w:w="2769" w:type="dxa"/>
          </w:tcPr>
          <w:p w:rsidR="00093390" w:rsidRDefault="00FD3E67">
            <w:pPr>
              <w:pStyle w:val="null3"/>
              <w:spacing w:before="105" w:after="105"/>
              <w:ind w:firstLine="480"/>
              <w:jc w:val="both"/>
              <w:rPr>
                <w:rFonts w:hint="default"/>
              </w:rPr>
            </w:pPr>
            <w:r>
              <w:rPr>
                <w:rFonts w:ascii="宋体" w:eastAsia="宋体" w:hAnsi="宋体" w:cs="宋体"/>
                <w:sz w:val="24"/>
              </w:rPr>
              <w:t>（一）评价对象：绵阳市安昌河、魏城河、梓江。</w:t>
            </w:r>
          </w:p>
        </w:tc>
      </w:tr>
      <w:tr w:rsidR="00093390">
        <w:tc>
          <w:tcPr>
            <w:tcW w:w="2769" w:type="dxa"/>
          </w:tcPr>
          <w:p w:rsidR="00093390" w:rsidRDefault="00093390"/>
        </w:tc>
        <w:tc>
          <w:tcPr>
            <w:tcW w:w="2769" w:type="dxa"/>
          </w:tcPr>
          <w:p w:rsidR="00093390" w:rsidRDefault="00FD3E67">
            <w:pPr>
              <w:pStyle w:val="null3"/>
              <w:rPr>
                <w:rFonts w:hint="default"/>
              </w:rPr>
            </w:pPr>
            <w:r>
              <w:t>2</w:t>
            </w:r>
          </w:p>
        </w:tc>
        <w:tc>
          <w:tcPr>
            <w:tcW w:w="2769" w:type="dxa"/>
          </w:tcPr>
          <w:p w:rsidR="00093390" w:rsidRDefault="00FD3E67">
            <w:pPr>
              <w:pStyle w:val="null3"/>
              <w:spacing w:before="105" w:after="105"/>
              <w:ind w:firstLine="480"/>
              <w:jc w:val="both"/>
              <w:rPr>
                <w:rFonts w:hint="default"/>
              </w:rPr>
            </w:pPr>
            <w:r>
              <w:rPr>
                <w:rFonts w:ascii="宋体" w:eastAsia="宋体" w:hAnsi="宋体" w:cs="宋体"/>
                <w:sz w:val="24"/>
              </w:rPr>
              <w:t>（二）服务内容：</w:t>
            </w:r>
          </w:p>
          <w:p w:rsidR="00093390" w:rsidRDefault="00FD3E67">
            <w:pPr>
              <w:pStyle w:val="null3"/>
              <w:spacing w:before="105" w:after="105"/>
              <w:ind w:firstLine="480"/>
              <w:jc w:val="both"/>
              <w:rPr>
                <w:rFonts w:hint="default"/>
              </w:rPr>
            </w:pPr>
            <w:r>
              <w:rPr>
                <w:rFonts w:ascii="宋体" w:eastAsia="宋体" w:hAnsi="宋体" w:cs="宋体"/>
                <w:sz w:val="24"/>
              </w:rPr>
              <w:t>以《四川省河流（湖库）健康评价指南》为评价依据，采取分级指标评分法，逐级加权赋分，从“盆”、“水”、“生物”、“河湖管理与社会服务功能”等四个准则层对河流健康状态进行评价，根据实际需要增加其他指标，形成完善的健康评价报告；客观地反映目标水域的健康状况，清晰地指示河流健康和环境压力的响应关系，明确健康和不健康的主要表征，识别河流健康受损成因，并给出健康保护的目标和方案。涉及的主要内容如下：</w:t>
            </w:r>
          </w:p>
          <w:p w:rsidR="00093390" w:rsidRDefault="00FD3E67">
            <w:pPr>
              <w:pStyle w:val="null3"/>
              <w:spacing w:before="105" w:after="105"/>
              <w:ind w:firstLine="480"/>
              <w:jc w:val="both"/>
              <w:rPr>
                <w:rFonts w:hint="default"/>
              </w:rPr>
            </w:pPr>
            <w:r>
              <w:rPr>
                <w:rFonts w:ascii="宋体" w:eastAsia="宋体" w:hAnsi="宋体" w:cs="宋体"/>
                <w:sz w:val="24"/>
              </w:rPr>
              <w:t>1.</w:t>
            </w:r>
            <w:r>
              <w:rPr>
                <w:rFonts w:ascii="宋体" w:eastAsia="宋体" w:hAnsi="宋体" w:cs="宋体"/>
                <w:sz w:val="24"/>
              </w:rPr>
              <w:t>盆</w:t>
            </w:r>
          </w:p>
          <w:p w:rsidR="00093390" w:rsidRDefault="00FD3E67">
            <w:pPr>
              <w:pStyle w:val="null3"/>
              <w:spacing w:before="105" w:after="105"/>
              <w:ind w:firstLine="480"/>
              <w:jc w:val="both"/>
              <w:rPr>
                <w:rFonts w:hint="default"/>
              </w:rPr>
            </w:pPr>
            <w:r>
              <w:rPr>
                <w:rFonts w:ascii="宋体" w:eastAsia="宋体" w:hAnsi="宋体" w:cs="宋体"/>
                <w:sz w:val="24"/>
              </w:rPr>
              <w:t>准则层“盆”涉及指标包括：（</w:t>
            </w:r>
            <w:r>
              <w:rPr>
                <w:rFonts w:ascii="宋体" w:eastAsia="宋体" w:hAnsi="宋体" w:cs="宋体"/>
                <w:sz w:val="24"/>
              </w:rPr>
              <w:t>1</w:t>
            </w:r>
            <w:r>
              <w:rPr>
                <w:rFonts w:ascii="宋体" w:eastAsia="宋体" w:hAnsi="宋体" w:cs="宋体"/>
                <w:sz w:val="24"/>
              </w:rPr>
              <w:t>）岸线自然状况：根据河流岸坡侵蚀现状（包括已经发生的或潜在发生的河岸侵蚀）进行评估</w:t>
            </w:r>
            <w:r>
              <w:rPr>
                <w:rFonts w:ascii="宋体" w:eastAsia="宋体" w:hAnsi="宋体" w:cs="宋体"/>
                <w:sz w:val="24"/>
              </w:rPr>
              <w:t>，评估要素包括：岸坡倾角、河岸高度、基质特征、岸坡植被覆盖度和坡脚冲刷强度；（</w:t>
            </w:r>
            <w:r>
              <w:rPr>
                <w:rFonts w:ascii="宋体" w:eastAsia="宋体" w:hAnsi="宋体" w:cs="宋体"/>
                <w:sz w:val="24"/>
              </w:rPr>
              <w:t>2</w:t>
            </w:r>
            <w:r>
              <w:rPr>
                <w:rFonts w:ascii="宋体" w:eastAsia="宋体" w:hAnsi="宋体" w:cs="宋体"/>
                <w:sz w:val="24"/>
              </w:rPr>
              <w:t>）违规开发水域岸线程度：综合考虑河流“四乱”状况和入河排污口设置违反河道管理要求程度进行评估；（</w:t>
            </w:r>
            <w:r>
              <w:rPr>
                <w:rFonts w:ascii="宋体" w:eastAsia="宋体" w:hAnsi="宋体" w:cs="宋体"/>
                <w:sz w:val="24"/>
              </w:rPr>
              <w:t>3</w:t>
            </w:r>
            <w:r>
              <w:rPr>
                <w:rFonts w:ascii="宋体" w:eastAsia="宋体" w:hAnsi="宋体" w:cs="宋体"/>
                <w:sz w:val="24"/>
              </w:rPr>
              <w:t>）河流纵向连通性指数：根据单位河长内影响河流连通性的人工建筑物或设施数量进行评估，有过鱼设施且能正常</w:t>
            </w:r>
            <w:r>
              <w:rPr>
                <w:rFonts w:ascii="宋体" w:eastAsia="宋体" w:hAnsi="宋体" w:cs="宋体"/>
                <w:sz w:val="24"/>
              </w:rPr>
              <w:lastRenderedPageBreak/>
              <w:t>运行的不在统计范围之列。</w:t>
            </w:r>
          </w:p>
          <w:p w:rsidR="00093390" w:rsidRDefault="00FD3E67">
            <w:pPr>
              <w:pStyle w:val="null3"/>
              <w:spacing w:before="105" w:after="105"/>
              <w:ind w:firstLine="480"/>
              <w:jc w:val="both"/>
              <w:rPr>
                <w:rFonts w:hint="default"/>
              </w:rPr>
            </w:pPr>
            <w:r>
              <w:rPr>
                <w:rFonts w:ascii="宋体" w:eastAsia="宋体" w:hAnsi="宋体" w:cs="宋体"/>
                <w:sz w:val="24"/>
              </w:rPr>
              <w:t>2.</w:t>
            </w:r>
            <w:r>
              <w:rPr>
                <w:rFonts w:ascii="宋体" w:eastAsia="宋体" w:hAnsi="宋体" w:cs="宋体"/>
                <w:sz w:val="24"/>
              </w:rPr>
              <w:t>水</w:t>
            </w:r>
          </w:p>
          <w:p w:rsidR="00093390" w:rsidRDefault="00FD3E67">
            <w:pPr>
              <w:pStyle w:val="null3"/>
              <w:spacing w:before="105" w:after="105"/>
              <w:ind w:firstLine="480"/>
              <w:jc w:val="both"/>
              <w:rPr>
                <w:rFonts w:hint="default"/>
              </w:rPr>
            </w:pPr>
            <w:r>
              <w:rPr>
                <w:rFonts w:ascii="宋体" w:eastAsia="宋体" w:hAnsi="宋体" w:cs="宋体"/>
                <w:sz w:val="24"/>
              </w:rPr>
              <w:t>准则层</w:t>
            </w:r>
            <w:r>
              <w:rPr>
                <w:rFonts w:ascii="宋体" w:eastAsia="宋体" w:hAnsi="宋体" w:cs="宋体"/>
                <w:sz w:val="24"/>
              </w:rPr>
              <w:t>“水”涉及指标包括：（</w:t>
            </w:r>
            <w:r>
              <w:rPr>
                <w:rFonts w:ascii="宋体" w:eastAsia="宋体" w:hAnsi="宋体" w:cs="宋体"/>
                <w:sz w:val="24"/>
              </w:rPr>
              <w:t>1</w:t>
            </w:r>
            <w:r>
              <w:rPr>
                <w:rFonts w:ascii="宋体" w:eastAsia="宋体" w:hAnsi="宋体" w:cs="宋体"/>
                <w:sz w:val="24"/>
              </w:rPr>
              <w:t>）生态流量：根据河流</w:t>
            </w:r>
            <w:r>
              <w:rPr>
                <w:rFonts w:ascii="宋体" w:eastAsia="宋体" w:hAnsi="宋体" w:cs="宋体"/>
                <w:sz w:val="24"/>
              </w:rPr>
              <w:t>4-9</w:t>
            </w:r>
            <w:r>
              <w:rPr>
                <w:rFonts w:ascii="宋体" w:eastAsia="宋体" w:hAnsi="宋体" w:cs="宋体"/>
                <w:sz w:val="24"/>
              </w:rPr>
              <w:t>月及</w:t>
            </w:r>
            <w:r>
              <w:rPr>
                <w:rFonts w:ascii="宋体" w:eastAsia="宋体" w:hAnsi="宋体" w:cs="宋体"/>
                <w:sz w:val="24"/>
              </w:rPr>
              <w:t>10-3</w:t>
            </w:r>
            <w:r>
              <w:rPr>
                <w:rFonts w:ascii="宋体" w:eastAsia="宋体" w:hAnsi="宋体" w:cs="宋体"/>
                <w:sz w:val="24"/>
              </w:rPr>
              <w:t>月最小日均流量占同期多年平均流量的百分比，评估河流流量过程生态适宜程度；（</w:t>
            </w:r>
            <w:r>
              <w:rPr>
                <w:rFonts w:ascii="宋体" w:eastAsia="宋体" w:hAnsi="宋体" w:cs="宋体"/>
                <w:sz w:val="24"/>
              </w:rPr>
              <w:t>2</w:t>
            </w:r>
            <w:r>
              <w:rPr>
                <w:rFonts w:ascii="宋体" w:eastAsia="宋体" w:hAnsi="宋体" w:cs="宋体"/>
                <w:sz w:val="24"/>
              </w:rPr>
              <w:t>）水资源开发利用率：根据河流流域或区域内本地产水中地表水用水量（含外调水量）占评价流域或区域地表水资源总量的百分比，评估水资源开发利用率。（</w:t>
            </w:r>
            <w:r>
              <w:rPr>
                <w:rFonts w:ascii="宋体" w:eastAsia="宋体" w:hAnsi="宋体" w:cs="宋体"/>
                <w:sz w:val="24"/>
              </w:rPr>
              <w:t>3</w:t>
            </w:r>
            <w:r>
              <w:rPr>
                <w:rFonts w:ascii="宋体" w:eastAsia="宋体" w:hAnsi="宋体" w:cs="宋体"/>
                <w:sz w:val="24"/>
              </w:rPr>
              <w:t>）水体整洁程度：根据河流水域嗅和味、漂浮废弃物等感官状况评估水体整洁程度。（</w:t>
            </w:r>
            <w:r>
              <w:rPr>
                <w:rFonts w:ascii="宋体" w:eastAsia="宋体" w:hAnsi="宋体" w:cs="宋体"/>
                <w:sz w:val="24"/>
              </w:rPr>
              <w:t>4</w:t>
            </w:r>
            <w:r>
              <w:rPr>
                <w:rFonts w:ascii="宋体" w:eastAsia="宋体" w:hAnsi="宋体" w:cs="宋体"/>
                <w:sz w:val="24"/>
              </w:rPr>
              <w:t>）水质优劣程度：水质类别比例根据《地表水资源质量评价技术规程》（</w:t>
            </w:r>
            <w:r>
              <w:rPr>
                <w:rFonts w:ascii="宋体" w:eastAsia="宋体" w:hAnsi="宋体" w:cs="宋体"/>
                <w:sz w:val="24"/>
              </w:rPr>
              <w:t>SL395-2007</w:t>
            </w:r>
            <w:r>
              <w:rPr>
                <w:rFonts w:ascii="宋体" w:eastAsia="宋体" w:hAnsi="宋体" w:cs="宋体"/>
                <w:sz w:val="24"/>
              </w:rPr>
              <w:t>）评估河流水质类别比例，反应水质优劣程度。（</w:t>
            </w:r>
            <w:r>
              <w:rPr>
                <w:rFonts w:ascii="宋体" w:eastAsia="宋体" w:hAnsi="宋体" w:cs="宋体"/>
                <w:sz w:val="24"/>
              </w:rPr>
              <w:t>5</w:t>
            </w:r>
            <w:r>
              <w:rPr>
                <w:rFonts w:ascii="宋体" w:eastAsia="宋体" w:hAnsi="宋体" w:cs="宋体"/>
                <w:sz w:val="24"/>
              </w:rPr>
              <w:t>）水体自净能力：选择水中</w:t>
            </w:r>
            <w:r>
              <w:rPr>
                <w:rFonts w:ascii="宋体" w:eastAsia="宋体" w:hAnsi="宋体" w:cs="宋体"/>
                <w:sz w:val="24"/>
              </w:rPr>
              <w:t>溶解氧浓度衡量水体自净能力。（</w:t>
            </w:r>
            <w:r>
              <w:rPr>
                <w:rFonts w:ascii="宋体" w:eastAsia="宋体" w:hAnsi="宋体" w:cs="宋体"/>
                <w:sz w:val="24"/>
              </w:rPr>
              <w:t>6</w:t>
            </w:r>
            <w:r>
              <w:rPr>
                <w:rFonts w:ascii="宋体" w:eastAsia="宋体" w:hAnsi="宋体" w:cs="宋体"/>
                <w:sz w:val="24"/>
              </w:rPr>
              <w:t>）水质变化趋势：根据近</w:t>
            </w:r>
            <w:r>
              <w:rPr>
                <w:rFonts w:ascii="宋体" w:eastAsia="宋体" w:hAnsi="宋体" w:cs="宋体"/>
                <w:sz w:val="24"/>
              </w:rPr>
              <w:t>3</w:t>
            </w:r>
            <w:r>
              <w:rPr>
                <w:rFonts w:ascii="宋体" w:eastAsia="宋体" w:hAnsi="宋体" w:cs="宋体"/>
                <w:sz w:val="24"/>
              </w:rPr>
              <w:t>年或上一年度河流水质监测资料，评估水质变化趋势。</w:t>
            </w:r>
          </w:p>
          <w:p w:rsidR="00093390" w:rsidRDefault="00FD3E67">
            <w:pPr>
              <w:pStyle w:val="null3"/>
              <w:spacing w:before="105" w:after="105"/>
              <w:ind w:firstLine="480"/>
              <w:jc w:val="both"/>
              <w:rPr>
                <w:rFonts w:hint="default"/>
              </w:rPr>
            </w:pPr>
            <w:r>
              <w:rPr>
                <w:rFonts w:ascii="宋体" w:eastAsia="宋体" w:hAnsi="宋体" w:cs="宋体"/>
                <w:sz w:val="24"/>
              </w:rPr>
              <w:t>3.</w:t>
            </w:r>
            <w:r>
              <w:rPr>
                <w:rFonts w:ascii="宋体" w:eastAsia="宋体" w:hAnsi="宋体" w:cs="宋体"/>
                <w:sz w:val="24"/>
              </w:rPr>
              <w:t>生物</w:t>
            </w:r>
          </w:p>
          <w:p w:rsidR="00093390" w:rsidRDefault="00FD3E67">
            <w:pPr>
              <w:pStyle w:val="null3"/>
              <w:spacing w:before="105" w:after="105"/>
              <w:ind w:firstLine="480"/>
              <w:jc w:val="both"/>
              <w:rPr>
                <w:rFonts w:hint="default"/>
              </w:rPr>
            </w:pPr>
            <w:r>
              <w:rPr>
                <w:rFonts w:ascii="宋体" w:eastAsia="宋体" w:hAnsi="宋体" w:cs="宋体"/>
                <w:sz w:val="24"/>
              </w:rPr>
              <w:t>准则层“生物”涉及指标包括：（</w:t>
            </w:r>
            <w:r>
              <w:rPr>
                <w:rFonts w:ascii="宋体" w:eastAsia="宋体" w:hAnsi="宋体" w:cs="宋体"/>
                <w:sz w:val="24"/>
              </w:rPr>
              <w:t>1</w:t>
            </w:r>
            <w:r>
              <w:rPr>
                <w:rFonts w:ascii="宋体" w:eastAsia="宋体" w:hAnsi="宋体" w:cs="宋体"/>
                <w:sz w:val="24"/>
              </w:rPr>
              <w:t>）鱼类保有指数：根据现有鱼类种类与历史参考点鱼类种类的差异状况评估河流鱼类保有指数；（</w:t>
            </w:r>
            <w:r>
              <w:rPr>
                <w:rFonts w:ascii="宋体" w:eastAsia="宋体" w:hAnsi="宋体" w:cs="宋体"/>
                <w:sz w:val="24"/>
              </w:rPr>
              <w:t>2</w:t>
            </w:r>
            <w:r>
              <w:rPr>
                <w:rFonts w:ascii="宋体" w:eastAsia="宋体" w:hAnsi="宋体" w:cs="宋体"/>
                <w:sz w:val="24"/>
              </w:rPr>
              <w:t>）外来入侵物种：以中华人民共和国政府发布的《中国外来入侵物种名单》为认定依据，根据涉水外来入侵物</w:t>
            </w:r>
            <w:r>
              <w:rPr>
                <w:rFonts w:ascii="宋体" w:eastAsia="宋体" w:hAnsi="宋体" w:cs="宋体"/>
                <w:sz w:val="24"/>
              </w:rPr>
              <w:lastRenderedPageBreak/>
              <w:t>种情况，评估河流外来入侵物种情况。</w:t>
            </w:r>
          </w:p>
          <w:p w:rsidR="00093390" w:rsidRDefault="00FD3E67">
            <w:pPr>
              <w:pStyle w:val="null3"/>
              <w:spacing w:before="105" w:after="105"/>
              <w:ind w:firstLine="480"/>
              <w:jc w:val="both"/>
              <w:rPr>
                <w:rFonts w:hint="default"/>
              </w:rPr>
            </w:pPr>
            <w:r>
              <w:rPr>
                <w:rFonts w:ascii="宋体" w:eastAsia="宋体" w:hAnsi="宋体" w:cs="宋体"/>
                <w:sz w:val="24"/>
              </w:rPr>
              <w:t>4.</w:t>
            </w:r>
            <w:r>
              <w:rPr>
                <w:rFonts w:ascii="宋体" w:eastAsia="宋体" w:hAnsi="宋体" w:cs="宋体"/>
                <w:sz w:val="24"/>
              </w:rPr>
              <w:t>社会服务功能</w:t>
            </w:r>
          </w:p>
          <w:p w:rsidR="00093390" w:rsidRDefault="00FD3E67">
            <w:pPr>
              <w:pStyle w:val="null3"/>
              <w:spacing w:before="105" w:after="105"/>
              <w:ind w:firstLine="480"/>
              <w:jc w:val="both"/>
              <w:rPr>
                <w:rFonts w:hint="default"/>
              </w:rPr>
            </w:pPr>
            <w:r>
              <w:rPr>
                <w:rFonts w:ascii="宋体" w:eastAsia="宋体" w:hAnsi="宋体" w:cs="宋体"/>
                <w:sz w:val="24"/>
              </w:rPr>
              <w:t>准则层“河湖管理与社会服务功能”涉及指标包括：（</w:t>
            </w:r>
            <w:r>
              <w:rPr>
                <w:rFonts w:ascii="宋体" w:eastAsia="宋体" w:hAnsi="宋体" w:cs="宋体"/>
                <w:sz w:val="24"/>
              </w:rPr>
              <w:t>1</w:t>
            </w:r>
            <w:r>
              <w:rPr>
                <w:rFonts w:ascii="宋体" w:eastAsia="宋体" w:hAnsi="宋体" w:cs="宋体"/>
                <w:sz w:val="24"/>
              </w:rPr>
              <w:t>）公众满意度：调查评估公众对河流环境、水质水量、涉水景观、舒适性、美学价值的</w:t>
            </w:r>
            <w:r>
              <w:rPr>
                <w:rFonts w:ascii="宋体" w:eastAsia="宋体" w:hAnsi="宋体" w:cs="宋体"/>
                <w:sz w:val="24"/>
              </w:rPr>
              <w:t>满意程度。（</w:t>
            </w:r>
            <w:r>
              <w:rPr>
                <w:rFonts w:ascii="宋体" w:eastAsia="宋体" w:hAnsi="宋体" w:cs="宋体"/>
                <w:sz w:val="24"/>
              </w:rPr>
              <w:t>2</w:t>
            </w:r>
            <w:r>
              <w:rPr>
                <w:rFonts w:ascii="宋体" w:eastAsia="宋体" w:hAnsi="宋体" w:cs="宋体"/>
                <w:sz w:val="24"/>
              </w:rPr>
              <w:t>）防洪指标：采用河流堤防及沿河建筑物防洪达标情况评估防洪指标。（</w:t>
            </w:r>
            <w:r>
              <w:rPr>
                <w:rFonts w:ascii="宋体" w:eastAsia="宋体" w:hAnsi="宋体" w:cs="宋体"/>
                <w:sz w:val="24"/>
              </w:rPr>
              <w:t>3</w:t>
            </w:r>
            <w:r>
              <w:rPr>
                <w:rFonts w:ascii="宋体" w:eastAsia="宋体" w:hAnsi="宋体" w:cs="宋体"/>
                <w:sz w:val="24"/>
              </w:rPr>
              <w:t>）供水指标：通过河流干流一年内逐日水位或流量达到供水保证水位或流量的天数占年内总天数的百分比评估供水水量保证程度，反应供水指标情况。（</w:t>
            </w:r>
            <w:r>
              <w:rPr>
                <w:rFonts w:ascii="宋体" w:eastAsia="宋体" w:hAnsi="宋体" w:cs="宋体"/>
                <w:sz w:val="24"/>
              </w:rPr>
              <w:t>4</w:t>
            </w:r>
            <w:r>
              <w:rPr>
                <w:rFonts w:ascii="宋体" w:eastAsia="宋体" w:hAnsi="宋体" w:cs="宋体"/>
                <w:sz w:val="24"/>
              </w:rPr>
              <w:t>）开发利用状况与规划的符合性：复核堤防等涉水工程项目的建设规模及标准等与相关规划的符合性。</w:t>
            </w:r>
          </w:p>
        </w:tc>
      </w:tr>
      <w:tr w:rsidR="00093390">
        <w:tc>
          <w:tcPr>
            <w:tcW w:w="2769" w:type="dxa"/>
          </w:tcPr>
          <w:p w:rsidR="00093390" w:rsidRDefault="00093390"/>
        </w:tc>
        <w:tc>
          <w:tcPr>
            <w:tcW w:w="2769" w:type="dxa"/>
          </w:tcPr>
          <w:p w:rsidR="00093390" w:rsidRDefault="00FD3E67">
            <w:pPr>
              <w:pStyle w:val="null3"/>
              <w:rPr>
                <w:rFonts w:hint="default"/>
              </w:rPr>
            </w:pPr>
            <w:r>
              <w:t>3</w:t>
            </w:r>
          </w:p>
        </w:tc>
        <w:tc>
          <w:tcPr>
            <w:tcW w:w="2769" w:type="dxa"/>
          </w:tcPr>
          <w:p w:rsidR="00093390" w:rsidRDefault="00FD3E67">
            <w:pPr>
              <w:pStyle w:val="null3"/>
              <w:spacing w:before="105" w:after="105"/>
              <w:ind w:firstLine="480"/>
              <w:jc w:val="both"/>
              <w:rPr>
                <w:rFonts w:hint="default"/>
              </w:rPr>
            </w:pPr>
            <w:r>
              <w:rPr>
                <w:rFonts w:ascii="宋体" w:eastAsia="宋体" w:hAnsi="宋体" w:cs="宋体"/>
                <w:sz w:val="24"/>
              </w:rPr>
              <w:t>（三）服务要求：</w:t>
            </w:r>
          </w:p>
          <w:p w:rsidR="00093390" w:rsidRDefault="00FD3E67">
            <w:pPr>
              <w:pStyle w:val="null3"/>
              <w:spacing w:before="105" w:after="105"/>
              <w:ind w:firstLine="480"/>
              <w:jc w:val="both"/>
              <w:rPr>
                <w:rFonts w:hint="default"/>
              </w:rPr>
            </w:pPr>
            <w:r>
              <w:rPr>
                <w:rFonts w:ascii="宋体" w:eastAsia="宋体" w:hAnsi="宋体" w:cs="宋体"/>
                <w:sz w:val="24"/>
              </w:rPr>
              <w:t>1.</w:t>
            </w:r>
            <w:r>
              <w:rPr>
                <w:rFonts w:ascii="宋体" w:eastAsia="宋体" w:hAnsi="宋体" w:cs="宋体"/>
                <w:sz w:val="24"/>
              </w:rPr>
              <w:t>配备相应技术人员</w:t>
            </w:r>
          </w:p>
          <w:p w:rsidR="00093390" w:rsidRDefault="00FD3E67">
            <w:pPr>
              <w:pStyle w:val="null3"/>
              <w:spacing w:before="105" w:after="105"/>
              <w:ind w:firstLine="480"/>
              <w:jc w:val="both"/>
              <w:rPr>
                <w:rFonts w:hint="default"/>
              </w:rPr>
            </w:pPr>
            <w:r>
              <w:rPr>
                <w:rFonts w:ascii="宋体" w:eastAsia="宋体" w:hAnsi="宋体" w:cs="宋体"/>
                <w:sz w:val="24"/>
              </w:rPr>
              <w:t>成立项目工作组，配备项目负责人、项目技术负责人各</w:t>
            </w:r>
            <w:r>
              <w:rPr>
                <w:rFonts w:ascii="宋体" w:eastAsia="宋体" w:hAnsi="宋体" w:cs="宋体"/>
                <w:sz w:val="24"/>
              </w:rPr>
              <w:t>1</w:t>
            </w:r>
            <w:r>
              <w:rPr>
                <w:rFonts w:ascii="宋体" w:eastAsia="宋体" w:hAnsi="宋体" w:cs="宋体"/>
                <w:sz w:val="24"/>
              </w:rPr>
              <w:t>名，配备技术人员若干；工作组按照职能职责各司其职，共同推进河湖健康评价工作并定期向采购人汇报项目开展情况。</w:t>
            </w:r>
          </w:p>
          <w:p w:rsidR="00093390" w:rsidRDefault="00FD3E67">
            <w:pPr>
              <w:pStyle w:val="null3"/>
              <w:spacing w:before="105" w:after="105"/>
              <w:ind w:firstLine="480"/>
              <w:jc w:val="both"/>
              <w:rPr>
                <w:rFonts w:hint="default"/>
              </w:rPr>
            </w:pPr>
            <w:r>
              <w:rPr>
                <w:rFonts w:ascii="宋体" w:eastAsia="宋体" w:hAnsi="宋体" w:cs="宋体"/>
                <w:sz w:val="24"/>
              </w:rPr>
              <w:t>2.</w:t>
            </w:r>
            <w:r>
              <w:rPr>
                <w:rFonts w:ascii="宋体" w:eastAsia="宋体" w:hAnsi="宋体" w:cs="宋体"/>
                <w:sz w:val="24"/>
              </w:rPr>
              <w:t>评价依据</w:t>
            </w:r>
          </w:p>
          <w:p w:rsidR="00093390" w:rsidRDefault="00FD3E67">
            <w:pPr>
              <w:pStyle w:val="null3"/>
              <w:spacing w:before="105" w:after="105"/>
              <w:ind w:firstLine="480"/>
              <w:jc w:val="both"/>
              <w:rPr>
                <w:rFonts w:hint="default"/>
              </w:rPr>
            </w:pPr>
            <w:r>
              <w:rPr>
                <w:rFonts w:ascii="宋体" w:eastAsia="宋体" w:hAnsi="宋体" w:cs="宋体"/>
                <w:sz w:val="24"/>
              </w:rPr>
              <w:t>结合绵阳市本地河湖自然地理、社会环境和服务功能等差异性特征，根据《四川省河流（湖库）健康评价指南》提出的指</w:t>
            </w:r>
            <w:r>
              <w:rPr>
                <w:rFonts w:ascii="宋体" w:eastAsia="宋体" w:hAnsi="宋体" w:cs="宋体"/>
                <w:sz w:val="24"/>
              </w:rPr>
              <w:lastRenderedPageBreak/>
              <w:t>标和评价方法，开展健康评价服务工作。</w:t>
            </w:r>
          </w:p>
          <w:p w:rsidR="00093390" w:rsidRDefault="00FD3E67">
            <w:pPr>
              <w:pStyle w:val="null3"/>
              <w:spacing w:before="105" w:after="105"/>
              <w:ind w:firstLine="480"/>
              <w:jc w:val="both"/>
              <w:rPr>
                <w:rFonts w:hint="default"/>
              </w:rPr>
            </w:pPr>
            <w:r>
              <w:rPr>
                <w:rFonts w:ascii="宋体" w:eastAsia="宋体" w:hAnsi="宋体" w:cs="宋体"/>
                <w:sz w:val="24"/>
              </w:rPr>
              <w:t>3.</w:t>
            </w:r>
            <w:r>
              <w:rPr>
                <w:rFonts w:ascii="宋体" w:eastAsia="宋体" w:hAnsi="宋体" w:cs="宋体"/>
                <w:sz w:val="24"/>
              </w:rPr>
              <w:t>基础资料收集整理：河流所在流域内地形、水系、暴雨、洪水等基本资料；相关规划成果及规划项目建设情况；国民经济统计数据资料；河流流域水系图等基础图件。</w:t>
            </w:r>
          </w:p>
          <w:p w:rsidR="00093390" w:rsidRDefault="00FD3E67">
            <w:pPr>
              <w:pStyle w:val="null3"/>
              <w:spacing w:before="105" w:after="105"/>
              <w:ind w:firstLine="480"/>
              <w:jc w:val="both"/>
              <w:rPr>
                <w:rFonts w:hint="default"/>
              </w:rPr>
            </w:pPr>
            <w:r>
              <w:rPr>
                <w:rFonts w:ascii="宋体" w:eastAsia="宋体" w:hAnsi="宋体" w:cs="宋体"/>
                <w:sz w:val="24"/>
              </w:rPr>
              <w:t>4.</w:t>
            </w:r>
            <w:r>
              <w:rPr>
                <w:rFonts w:ascii="宋体" w:eastAsia="宋体" w:hAnsi="宋体" w:cs="宋体"/>
                <w:sz w:val="24"/>
              </w:rPr>
              <w:t>评价工作大纲</w:t>
            </w:r>
          </w:p>
          <w:p w:rsidR="00093390" w:rsidRDefault="00FD3E67">
            <w:pPr>
              <w:pStyle w:val="null3"/>
              <w:spacing w:before="105" w:after="105"/>
              <w:ind w:firstLine="480"/>
              <w:jc w:val="both"/>
              <w:rPr>
                <w:rFonts w:hint="default"/>
              </w:rPr>
            </w:pPr>
            <w:r>
              <w:rPr>
                <w:rFonts w:ascii="宋体" w:eastAsia="宋体" w:hAnsi="宋体" w:cs="宋体"/>
                <w:sz w:val="24"/>
              </w:rPr>
              <w:t>对三条河流进行初勘，根据河段规划及开发利用情况，确定河流分段评价方案；提出评价指标专项调查监测方案与技术细则，形成健康评价工作大纲。</w:t>
            </w:r>
          </w:p>
          <w:p w:rsidR="00093390" w:rsidRDefault="00FD3E67">
            <w:pPr>
              <w:pStyle w:val="null3"/>
              <w:spacing w:before="105" w:after="105"/>
              <w:ind w:firstLine="480"/>
              <w:jc w:val="both"/>
              <w:rPr>
                <w:rFonts w:hint="default"/>
              </w:rPr>
            </w:pPr>
            <w:r>
              <w:rPr>
                <w:rFonts w:ascii="宋体" w:eastAsia="宋体" w:hAnsi="宋体" w:cs="宋体"/>
                <w:sz w:val="24"/>
              </w:rPr>
              <w:t>5.</w:t>
            </w:r>
            <w:r>
              <w:rPr>
                <w:rFonts w:ascii="宋体" w:eastAsia="宋体" w:hAnsi="宋体" w:cs="宋体"/>
                <w:sz w:val="24"/>
              </w:rPr>
              <w:t>评价分区及调查监测</w:t>
            </w:r>
          </w:p>
          <w:p w:rsidR="00093390" w:rsidRDefault="00FD3E67">
            <w:pPr>
              <w:pStyle w:val="null3"/>
              <w:spacing w:before="105" w:after="105"/>
              <w:ind w:firstLine="480"/>
              <w:jc w:val="both"/>
              <w:rPr>
                <w:rFonts w:hint="default"/>
              </w:rPr>
            </w:pPr>
            <w:r>
              <w:rPr>
                <w:rFonts w:ascii="宋体" w:eastAsia="宋体" w:hAnsi="宋体" w:cs="宋体"/>
                <w:sz w:val="24"/>
              </w:rPr>
              <w:t>组织开展健康评价专项调查</w:t>
            </w:r>
            <w:r>
              <w:rPr>
                <w:rFonts w:ascii="宋体" w:eastAsia="宋体" w:hAnsi="宋体" w:cs="宋体"/>
                <w:sz w:val="24"/>
              </w:rPr>
              <w:t>与专项监测，分区、分段及监测参照水利部《河湖健康评价指南（试行）》执行。</w:t>
            </w:r>
          </w:p>
          <w:p w:rsidR="00093390" w:rsidRDefault="00FD3E67">
            <w:pPr>
              <w:pStyle w:val="null3"/>
              <w:spacing w:before="105" w:after="105"/>
              <w:ind w:firstLine="480"/>
              <w:jc w:val="both"/>
              <w:rPr>
                <w:rFonts w:hint="default"/>
              </w:rPr>
            </w:pPr>
            <w:r>
              <w:rPr>
                <w:rFonts w:ascii="宋体" w:eastAsia="宋体" w:hAnsi="宋体" w:cs="宋体"/>
                <w:sz w:val="24"/>
              </w:rPr>
              <w:t>6.</w:t>
            </w:r>
            <w:r>
              <w:rPr>
                <w:rFonts w:ascii="宋体" w:eastAsia="宋体" w:hAnsi="宋体" w:cs="宋体"/>
                <w:sz w:val="24"/>
              </w:rPr>
              <w:t>报告编制</w:t>
            </w:r>
          </w:p>
          <w:p w:rsidR="00093390" w:rsidRDefault="00FD3E67">
            <w:pPr>
              <w:pStyle w:val="null3"/>
              <w:spacing w:before="105" w:after="105"/>
              <w:ind w:firstLine="480"/>
              <w:jc w:val="both"/>
              <w:rPr>
                <w:rFonts w:hint="default"/>
              </w:rPr>
            </w:pPr>
            <w:r>
              <w:rPr>
                <w:rFonts w:ascii="宋体" w:eastAsia="宋体" w:hAnsi="宋体" w:cs="宋体"/>
                <w:sz w:val="24"/>
              </w:rPr>
              <w:t>（</w:t>
            </w:r>
            <w:r>
              <w:rPr>
                <w:rFonts w:ascii="宋体" w:eastAsia="宋体" w:hAnsi="宋体" w:cs="宋体"/>
                <w:sz w:val="24"/>
              </w:rPr>
              <w:t>1</w:t>
            </w:r>
            <w:r>
              <w:rPr>
                <w:rFonts w:ascii="宋体" w:eastAsia="宋体" w:hAnsi="宋体" w:cs="宋体"/>
                <w:sz w:val="24"/>
              </w:rPr>
              <w:t>）系统整理分析各评价指标调查监测数据，根据《四川省河流（湖库）健康评价指南》计算河流健康评价指标赋分，评价河流健康状况，分析河流健康问题并提出对应保护对策，编制河流健康评价报告。</w:t>
            </w:r>
          </w:p>
          <w:p w:rsidR="00093390" w:rsidRDefault="00FD3E67">
            <w:pPr>
              <w:pStyle w:val="null3"/>
              <w:spacing w:before="105" w:after="105"/>
              <w:ind w:firstLine="480"/>
              <w:jc w:val="both"/>
              <w:rPr>
                <w:rFonts w:hint="default"/>
              </w:rPr>
            </w:pPr>
            <w:r>
              <w:rPr>
                <w:rFonts w:ascii="宋体" w:eastAsia="宋体" w:hAnsi="宋体" w:cs="宋体"/>
                <w:sz w:val="24"/>
              </w:rPr>
              <w:t>（</w:t>
            </w:r>
            <w:r>
              <w:rPr>
                <w:rFonts w:ascii="宋体" w:eastAsia="宋体" w:hAnsi="宋体" w:cs="宋体"/>
                <w:sz w:val="24"/>
              </w:rPr>
              <w:t>2</w:t>
            </w:r>
            <w:r>
              <w:rPr>
                <w:rFonts w:ascii="宋体" w:eastAsia="宋体" w:hAnsi="宋体" w:cs="宋体"/>
                <w:sz w:val="24"/>
              </w:rPr>
              <w:t>）根据专家技术审查意见修改完善报告，形成最终版河流健康评价报告。</w:t>
            </w:r>
          </w:p>
          <w:p w:rsidR="00093390" w:rsidRDefault="00FD3E67">
            <w:pPr>
              <w:pStyle w:val="null3"/>
              <w:spacing w:before="105" w:after="105"/>
              <w:ind w:firstLine="480"/>
              <w:jc w:val="both"/>
              <w:rPr>
                <w:rFonts w:hint="default"/>
              </w:rPr>
            </w:pPr>
            <w:r>
              <w:rPr>
                <w:rFonts w:ascii="宋体" w:eastAsia="宋体" w:hAnsi="宋体" w:cs="宋体"/>
                <w:sz w:val="24"/>
              </w:rPr>
              <w:t>7.</w:t>
            </w:r>
            <w:r>
              <w:rPr>
                <w:rFonts w:ascii="宋体" w:eastAsia="宋体" w:hAnsi="宋体" w:cs="宋体"/>
                <w:sz w:val="24"/>
              </w:rPr>
              <w:t>评价报告</w:t>
            </w:r>
          </w:p>
          <w:p w:rsidR="00093390" w:rsidRDefault="00FD3E67">
            <w:pPr>
              <w:pStyle w:val="null3"/>
              <w:spacing w:before="105" w:after="105"/>
              <w:ind w:firstLine="480"/>
              <w:jc w:val="both"/>
              <w:rPr>
                <w:rFonts w:hint="default"/>
              </w:rPr>
            </w:pPr>
            <w:r>
              <w:rPr>
                <w:rFonts w:ascii="宋体" w:eastAsia="宋体" w:hAnsi="宋体" w:cs="宋体"/>
                <w:sz w:val="24"/>
              </w:rPr>
              <w:lastRenderedPageBreak/>
              <w:t>评价报告内容应包括：河流基本情况、河流健康评价方案、河流健康调查监测方案、河流健康评价结果、河流健康问题分析与保护对策、绘制河流健康评价专题图、河流健康评价</w:t>
            </w:r>
            <w:r>
              <w:rPr>
                <w:rFonts w:ascii="宋体" w:eastAsia="宋体" w:hAnsi="宋体" w:cs="宋体"/>
                <w:sz w:val="24"/>
              </w:rPr>
              <w:t>专题附表等。</w:t>
            </w:r>
          </w:p>
        </w:tc>
      </w:tr>
    </w:tbl>
    <w:p w:rsidR="00093390" w:rsidRDefault="00FD3E67">
      <w:pPr>
        <w:pStyle w:val="null3"/>
        <w:outlineLvl w:val="3"/>
        <w:rPr>
          <w:rFonts w:hint="default"/>
        </w:rPr>
      </w:pPr>
      <w:r>
        <w:rPr>
          <w:b/>
          <w:sz w:val="24"/>
        </w:rPr>
        <w:lastRenderedPageBreak/>
        <w:t>3.2.3</w:t>
      </w:r>
      <w:r>
        <w:rPr>
          <w:b/>
          <w:sz w:val="24"/>
        </w:rPr>
        <w:t>人员配置要求</w:t>
      </w:r>
    </w:p>
    <w:p w:rsidR="00093390" w:rsidRDefault="00093390">
      <w:pPr>
        <w:pStyle w:val="null3"/>
        <w:rPr>
          <w:rFonts w:hint="default"/>
        </w:rPr>
      </w:pP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p>
    <w:p w:rsidR="00093390" w:rsidRDefault="00FD3E67">
      <w:pPr>
        <w:pStyle w:val="null3"/>
        <w:rPr>
          <w:rFonts w:hint="default"/>
        </w:rPr>
      </w:pPr>
      <w:r>
        <w:t>成立项目工作组，配备项目负责人、项目技术负责人各</w:t>
      </w:r>
      <w:r>
        <w:t>1</w:t>
      </w:r>
      <w:r>
        <w:t>名，配备技术人员若干；工作组按照职能职责各司其职，共同推进河</w:t>
      </w:r>
      <w:r>
        <w:t xml:space="preserve"> </w:t>
      </w:r>
      <w:r>
        <w:t>湖健康评价工作并定期向采购人汇报项目开展情况。</w:t>
      </w:r>
    </w:p>
    <w:p w:rsidR="00093390" w:rsidRDefault="00FD3E67">
      <w:pPr>
        <w:pStyle w:val="null3"/>
        <w:outlineLvl w:val="3"/>
        <w:rPr>
          <w:rFonts w:hint="default"/>
        </w:rPr>
      </w:pPr>
      <w:r>
        <w:rPr>
          <w:b/>
          <w:sz w:val="24"/>
        </w:rPr>
        <w:t>3.2.4</w:t>
      </w:r>
      <w:r>
        <w:rPr>
          <w:b/>
          <w:sz w:val="24"/>
        </w:rPr>
        <w:t>设施设备要求</w:t>
      </w:r>
    </w:p>
    <w:p w:rsidR="00093390" w:rsidRDefault="00093390">
      <w:pPr>
        <w:pStyle w:val="null3"/>
        <w:rPr>
          <w:rFonts w:hint="default"/>
        </w:rPr>
      </w:pP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p>
    <w:p w:rsidR="00093390" w:rsidRDefault="00FD3E67">
      <w:pPr>
        <w:pStyle w:val="null3"/>
        <w:rPr>
          <w:rFonts w:hint="default"/>
        </w:rPr>
      </w:pPr>
      <w:r>
        <w:t>无</w:t>
      </w:r>
    </w:p>
    <w:p w:rsidR="00093390" w:rsidRDefault="00FD3E67">
      <w:pPr>
        <w:pStyle w:val="null3"/>
        <w:outlineLvl w:val="3"/>
        <w:rPr>
          <w:rFonts w:hint="default"/>
        </w:rPr>
      </w:pPr>
      <w:r>
        <w:rPr>
          <w:b/>
          <w:sz w:val="24"/>
        </w:rPr>
        <w:t>3.2.5</w:t>
      </w:r>
      <w:r>
        <w:rPr>
          <w:b/>
          <w:sz w:val="24"/>
        </w:rPr>
        <w:t>其他要求</w:t>
      </w:r>
    </w:p>
    <w:p w:rsidR="00093390" w:rsidRDefault="00093390">
      <w:pPr>
        <w:pStyle w:val="null3"/>
        <w:rPr>
          <w:rFonts w:hint="default"/>
        </w:rPr>
      </w:pP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p>
    <w:p w:rsidR="00093390" w:rsidRDefault="00FD3E67">
      <w:pPr>
        <w:pStyle w:val="null3"/>
        <w:rPr>
          <w:rFonts w:hint="default"/>
        </w:rPr>
      </w:pPr>
      <w:r>
        <w:t>供应商应提供项目需求分析、实施方案、人员配置、后续服务及履约能力等相关内容。</w:t>
      </w:r>
    </w:p>
    <w:p w:rsidR="00093390" w:rsidRDefault="00FD3E67">
      <w:pPr>
        <w:pStyle w:val="null3"/>
        <w:outlineLvl w:val="2"/>
        <w:rPr>
          <w:rFonts w:hint="default"/>
        </w:rPr>
      </w:pPr>
      <w:r>
        <w:rPr>
          <w:b/>
          <w:sz w:val="28"/>
        </w:rPr>
        <w:t>3.3</w:t>
      </w:r>
      <w:r>
        <w:rPr>
          <w:b/>
          <w:sz w:val="28"/>
        </w:rPr>
        <w:t>、商务要求</w:t>
      </w:r>
    </w:p>
    <w:p w:rsidR="00093390" w:rsidRDefault="00FD3E67">
      <w:pPr>
        <w:pStyle w:val="null3"/>
        <w:outlineLvl w:val="3"/>
        <w:rPr>
          <w:rFonts w:hint="default"/>
        </w:rPr>
      </w:pPr>
      <w:r>
        <w:rPr>
          <w:b/>
          <w:sz w:val="24"/>
        </w:rPr>
        <w:t>3.3.1</w:t>
      </w:r>
      <w:r>
        <w:rPr>
          <w:b/>
          <w:sz w:val="24"/>
        </w:rPr>
        <w:t>服务期限</w:t>
      </w:r>
    </w:p>
    <w:p w:rsidR="00093390" w:rsidRDefault="00093390">
      <w:pPr>
        <w:pStyle w:val="null3"/>
        <w:rPr>
          <w:rFonts w:hint="default"/>
        </w:rPr>
      </w:pP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p>
    <w:p w:rsidR="00093390" w:rsidRDefault="00FD3E67">
      <w:pPr>
        <w:pStyle w:val="null3"/>
        <w:rPr>
          <w:rFonts w:hint="default"/>
        </w:rPr>
      </w:pPr>
      <w:r>
        <w:t xml:space="preserve"> </w:t>
      </w:r>
      <w:r>
        <w:t>自合同签订之日起</w:t>
      </w:r>
      <w:r>
        <w:t>30</w:t>
      </w:r>
      <w:r>
        <w:t>日</w:t>
      </w:r>
    </w:p>
    <w:p w:rsidR="00093390" w:rsidRDefault="00FD3E67">
      <w:pPr>
        <w:pStyle w:val="null3"/>
        <w:outlineLvl w:val="3"/>
        <w:rPr>
          <w:rFonts w:hint="default"/>
        </w:rPr>
      </w:pPr>
      <w:r>
        <w:rPr>
          <w:b/>
          <w:sz w:val="24"/>
        </w:rPr>
        <w:t>3.3.2</w:t>
      </w:r>
      <w:r>
        <w:rPr>
          <w:b/>
          <w:sz w:val="24"/>
        </w:rPr>
        <w:t>服务地点</w:t>
      </w:r>
    </w:p>
    <w:p w:rsidR="00093390" w:rsidRDefault="00093390">
      <w:pPr>
        <w:pStyle w:val="null3"/>
        <w:rPr>
          <w:rFonts w:hint="default"/>
        </w:rPr>
      </w:pP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p>
    <w:p w:rsidR="00093390" w:rsidRDefault="00FD3E67">
      <w:pPr>
        <w:pStyle w:val="null3"/>
        <w:rPr>
          <w:rFonts w:hint="default"/>
        </w:rPr>
      </w:pPr>
      <w:r>
        <w:t>绵阳市河湖保护中心</w:t>
      </w:r>
    </w:p>
    <w:p w:rsidR="00093390" w:rsidRDefault="00FD3E67">
      <w:pPr>
        <w:pStyle w:val="null3"/>
        <w:outlineLvl w:val="3"/>
        <w:rPr>
          <w:rFonts w:hint="default"/>
        </w:rPr>
      </w:pPr>
      <w:r>
        <w:rPr>
          <w:b/>
          <w:sz w:val="24"/>
        </w:rPr>
        <w:t>3.3.3</w:t>
      </w:r>
      <w:r>
        <w:rPr>
          <w:b/>
          <w:sz w:val="24"/>
        </w:rPr>
        <w:t>考核（验收）标准和方法</w:t>
      </w:r>
    </w:p>
    <w:p w:rsidR="00093390" w:rsidRDefault="00093390">
      <w:pPr>
        <w:pStyle w:val="null3"/>
        <w:rPr>
          <w:rFonts w:hint="default"/>
        </w:rPr>
      </w:pP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p>
    <w:p w:rsidR="00093390" w:rsidRDefault="00FD3E67">
      <w:pPr>
        <w:pStyle w:val="null3"/>
        <w:rPr>
          <w:rFonts w:hint="default"/>
        </w:rPr>
      </w:pPr>
      <w:r>
        <w:t>参照《财政部关于进一步加强政府采购需求和履约验收管理的指导意见》（财库〔</w:t>
      </w:r>
      <w:r>
        <w:t>2016</w:t>
      </w:r>
      <w:r>
        <w:t>〕</w:t>
      </w:r>
      <w:r>
        <w:t>205</w:t>
      </w:r>
      <w:r>
        <w:t>号）文件的规定的要求进行验收。须符合国家有关规定、采购文件的质量要求和技术指标、成交人的响应文件及承诺以及合同条款。</w:t>
      </w:r>
    </w:p>
    <w:p w:rsidR="00093390" w:rsidRDefault="00FD3E67">
      <w:pPr>
        <w:pStyle w:val="null3"/>
        <w:outlineLvl w:val="3"/>
        <w:rPr>
          <w:rFonts w:hint="default"/>
        </w:rPr>
      </w:pPr>
      <w:r>
        <w:rPr>
          <w:b/>
          <w:sz w:val="24"/>
        </w:rPr>
        <w:t>3.3.4</w:t>
      </w:r>
      <w:r>
        <w:rPr>
          <w:b/>
          <w:sz w:val="24"/>
        </w:rPr>
        <w:t>支付方式</w:t>
      </w:r>
    </w:p>
    <w:p w:rsidR="00093390" w:rsidRDefault="00093390">
      <w:pPr>
        <w:pStyle w:val="null3"/>
        <w:rPr>
          <w:rFonts w:hint="default"/>
        </w:rPr>
      </w:pP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p>
    <w:p w:rsidR="00093390" w:rsidRDefault="00FD3E67">
      <w:pPr>
        <w:pStyle w:val="null3"/>
        <w:rPr>
          <w:rFonts w:hint="default"/>
        </w:rPr>
      </w:pPr>
      <w:r>
        <w:t>分期付款</w:t>
      </w:r>
    </w:p>
    <w:p w:rsidR="00093390" w:rsidRDefault="00FD3E67">
      <w:pPr>
        <w:pStyle w:val="null3"/>
        <w:outlineLvl w:val="3"/>
        <w:rPr>
          <w:rFonts w:hint="default"/>
        </w:rPr>
      </w:pPr>
      <w:r>
        <w:rPr>
          <w:b/>
          <w:sz w:val="24"/>
        </w:rPr>
        <w:t>3.3.5</w:t>
      </w:r>
      <w:r>
        <w:rPr>
          <w:b/>
          <w:sz w:val="24"/>
        </w:rPr>
        <w:t>支付约定</w:t>
      </w:r>
    </w:p>
    <w:p w:rsidR="00093390" w:rsidRDefault="00093390">
      <w:pPr>
        <w:pStyle w:val="null3"/>
        <w:rPr>
          <w:rFonts w:hint="default"/>
        </w:rPr>
      </w:pP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r>
        <w:t xml:space="preserve"> </w:t>
      </w:r>
      <w:r>
        <w:t>付款条件说明：</w:t>
      </w:r>
      <w:r>
        <w:t xml:space="preserve"> </w:t>
      </w:r>
      <w:r>
        <w:t>合同签订后</w:t>
      </w:r>
      <w:r>
        <w:t xml:space="preserve"> </w:t>
      </w:r>
      <w:r>
        <w:t>，达到付款条件起</w:t>
      </w:r>
      <w:r>
        <w:t xml:space="preserve"> 10 </w:t>
      </w:r>
      <w:r>
        <w:t>日内，支付合同总金额的</w:t>
      </w:r>
      <w:r>
        <w:t xml:space="preserve"> 30.00%</w:t>
      </w:r>
      <w:r>
        <w:t>。</w:t>
      </w:r>
    </w:p>
    <w:p w:rsidR="00093390" w:rsidRDefault="00FD3E67">
      <w:pPr>
        <w:pStyle w:val="null3"/>
        <w:rPr>
          <w:rFonts w:hint="default"/>
        </w:rPr>
      </w:pPr>
      <w:r>
        <w:t>采购包</w:t>
      </w:r>
      <w:r>
        <w:t>1</w:t>
      </w:r>
      <w:r>
        <w:t>：</w:t>
      </w:r>
      <w:r>
        <w:t xml:space="preserve"> </w:t>
      </w:r>
      <w:r>
        <w:t>付款条件说明：</w:t>
      </w:r>
      <w:r>
        <w:t xml:space="preserve"> </w:t>
      </w:r>
      <w:r>
        <w:t>供应商提交健康评价初稿并通过采购人确认后</w:t>
      </w:r>
      <w:r>
        <w:t xml:space="preserve"> </w:t>
      </w:r>
      <w:r>
        <w:t>，达到付款条件起</w:t>
      </w:r>
      <w:r>
        <w:t xml:space="preserve"> 10 </w:t>
      </w:r>
      <w:r>
        <w:t>日内，支付合同总金额的</w:t>
      </w:r>
      <w:r>
        <w:t xml:space="preserve"> 40.00%</w:t>
      </w:r>
      <w:r>
        <w:t>。</w:t>
      </w:r>
    </w:p>
    <w:p w:rsidR="00093390" w:rsidRDefault="00FD3E67">
      <w:pPr>
        <w:pStyle w:val="null3"/>
        <w:rPr>
          <w:rFonts w:hint="default"/>
        </w:rPr>
      </w:pPr>
      <w:r>
        <w:t>采购包</w:t>
      </w:r>
      <w:r>
        <w:t>1</w:t>
      </w:r>
      <w:r>
        <w:t>：</w:t>
      </w:r>
      <w:r>
        <w:t xml:space="preserve"> </w:t>
      </w:r>
      <w:r>
        <w:t>付款条件说明：</w:t>
      </w:r>
      <w:r>
        <w:t xml:space="preserve"> </w:t>
      </w:r>
      <w:r>
        <w:t>成果经专家会审查通过并形成最终正式成果</w:t>
      </w:r>
      <w:r>
        <w:t xml:space="preserve"> </w:t>
      </w:r>
      <w:r>
        <w:t>，达到付款条件起</w:t>
      </w:r>
      <w:r>
        <w:t xml:space="preserve"> 30 </w:t>
      </w:r>
      <w:r>
        <w:t>日内，支付合同总金额的</w:t>
      </w:r>
      <w:r>
        <w:t xml:space="preserve"> 30.00%</w:t>
      </w:r>
      <w:r>
        <w:t>。</w:t>
      </w:r>
    </w:p>
    <w:p w:rsidR="00093390" w:rsidRDefault="00FD3E67">
      <w:pPr>
        <w:pStyle w:val="null3"/>
        <w:outlineLvl w:val="3"/>
        <w:rPr>
          <w:rFonts w:hint="default"/>
        </w:rPr>
      </w:pPr>
      <w:r>
        <w:rPr>
          <w:b/>
          <w:sz w:val="24"/>
        </w:rPr>
        <w:t>3.3.6</w:t>
      </w:r>
      <w:r>
        <w:rPr>
          <w:b/>
          <w:sz w:val="24"/>
        </w:rPr>
        <w:t>违约责任及解决争议的方法</w:t>
      </w:r>
    </w:p>
    <w:p w:rsidR="00093390" w:rsidRDefault="00093390">
      <w:pPr>
        <w:pStyle w:val="null3"/>
        <w:rPr>
          <w:rFonts w:hint="default"/>
        </w:rPr>
      </w:pP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采购包</w:t>
      </w:r>
      <w:r>
        <w:t>1</w:t>
      </w:r>
      <w:r>
        <w:t>：</w:t>
      </w:r>
    </w:p>
    <w:p w:rsidR="00093390" w:rsidRDefault="00FD3E67">
      <w:pPr>
        <w:pStyle w:val="null3"/>
        <w:rPr>
          <w:rFonts w:hint="default"/>
        </w:rPr>
      </w:pPr>
      <w:r>
        <w:t>乙方未按照合同约定的时间完成相关工作或者其工作质量不符合合同约定的，甲方有权不支付合同价款，并且甲方有权要求乙方退还甲方已支付的合同价款，甲方有权解除合同，并追究乙方违约责任。</w:t>
      </w:r>
      <w:r>
        <w:t xml:space="preserve"> </w:t>
      </w:r>
      <w:r>
        <w:t>乙方妥善保管相关资料、报告及相关信息，并严格保密，未经甲方书面同意不得擅自公开或泄露给他人。否则，乙方按照本合同价款的</w:t>
      </w:r>
      <w:r>
        <w:t>20</w:t>
      </w:r>
      <w:r>
        <w:t>％向甲方支付违约金。</w:t>
      </w:r>
    </w:p>
    <w:p w:rsidR="00093390" w:rsidRDefault="00FD3E67">
      <w:pPr>
        <w:pStyle w:val="null3"/>
        <w:outlineLvl w:val="2"/>
        <w:rPr>
          <w:rFonts w:hint="default"/>
        </w:rPr>
      </w:pPr>
      <w:r>
        <w:rPr>
          <w:b/>
          <w:sz w:val="28"/>
        </w:rPr>
        <w:t>3.4</w:t>
      </w:r>
      <w:r>
        <w:rPr>
          <w:b/>
          <w:sz w:val="28"/>
        </w:rPr>
        <w:t>其他要求</w:t>
      </w:r>
    </w:p>
    <w:p w:rsidR="00093390" w:rsidRDefault="00093390">
      <w:pPr>
        <w:pStyle w:val="null3"/>
        <w:rPr>
          <w:rFonts w:hint="default"/>
        </w:rPr>
      </w:pPr>
    </w:p>
    <w:p w:rsidR="00093390" w:rsidRDefault="00093390">
      <w:pPr>
        <w:pStyle w:val="null3"/>
        <w:rPr>
          <w:rFonts w:hint="default"/>
        </w:rPr>
      </w:pPr>
    </w:p>
    <w:p w:rsidR="00093390" w:rsidRDefault="00FD3E67">
      <w:pPr>
        <w:pStyle w:val="null3"/>
        <w:rPr>
          <w:rFonts w:hint="default"/>
        </w:rPr>
      </w:pPr>
      <w:r>
        <w:t>无</w:t>
      </w:r>
    </w:p>
    <w:p w:rsidR="00093390" w:rsidRDefault="00093390">
      <w:pPr>
        <w:pStyle w:val="null3"/>
        <w:rPr>
          <w:rFonts w:hint="default"/>
        </w:rPr>
      </w:pPr>
    </w:p>
    <w:p w:rsidR="00093390" w:rsidRDefault="00FD3E67">
      <w:pPr>
        <w:pStyle w:val="null3"/>
        <w:rPr>
          <w:rFonts w:hint="default"/>
        </w:rPr>
      </w:pPr>
      <w:r>
        <w:t xml:space="preserve"> </w:t>
      </w:r>
      <w:bookmarkStart w:id="0" w:name="_GoBack"/>
      <w:bookmarkEnd w:id="0"/>
    </w:p>
    <w:sectPr w:rsidR="000933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3E67" w:rsidRDefault="00FD3E67" w:rsidP="00546D02">
      <w:r>
        <w:separator/>
      </w:r>
    </w:p>
  </w:endnote>
  <w:endnote w:type="continuationSeparator" w:id="0">
    <w:p w:rsidR="00FD3E67" w:rsidRDefault="00FD3E67" w:rsidP="00546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3E67" w:rsidRDefault="00FD3E67" w:rsidP="00546D02">
      <w:r>
        <w:separator/>
      </w:r>
    </w:p>
  </w:footnote>
  <w:footnote w:type="continuationSeparator" w:id="0">
    <w:p w:rsidR="00FD3E67" w:rsidRDefault="00FD3E67" w:rsidP="00546D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52B8D"/>
    <w:rsid w:val="00093390"/>
    <w:rsid w:val="00546D02"/>
    <w:rsid w:val="00FD3E67"/>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E8B1EC"/>
  <w15:docId w15:val="{C927A222-F5C9-4802-958A-03F8A5A7A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ll3">
    <w:name w:val="null3"/>
    <w:hidden/>
    <w:rPr>
      <w:rFonts w:hint="eastAsia"/>
      <w:lang w:eastAsia="zh-Hans"/>
    </w:rPr>
  </w:style>
  <w:style w:type="paragraph" w:styleId="a3">
    <w:name w:val="header"/>
    <w:basedOn w:val="a"/>
    <w:link w:val="a4"/>
    <w:rsid w:val="00546D0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546D02"/>
    <w:rPr>
      <w:kern w:val="2"/>
      <w:sz w:val="18"/>
      <w:szCs w:val="18"/>
    </w:rPr>
  </w:style>
  <w:style w:type="paragraph" w:styleId="a5">
    <w:name w:val="footer"/>
    <w:basedOn w:val="a"/>
    <w:link w:val="a6"/>
    <w:rsid w:val="00546D02"/>
    <w:pPr>
      <w:tabs>
        <w:tab w:val="center" w:pos="4153"/>
        <w:tab w:val="right" w:pos="8306"/>
      </w:tabs>
      <w:snapToGrid w:val="0"/>
      <w:jc w:val="left"/>
    </w:pPr>
    <w:rPr>
      <w:sz w:val="18"/>
      <w:szCs w:val="18"/>
    </w:rPr>
  </w:style>
  <w:style w:type="character" w:customStyle="1" w:styleId="a6">
    <w:name w:val="页脚 字符"/>
    <w:basedOn w:val="a0"/>
    <w:link w:val="a5"/>
    <w:rsid w:val="00546D0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469</Words>
  <Characters>2674</Characters>
  <Application>Microsoft Office Word</Application>
  <DocSecurity>0</DocSecurity>
  <Lines>22</Lines>
  <Paragraphs>6</Paragraphs>
  <ScaleCrop>false</ScaleCrop>
  <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五块钱</dc:creator>
  <cp:lastModifiedBy>SLK-ZXB</cp:lastModifiedBy>
  <cp:revision>2</cp:revision>
  <dcterms:created xsi:type="dcterms:W3CDTF">2024-01-08T06:48:00Z</dcterms:created>
  <dcterms:modified xsi:type="dcterms:W3CDTF">2024-01-08T06:48:00Z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