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b/>
          <w:color w:val="auto"/>
          <w:sz w:val="21"/>
        </w:rPr>
      </w:pPr>
      <w:bookmarkStart w:id="277" w:name="_GoBack"/>
      <w:bookmarkEnd w:id="277"/>
    </w:p>
    <w:p>
      <w:pPr>
        <w:ind w:firstLine="0" w:firstLineChars="0"/>
        <w:jc w:val="center"/>
        <w:rPr>
          <w:rFonts w:eastAsia="华文中宋"/>
          <w:bCs/>
          <w:color w:val="auto"/>
          <w:sz w:val="44"/>
          <w:szCs w:val="52"/>
        </w:rPr>
      </w:pPr>
    </w:p>
    <w:p>
      <w:pPr>
        <w:ind w:firstLine="0" w:firstLineChars="0"/>
        <w:jc w:val="center"/>
        <w:rPr>
          <w:rFonts w:eastAsia="华文中宋"/>
          <w:bCs/>
          <w:color w:val="auto"/>
          <w:sz w:val="44"/>
          <w:szCs w:val="52"/>
        </w:rPr>
      </w:pPr>
    </w:p>
    <w:p>
      <w:pPr>
        <w:ind w:firstLine="0" w:firstLineChars="0"/>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eastAsia="zh-CN"/>
        </w:rPr>
        <w:t>绵阳市硕牧云康畜牧养殖有限责任公司</w:t>
      </w:r>
      <w:r>
        <w:rPr>
          <w:rFonts w:hint="eastAsia" w:ascii="仿宋" w:hAnsi="仿宋" w:eastAsia="仿宋" w:cs="仿宋"/>
          <w:b/>
          <w:bCs/>
          <w:color w:val="auto"/>
          <w:sz w:val="36"/>
          <w:szCs w:val="36"/>
          <w:lang w:val="en-US" w:eastAsia="zh-CN"/>
        </w:rPr>
        <w:t xml:space="preserve"> </w:t>
      </w:r>
    </w:p>
    <w:p>
      <w:pPr>
        <w:ind w:firstLine="0" w:firstLineChars="0"/>
        <w:jc w:val="center"/>
        <w:rPr>
          <w:rFonts w:hint="eastAsia" w:ascii="仿宋" w:hAnsi="仿宋" w:eastAsia="仿宋" w:cs="仿宋"/>
          <w:b/>
          <w:bCs/>
          <w:color w:val="auto"/>
          <w:sz w:val="72"/>
          <w:szCs w:val="72"/>
        </w:rPr>
      </w:pPr>
      <w:r>
        <w:rPr>
          <w:rFonts w:hint="eastAsia" w:ascii="仿宋" w:hAnsi="仿宋" w:eastAsia="仿宋" w:cs="仿宋"/>
          <w:b/>
          <w:bCs/>
          <w:color w:val="auto"/>
          <w:sz w:val="36"/>
          <w:szCs w:val="36"/>
          <w:lang w:eastAsia="zh-CN"/>
        </w:rPr>
        <w:t>绵阳市硕牧云康畜牧养殖有限责任公司生猪养殖项目</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bCs/>
          <w:color w:val="auto"/>
          <w:sz w:val="72"/>
          <w:szCs w:val="72"/>
          <w:lang w:eastAsia="zh-CN"/>
        </w:rPr>
      </w:pPr>
      <w:r>
        <w:rPr>
          <w:rFonts w:hint="eastAsia" w:ascii="仿宋" w:hAnsi="仿宋" w:eastAsia="仿宋" w:cs="仿宋"/>
          <w:b/>
          <w:bCs/>
          <w:color w:val="auto"/>
          <w:sz w:val="72"/>
          <w:szCs w:val="72"/>
        </w:rPr>
        <w:t>环境影响报告书</w:t>
      </w:r>
      <w:r>
        <w:rPr>
          <w:rFonts w:hint="eastAsia" w:ascii="仿宋" w:hAnsi="仿宋" w:eastAsia="仿宋" w:cs="仿宋"/>
          <w:b/>
          <w:bCs/>
          <w:color w:val="auto"/>
          <w:sz w:val="72"/>
          <w:szCs w:val="72"/>
          <w:lang w:eastAsia="zh-CN"/>
        </w:rPr>
        <w:t>（</w:t>
      </w:r>
      <w:r>
        <w:rPr>
          <w:rFonts w:hint="eastAsia" w:ascii="仿宋" w:hAnsi="仿宋" w:eastAsia="仿宋" w:cs="仿宋"/>
          <w:b/>
          <w:bCs/>
          <w:color w:val="auto"/>
          <w:sz w:val="72"/>
          <w:szCs w:val="72"/>
          <w:lang w:val="en-US" w:eastAsia="zh-CN"/>
        </w:rPr>
        <w:t>重新报批</w:t>
      </w:r>
      <w:r>
        <w:rPr>
          <w:rFonts w:hint="eastAsia" w:ascii="仿宋" w:hAnsi="仿宋" w:eastAsia="仿宋" w:cs="仿宋"/>
          <w:b/>
          <w:bCs/>
          <w:color w:val="auto"/>
          <w:sz w:val="72"/>
          <w:szCs w:val="72"/>
          <w:lang w:eastAsia="zh-CN"/>
        </w:rPr>
        <w:t>）</w:t>
      </w:r>
    </w:p>
    <w:p>
      <w:pPr>
        <w:pStyle w:val="265"/>
        <w:jc w:val="center"/>
        <w:rPr>
          <w:rFonts w:hint="eastAsia"/>
          <w:color w:val="auto"/>
          <w:u w:val="none"/>
        </w:rPr>
      </w:pP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485140</wp:posOffset>
                </wp:positionH>
                <wp:positionV relativeFrom="paragraph">
                  <wp:posOffset>206375</wp:posOffset>
                </wp:positionV>
                <wp:extent cx="5680075" cy="76200"/>
                <wp:effectExtent l="0" t="0" r="0" b="0"/>
                <wp:wrapNone/>
                <wp:docPr id="10" name="任意多边形 26"/>
                <wp:cNvGraphicFramePr/>
                <a:graphic xmlns:a="http://schemas.openxmlformats.org/drawingml/2006/main">
                  <a:graphicData uri="http://schemas.microsoft.com/office/word/2010/wordprocessingShape">
                    <wps:wsp>
                      <wps:cNvSpPr/>
                      <wps:spPr>
                        <a:xfrm flipV="1">
                          <a:off x="0" y="0"/>
                          <a:ext cx="5680075" cy="76200"/>
                        </a:xfrm>
                        <a:custGeom>
                          <a:avLst/>
                          <a:gdLst/>
                          <a:ahLst/>
                          <a:cxnLst/>
                          <a:pathLst>
                            <a:path w="8357" h="1">
                              <a:moveTo>
                                <a:pt x="0" y="0"/>
                              </a:moveTo>
                              <a:lnTo>
                                <a:pt x="8357" y="0"/>
                              </a:lnTo>
                            </a:path>
                          </a:pathLst>
                        </a:custGeom>
                        <a:noFill/>
                        <a:ln w="12700" cap="flat" cmpd="sng">
                          <a:solidFill>
                            <a:srgbClr val="000000"/>
                          </a:solidFill>
                          <a:prstDash val="solid"/>
                          <a:headEnd type="none" w="med" len="med"/>
                          <a:tailEnd type="none" w="med" len="med"/>
                        </a:ln>
                      </wps:spPr>
                      <wps:bodyPr vert="horz" wrap="square" anchor="t" anchorCtr="0" upright="1"/>
                    </wps:wsp>
                  </a:graphicData>
                </a:graphic>
              </wp:anchor>
            </w:drawing>
          </mc:Choice>
          <mc:Fallback>
            <w:pict>
              <v:shape id="任意多边形 26" o:spid="_x0000_s1026" o:spt="100" style="position:absolute;left:0pt;flip:y;margin-left:38.2pt;margin-top:16.25pt;height:6pt;width:447.25pt;z-index:251666432;mso-width-relative:page;mso-height-relative:page;" filled="f" stroked="t" coordsize="8357,1" o:gfxdata="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BhWa3a&#10;AAAACAEAAA8AAAAAAAAAAQAgAAAAIgAAAGRycy9kb3ducmV2LnhtbFBLAQIUABQAAAAIAIdO4kAb&#10;w08mVwIAAMwEAAAOAAAAAAAAAAEAIAAAACkBAABkcnMvZTJvRG9jLnhtbFBLBQYAAAAABgAGAFkB&#10;AADyBQAAAAA=&#10;" path="m0,0l8357,0e">
                <v:fill on="f" focussize="0,0"/>
                <v:stroke weight="1pt" color="#000000" joinstyle="round"/>
                <v:imagedata o:title=""/>
                <o:lock v:ext="edit" aspectratio="f"/>
              </v:shape>
            </w:pict>
          </mc:Fallback>
        </mc:AlternateContent>
      </w: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485140</wp:posOffset>
                </wp:positionH>
                <wp:positionV relativeFrom="paragraph">
                  <wp:posOffset>153035</wp:posOffset>
                </wp:positionV>
                <wp:extent cx="5675630" cy="76200"/>
                <wp:effectExtent l="0" t="0" r="0" b="0"/>
                <wp:wrapNone/>
                <wp:docPr id="9" name="任意多边形 25"/>
                <wp:cNvGraphicFramePr/>
                <a:graphic xmlns:a="http://schemas.openxmlformats.org/drawingml/2006/main">
                  <a:graphicData uri="http://schemas.microsoft.com/office/word/2010/wordprocessingShape">
                    <wps:wsp>
                      <wps:cNvSpPr/>
                      <wps:spPr>
                        <a:xfrm flipV="1">
                          <a:off x="0" y="0"/>
                          <a:ext cx="5675630" cy="76200"/>
                        </a:xfrm>
                        <a:custGeom>
                          <a:avLst/>
                          <a:gdLst/>
                          <a:ahLst/>
                          <a:cxnLst/>
                          <a:pathLst>
                            <a:path w="8357" h="1">
                              <a:moveTo>
                                <a:pt x="0" y="0"/>
                              </a:moveTo>
                              <a:lnTo>
                                <a:pt x="8357" y="0"/>
                              </a:lnTo>
                            </a:path>
                          </a:pathLst>
                        </a:custGeom>
                        <a:noFill/>
                        <a:ln w="28575" cap="flat" cmpd="sng">
                          <a:solidFill>
                            <a:srgbClr val="000000"/>
                          </a:solidFill>
                          <a:prstDash val="solid"/>
                          <a:headEnd type="none" w="med" len="med"/>
                          <a:tailEnd type="none" w="med" len="med"/>
                        </a:ln>
                      </wps:spPr>
                      <wps:bodyPr vert="horz" wrap="square" anchor="t" anchorCtr="0" upright="1"/>
                    </wps:wsp>
                  </a:graphicData>
                </a:graphic>
              </wp:anchor>
            </w:drawing>
          </mc:Choice>
          <mc:Fallback>
            <w:pict>
              <v:shape id="任意多边形 25" o:spid="_x0000_s1026" o:spt="100" style="position:absolute;left:0pt;flip:y;margin-left:38.2pt;margin-top:12.05pt;height:6pt;width:446.9pt;z-index:251665408;mso-width-relative:page;mso-height-relative:page;" filled="f" stroked="t" coordsize="8357,1" o:gfxdata="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Zym52&#10;2gAAAAgBAAAPAAAAAAAAAAEAIAAAACIAAABkcnMvZG93bnJldi54bWxQSwECFAAUAAAACACHTuJA&#10;aaqlW1gCAADLBAAADgAAAAAAAAABACAAAAApAQAAZHJzL2Uyb0RvYy54bWxQSwUGAAAAAAYABgBZ&#10;AQAA8wUAAAAA&#10;" path="m0,0l8357,0e">
                <v:fill on="f" focussize="0,0"/>
                <v:stroke weight="2.25pt" color="#000000" joinstyle="round"/>
                <v:imagedata o:title=""/>
                <o:lock v:ext="edit" aspectratio="f"/>
              </v:shape>
            </w:pict>
          </mc:Fallback>
        </mc:AlternateContent>
      </w:r>
      <w:r>
        <w:rPr>
          <w:rFonts w:hint="eastAsia"/>
          <w:color w:val="auto"/>
          <w:u w:val="none"/>
        </w:rPr>
        <w:t>ENVIRONMENTAL</w:t>
      </w:r>
      <w:r>
        <w:rPr>
          <w:rFonts w:hint="eastAsia"/>
          <w:color w:val="auto"/>
          <w:u w:val="none"/>
          <w:lang w:val="en-US" w:eastAsia="zh-CN"/>
        </w:rPr>
        <w:t xml:space="preserve"> </w:t>
      </w:r>
      <w:r>
        <w:rPr>
          <w:rFonts w:hint="eastAsia"/>
          <w:color w:val="auto"/>
          <w:u w:val="none"/>
        </w:rPr>
        <w:t xml:space="preserve"> IMPACT </w:t>
      </w:r>
      <w:r>
        <w:rPr>
          <w:rFonts w:hint="eastAsia"/>
          <w:color w:val="auto"/>
          <w:u w:val="none"/>
          <w:lang w:val="en-US" w:eastAsia="zh-CN"/>
        </w:rPr>
        <w:t xml:space="preserve"> </w:t>
      </w:r>
      <w:r>
        <w:rPr>
          <w:rFonts w:hint="eastAsia"/>
          <w:color w:val="auto"/>
          <w:u w:val="none"/>
        </w:rPr>
        <w:t xml:space="preserve">ASSESSMENT </w:t>
      </w:r>
      <w:r>
        <w:rPr>
          <w:rFonts w:hint="eastAsia"/>
          <w:color w:val="auto"/>
          <w:u w:val="none"/>
          <w:lang w:val="en-US" w:eastAsia="zh-CN"/>
        </w:rPr>
        <w:t xml:space="preserve"> </w:t>
      </w:r>
      <w:r>
        <w:rPr>
          <w:rFonts w:hint="eastAsia"/>
          <w:color w:val="auto"/>
          <w:u w:val="none"/>
        </w:rPr>
        <w:t>REPORT</w:t>
      </w:r>
    </w:p>
    <w:p>
      <w:pPr>
        <w:ind w:firstLine="0" w:firstLineChars="0"/>
        <w:jc w:val="center"/>
        <w:rPr>
          <w:rFonts w:eastAsia="华文中宋"/>
          <w:bCs/>
          <w:color w:val="auto"/>
          <w:sz w:val="44"/>
          <w:szCs w:val="52"/>
        </w:rPr>
      </w:pPr>
      <w:r>
        <w:rPr>
          <w:rFonts w:hint="eastAsia"/>
          <w:color w:val="auto"/>
          <w:u w:val="none"/>
          <w:lang w:val="en-US" w:eastAsia="zh-CN"/>
        </w:rPr>
        <w:t xml:space="preserve">                                                                       </w:t>
      </w:r>
      <w:r>
        <w:rPr>
          <w:rFonts w:hint="eastAsia"/>
          <w:color w:val="auto"/>
          <w:u w:val="single"/>
          <w:lang w:val="en-US" w:eastAsia="zh-CN"/>
        </w:rPr>
        <w:t xml:space="preserve">   </w:t>
      </w:r>
      <w:r>
        <w:rPr>
          <w:rFonts w:hint="eastAsia"/>
          <w:color w:val="auto"/>
          <w:lang w:val="en-US" w:eastAsia="zh-CN"/>
        </w:rPr>
        <w:t xml:space="preserve">        </w:t>
      </w:r>
    </w:p>
    <w:p>
      <w:pPr>
        <w:spacing w:line="240" w:lineRule="auto"/>
        <w:ind w:firstLine="0" w:firstLineChars="0"/>
        <w:jc w:val="center"/>
        <w:rPr>
          <w:rFonts w:hint="eastAsia" w:ascii="仿宋" w:hAnsi="仿宋" w:eastAsia="仿宋" w:cs="仿宋"/>
          <w:color w:val="auto"/>
          <w:sz w:val="32"/>
          <w:szCs w:val="32"/>
        </w:rPr>
      </w:pPr>
      <w:r>
        <w:rPr>
          <w:rFonts w:hint="eastAsia" w:ascii="仿宋" w:hAnsi="仿宋" w:eastAsia="仿宋" w:cs="仿宋"/>
          <w:color w:val="auto"/>
          <w:sz w:val="32"/>
          <w:szCs w:val="32"/>
        </w:rPr>
        <w:t>（承诺制送审本）</w:t>
      </w:r>
    </w:p>
    <w:p>
      <w:pPr>
        <w:ind w:firstLine="0" w:firstLineChars="0"/>
        <w:jc w:val="center"/>
        <w:rPr>
          <w:color w:val="auto"/>
        </w:rPr>
      </w:pPr>
    </w:p>
    <w:p>
      <w:pPr>
        <w:ind w:firstLine="0" w:firstLineChars="0"/>
        <w:jc w:val="center"/>
        <w:rPr>
          <w:color w:val="auto"/>
          <w:sz w:val="44"/>
        </w:rPr>
      </w:pPr>
    </w:p>
    <w:p>
      <w:pPr>
        <w:ind w:firstLine="0" w:firstLineChars="0"/>
        <w:jc w:val="center"/>
        <w:rPr>
          <w:color w:val="auto"/>
          <w:sz w:val="44"/>
        </w:rPr>
      </w:pPr>
    </w:p>
    <w:p>
      <w:pPr>
        <w:ind w:firstLine="0" w:firstLineChars="0"/>
        <w:jc w:val="center"/>
        <w:rPr>
          <w:color w:val="auto"/>
          <w:sz w:val="44"/>
        </w:rPr>
      </w:pPr>
    </w:p>
    <w:p>
      <w:pPr>
        <w:pStyle w:val="265"/>
        <w:rPr>
          <w:color w:val="auto"/>
          <w:sz w:val="44"/>
        </w:rPr>
      </w:pPr>
    </w:p>
    <w:p>
      <w:pPr>
        <w:pStyle w:val="265"/>
        <w:rPr>
          <w:color w:val="auto"/>
          <w:sz w:val="44"/>
        </w:rPr>
      </w:pPr>
    </w:p>
    <w:p>
      <w:pPr>
        <w:pStyle w:val="265"/>
        <w:rPr>
          <w:color w:val="auto"/>
          <w:sz w:val="44"/>
        </w:rPr>
      </w:pPr>
    </w:p>
    <w:p>
      <w:pPr>
        <w:pStyle w:val="265"/>
        <w:rPr>
          <w:color w:val="auto"/>
          <w:sz w:val="44"/>
        </w:rPr>
      </w:pPr>
    </w:p>
    <w:tbl>
      <w:tblPr>
        <w:tblStyle w:val="5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87"/>
        <w:gridCol w:w="5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87" w:type="dxa"/>
            <w:tcBorders>
              <w:tl2br w:val="nil"/>
              <w:tr2bl w:val="nil"/>
            </w:tcBorders>
            <w:noWrap w:val="0"/>
            <w:vAlign w:val="center"/>
          </w:tcPr>
          <w:p>
            <w:pPr>
              <w:spacing w:line="240" w:lineRule="auto"/>
              <w:ind w:firstLine="0" w:firstLineChars="0"/>
              <w:jc w:val="center"/>
              <w:rPr>
                <w:rFonts w:hint="eastAsia" w:ascii="仿宋" w:hAnsi="仿宋" w:eastAsia="仿宋" w:cs="仿宋"/>
                <w:b/>
                <w:bCs/>
                <w:color w:val="auto"/>
                <w:sz w:val="28"/>
                <w:szCs w:val="22"/>
              </w:rPr>
            </w:pPr>
            <w:r>
              <w:rPr>
                <w:rFonts w:hint="eastAsia" w:ascii="仿宋" w:hAnsi="仿宋" w:eastAsia="仿宋" w:cs="仿宋"/>
                <w:b/>
                <w:bCs/>
                <w:color w:val="auto"/>
                <w:sz w:val="28"/>
                <w:szCs w:val="18"/>
              </w:rPr>
              <w:t>委托单位：</w:t>
            </w:r>
          </w:p>
        </w:tc>
        <w:tc>
          <w:tcPr>
            <w:tcW w:w="5917" w:type="dxa"/>
            <w:tcBorders>
              <w:tl2br w:val="nil"/>
              <w:tr2bl w:val="nil"/>
            </w:tcBorders>
            <w:noWrap w:val="0"/>
            <w:vAlign w:val="top"/>
          </w:tcPr>
          <w:p>
            <w:pPr>
              <w:spacing w:line="240" w:lineRule="auto"/>
              <w:ind w:firstLine="0" w:firstLineChars="0"/>
              <w:jc w:val="center"/>
              <w:rPr>
                <w:rFonts w:hint="eastAsia" w:ascii="仿宋" w:hAnsi="仿宋" w:eastAsia="仿宋" w:cs="仿宋"/>
                <w:b/>
                <w:bCs/>
                <w:color w:val="auto"/>
                <w:sz w:val="28"/>
                <w:szCs w:val="22"/>
                <w:lang w:eastAsia="zh-CN"/>
              </w:rPr>
            </w:pPr>
            <w:r>
              <w:rPr>
                <w:rFonts w:hint="eastAsia" w:ascii="仿宋" w:hAnsi="仿宋" w:eastAsia="仿宋" w:cs="仿宋"/>
                <w:b/>
                <w:bCs/>
                <w:color w:val="auto"/>
                <w:sz w:val="28"/>
                <w:szCs w:val="18"/>
                <w:lang w:eastAsia="zh-CN"/>
              </w:rPr>
              <w:t>绵阳市硕牧云康畜牧养殖有限责任公司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87" w:type="dxa"/>
            <w:tcBorders>
              <w:tl2br w:val="nil"/>
              <w:tr2bl w:val="nil"/>
            </w:tcBorders>
            <w:noWrap w:val="0"/>
            <w:vAlign w:val="top"/>
          </w:tcPr>
          <w:p>
            <w:pPr>
              <w:spacing w:line="240" w:lineRule="auto"/>
              <w:ind w:firstLine="0" w:firstLineChars="0"/>
              <w:jc w:val="center"/>
              <w:rPr>
                <w:rFonts w:hint="eastAsia" w:ascii="仿宋" w:hAnsi="仿宋" w:eastAsia="仿宋" w:cs="仿宋"/>
                <w:b/>
                <w:bCs/>
                <w:color w:val="auto"/>
                <w:sz w:val="28"/>
                <w:szCs w:val="22"/>
              </w:rPr>
            </w:pPr>
            <w:r>
              <w:rPr>
                <w:rFonts w:hint="eastAsia" w:ascii="仿宋" w:hAnsi="仿宋" w:eastAsia="仿宋" w:cs="仿宋"/>
                <w:b/>
                <w:bCs/>
                <w:color w:val="auto"/>
                <w:sz w:val="28"/>
                <w:szCs w:val="18"/>
              </w:rPr>
              <w:t>编制单位：</w:t>
            </w:r>
          </w:p>
        </w:tc>
        <w:tc>
          <w:tcPr>
            <w:tcW w:w="5917" w:type="dxa"/>
            <w:tcBorders>
              <w:tl2br w:val="nil"/>
              <w:tr2bl w:val="nil"/>
            </w:tcBorders>
            <w:noWrap w:val="0"/>
            <w:vAlign w:val="top"/>
          </w:tcPr>
          <w:p>
            <w:pPr>
              <w:spacing w:line="240" w:lineRule="auto"/>
              <w:ind w:firstLine="0" w:firstLineChars="0"/>
              <w:jc w:val="center"/>
              <w:rPr>
                <w:rFonts w:hint="eastAsia" w:ascii="仿宋" w:hAnsi="仿宋" w:eastAsia="仿宋" w:cs="仿宋"/>
                <w:b/>
                <w:bCs/>
                <w:color w:val="auto"/>
                <w:sz w:val="28"/>
                <w:szCs w:val="22"/>
                <w:lang w:eastAsia="zh-CN"/>
              </w:rPr>
            </w:pPr>
            <w:r>
              <w:rPr>
                <w:rFonts w:hint="eastAsia" w:ascii="仿宋" w:hAnsi="仿宋" w:eastAsia="仿宋" w:cs="仿宋"/>
                <w:b/>
                <w:bCs/>
                <w:color w:val="auto"/>
                <w:sz w:val="28"/>
                <w:szCs w:val="18"/>
                <w:lang w:eastAsia="zh-CN"/>
              </w:rPr>
              <w:t>德阳显众环境科技有限公司</w:t>
            </w:r>
          </w:p>
        </w:tc>
      </w:tr>
    </w:tbl>
    <w:p>
      <w:pPr>
        <w:spacing w:line="240" w:lineRule="auto"/>
        <w:ind w:firstLine="0" w:firstLineChars="0"/>
        <w:jc w:val="center"/>
        <w:rPr>
          <w:rFonts w:hint="eastAsia" w:ascii="仿宋" w:hAnsi="仿宋" w:eastAsia="仿宋" w:cs="仿宋"/>
          <w:b/>
          <w:color w:val="auto"/>
          <w:sz w:val="28"/>
          <w:szCs w:val="28"/>
          <w:lang w:val="en-US" w:eastAsia="zh-CN"/>
        </w:rPr>
      </w:pPr>
    </w:p>
    <w:p>
      <w:pPr>
        <w:spacing w:line="240" w:lineRule="auto"/>
        <w:ind w:firstLine="0" w:firstLineChars="0"/>
        <w:jc w:val="center"/>
        <w:rPr>
          <w:rFonts w:hint="eastAsia" w:ascii="仿宋" w:hAnsi="仿宋" w:eastAsia="仿宋" w:cs="仿宋"/>
          <w:b/>
          <w:color w:val="auto"/>
          <w:sz w:val="28"/>
          <w:szCs w:val="28"/>
        </w:rPr>
        <w:sectPr>
          <w:headerReference r:id="rId7" w:type="first"/>
          <w:footerReference r:id="rId10" w:type="first"/>
          <w:headerReference r:id="rId5" w:type="default"/>
          <w:footerReference r:id="rId8" w:type="default"/>
          <w:headerReference r:id="rId6" w:type="even"/>
          <w:footerReference r:id="rId9" w:type="even"/>
          <w:pgSz w:w="11907" w:h="16840"/>
          <w:pgMar w:top="720" w:right="720" w:bottom="720" w:left="720" w:header="851" w:footer="992" w:gutter="0"/>
          <w:pgBorders w:offsetFrom="page">
            <w:top w:val="none" w:sz="0" w:space="0"/>
            <w:left w:val="none" w:sz="0" w:space="0"/>
            <w:bottom w:val="none" w:sz="0" w:space="0"/>
            <w:right w:val="none" w:sz="0" w:space="0"/>
          </w:pgBorders>
          <w:pgNumType w:fmt="lowerRoman" w:start="1"/>
          <w:cols w:space="720" w:num="1"/>
          <w:docGrid w:linePitch="312" w:charSpace="0"/>
        </w:sectPr>
      </w:pPr>
      <w:r>
        <w:rPr>
          <w:rFonts w:hint="eastAsia" w:ascii="仿宋" w:hAnsi="仿宋" w:eastAsia="仿宋" w:cs="仿宋"/>
          <w:b/>
          <w:color w:val="auto"/>
          <w:sz w:val="28"/>
          <w:szCs w:val="28"/>
          <w:lang w:val="en-US" w:eastAsia="zh-CN"/>
        </w:rPr>
        <w:t>2021</w:t>
      </w:r>
      <w:r>
        <w:rPr>
          <w:rFonts w:hint="eastAsia" w:ascii="仿宋" w:hAnsi="仿宋" w:eastAsia="仿宋" w:cs="仿宋"/>
          <w:b/>
          <w:color w:val="auto"/>
          <w:sz w:val="28"/>
          <w:szCs w:val="28"/>
        </w:rPr>
        <w:t>年</w:t>
      </w:r>
      <w:r>
        <w:rPr>
          <w:rFonts w:hint="eastAsia" w:ascii="仿宋" w:hAnsi="仿宋" w:eastAsia="仿宋" w:cs="仿宋"/>
          <w:b/>
          <w:color w:val="auto"/>
          <w:sz w:val="28"/>
          <w:szCs w:val="28"/>
          <w:lang w:val="en-US" w:eastAsia="zh-CN"/>
        </w:rPr>
        <w:t>03</w:t>
      </w:r>
      <w:r>
        <w:rPr>
          <w:rFonts w:hint="eastAsia" w:ascii="仿宋" w:hAnsi="仿宋" w:eastAsia="仿宋" w:cs="仿宋"/>
          <w:b/>
          <w:color w:val="auto"/>
          <w:sz w:val="28"/>
          <w:szCs w:val="28"/>
        </w:rPr>
        <w:t>月</w:t>
      </w:r>
    </w:p>
    <w:p>
      <w:pPr>
        <w:pStyle w:val="35"/>
        <w:tabs>
          <w:tab w:val="right" w:leader="dot" w:pos="8777"/>
        </w:tabs>
        <w:spacing w:line="240" w:lineRule="auto"/>
        <w:jc w:val="center"/>
        <w:rPr>
          <w:b w:val="0"/>
          <w:color w:val="auto"/>
          <w:sz w:val="28"/>
          <w:szCs w:val="28"/>
        </w:rPr>
      </w:pPr>
      <w:r>
        <w:rPr>
          <w:b w:val="0"/>
          <w:color w:val="auto"/>
          <w:sz w:val="28"/>
          <w:szCs w:val="28"/>
        </w:rPr>
        <w:t>目   录</w:t>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TOC \o "1-2" \h \z \u </w:instrText>
      </w:r>
      <w:r>
        <w:rPr>
          <w:rFonts w:eastAsia="等线 Light"/>
          <w:color w:val="auto"/>
        </w:rPr>
        <w:fldChar w:fldCharType="separate"/>
      </w:r>
      <w:r>
        <w:rPr>
          <w:rFonts w:eastAsia="等线 Light"/>
          <w:color w:val="auto"/>
        </w:rPr>
        <w:fldChar w:fldCharType="begin"/>
      </w:r>
      <w:r>
        <w:rPr>
          <w:rFonts w:eastAsia="等线 Light"/>
          <w:color w:val="auto"/>
        </w:rPr>
        <w:instrText xml:space="preserve"> HYPERLINK \l _Toc1983 </w:instrText>
      </w:r>
      <w:r>
        <w:rPr>
          <w:rFonts w:eastAsia="等线 Light"/>
          <w:color w:val="auto"/>
        </w:rPr>
        <w:fldChar w:fldCharType="separate"/>
      </w:r>
      <w:r>
        <w:rPr>
          <w:rFonts w:hint="eastAsia" w:ascii="Arial Unicode MS" w:hAnsi="Arial Unicode MS" w:eastAsia="宋体"/>
          <w:color w:val="auto"/>
        </w:rPr>
        <w:t xml:space="preserve">1 </w:t>
      </w:r>
      <w:r>
        <w:rPr>
          <w:color w:val="auto"/>
        </w:rPr>
        <w:t>概述</w:t>
      </w:r>
      <w:r>
        <w:rPr>
          <w:color w:val="auto"/>
        </w:rPr>
        <w:tab/>
      </w:r>
      <w:r>
        <w:rPr>
          <w:color w:val="auto"/>
        </w:rPr>
        <w:fldChar w:fldCharType="begin"/>
      </w:r>
      <w:r>
        <w:rPr>
          <w:color w:val="auto"/>
        </w:rPr>
        <w:instrText xml:space="preserve"> PAGEREF _Toc1983 \h </w:instrText>
      </w:r>
      <w:r>
        <w:rPr>
          <w:color w:val="auto"/>
        </w:rPr>
        <w:fldChar w:fldCharType="separate"/>
      </w:r>
      <w:r>
        <w:rPr>
          <w:color w:val="auto"/>
        </w:rPr>
        <w:t>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_Toc26420 </w:instrText>
      </w:r>
      <w:r>
        <w:rPr>
          <w:rFonts w:eastAsia="等线 Light"/>
          <w:color w:val="auto"/>
        </w:rPr>
        <w:fldChar w:fldCharType="separate"/>
      </w:r>
      <w:r>
        <w:rPr>
          <w:rFonts w:hint="eastAsia"/>
          <w:color w:val="auto"/>
        </w:rPr>
        <w:t xml:space="preserve">1.1 </w:t>
      </w:r>
      <w:r>
        <w:rPr>
          <w:color w:val="auto"/>
        </w:rPr>
        <w:t>项目由来</w:t>
      </w:r>
      <w:r>
        <w:rPr>
          <w:color w:val="auto"/>
        </w:rPr>
        <w:tab/>
      </w:r>
      <w:r>
        <w:rPr>
          <w:color w:val="auto"/>
        </w:rPr>
        <w:fldChar w:fldCharType="begin"/>
      </w:r>
      <w:r>
        <w:rPr>
          <w:color w:val="auto"/>
        </w:rPr>
        <w:instrText xml:space="preserve"> PAGEREF _Toc26420 \h </w:instrText>
      </w:r>
      <w:r>
        <w:rPr>
          <w:color w:val="auto"/>
        </w:rPr>
        <w:fldChar w:fldCharType="separate"/>
      </w:r>
      <w:r>
        <w:rPr>
          <w:color w:val="auto"/>
        </w:rPr>
        <w:t>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_Toc29784 </w:instrText>
      </w:r>
      <w:r>
        <w:rPr>
          <w:rFonts w:eastAsia="等线 Light"/>
          <w:color w:val="auto"/>
        </w:rPr>
        <w:fldChar w:fldCharType="separate"/>
      </w:r>
      <w:r>
        <w:rPr>
          <w:rFonts w:hint="eastAsia" w:eastAsia="黑体"/>
          <w:color w:val="auto"/>
          <w:szCs w:val="28"/>
        </w:rPr>
        <w:t xml:space="preserve">1.2 </w:t>
      </w:r>
      <w:r>
        <w:rPr>
          <w:rFonts w:eastAsia="黑体"/>
          <w:color w:val="auto"/>
          <w:szCs w:val="28"/>
        </w:rPr>
        <w:t>建设项目特点</w:t>
      </w:r>
      <w:r>
        <w:rPr>
          <w:color w:val="auto"/>
        </w:rPr>
        <w:tab/>
      </w:r>
      <w:r>
        <w:rPr>
          <w:color w:val="auto"/>
        </w:rPr>
        <w:fldChar w:fldCharType="begin"/>
      </w:r>
      <w:r>
        <w:rPr>
          <w:color w:val="auto"/>
        </w:rPr>
        <w:instrText xml:space="preserve"> PAGEREF _Toc29784 \h </w:instrText>
      </w:r>
      <w:r>
        <w:rPr>
          <w:color w:val="auto"/>
        </w:rPr>
        <w:fldChar w:fldCharType="separate"/>
      </w:r>
      <w:r>
        <w:rPr>
          <w:color w:val="auto"/>
        </w:rPr>
        <w:t>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_Toc7062 </w:instrText>
      </w:r>
      <w:r>
        <w:rPr>
          <w:rFonts w:eastAsia="等线 Light"/>
          <w:color w:val="auto"/>
        </w:rPr>
        <w:fldChar w:fldCharType="separate"/>
      </w:r>
      <w:r>
        <w:rPr>
          <w:rFonts w:hint="eastAsia" w:eastAsia="黑体"/>
          <w:color w:val="auto"/>
        </w:rPr>
        <w:t xml:space="preserve">1.3 </w:t>
      </w:r>
      <w:r>
        <w:rPr>
          <w:rFonts w:eastAsia="黑体"/>
          <w:color w:val="auto"/>
        </w:rPr>
        <w:t>环境影响评价的工作过程</w:t>
      </w:r>
      <w:r>
        <w:rPr>
          <w:color w:val="auto"/>
        </w:rPr>
        <w:tab/>
      </w:r>
      <w:r>
        <w:rPr>
          <w:color w:val="auto"/>
        </w:rPr>
        <w:fldChar w:fldCharType="begin"/>
      </w:r>
      <w:r>
        <w:rPr>
          <w:color w:val="auto"/>
        </w:rPr>
        <w:instrText xml:space="preserve"> PAGEREF _Toc7062 \h </w:instrText>
      </w:r>
      <w:r>
        <w:rPr>
          <w:color w:val="auto"/>
        </w:rPr>
        <w:fldChar w:fldCharType="separate"/>
      </w:r>
      <w:r>
        <w:rPr>
          <w:color w:val="auto"/>
        </w:rPr>
        <w:t>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_Toc1619 </w:instrText>
      </w:r>
      <w:r>
        <w:rPr>
          <w:rFonts w:eastAsia="等线 Light"/>
          <w:color w:val="auto"/>
        </w:rPr>
        <w:fldChar w:fldCharType="separate"/>
      </w:r>
      <w:r>
        <w:rPr>
          <w:rFonts w:hint="eastAsia"/>
          <w:color w:val="auto"/>
        </w:rPr>
        <w:t>1.4 分析判定相关情况</w:t>
      </w:r>
      <w:r>
        <w:rPr>
          <w:color w:val="auto"/>
        </w:rPr>
        <w:tab/>
      </w:r>
      <w:r>
        <w:rPr>
          <w:color w:val="auto"/>
        </w:rPr>
        <w:fldChar w:fldCharType="begin"/>
      </w:r>
      <w:r>
        <w:rPr>
          <w:color w:val="auto"/>
        </w:rPr>
        <w:instrText xml:space="preserve"> PAGEREF _Toc1619 \h </w:instrText>
      </w:r>
      <w:r>
        <w:rPr>
          <w:color w:val="auto"/>
        </w:rPr>
        <w:fldChar w:fldCharType="separate"/>
      </w:r>
      <w:r>
        <w:rPr>
          <w:color w:val="auto"/>
        </w:rPr>
        <w:t>4</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_Toc32615 </w:instrText>
      </w:r>
      <w:r>
        <w:rPr>
          <w:rFonts w:eastAsia="等线 Light"/>
          <w:color w:val="auto"/>
        </w:rPr>
        <w:fldChar w:fldCharType="separate"/>
      </w:r>
      <w:r>
        <w:rPr>
          <w:rFonts w:hint="eastAsia"/>
          <w:color w:val="auto"/>
        </w:rPr>
        <w:t xml:space="preserve">1.5 </w:t>
      </w:r>
      <w:r>
        <w:rPr>
          <w:color w:val="auto"/>
        </w:rPr>
        <w:t>关注的主要环境问题</w:t>
      </w:r>
      <w:r>
        <w:rPr>
          <w:color w:val="auto"/>
        </w:rPr>
        <w:tab/>
      </w:r>
      <w:r>
        <w:rPr>
          <w:color w:val="auto"/>
        </w:rPr>
        <w:fldChar w:fldCharType="begin"/>
      </w:r>
      <w:r>
        <w:rPr>
          <w:color w:val="auto"/>
        </w:rPr>
        <w:instrText xml:space="preserve"> PAGEREF _Toc32615 \h </w:instrText>
      </w:r>
      <w:r>
        <w:rPr>
          <w:color w:val="auto"/>
        </w:rPr>
        <w:fldChar w:fldCharType="separate"/>
      </w:r>
      <w:r>
        <w:rPr>
          <w:color w:val="auto"/>
        </w:rPr>
        <w:t>6</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_Toc6200 </w:instrText>
      </w:r>
      <w:r>
        <w:rPr>
          <w:rFonts w:eastAsia="等线 Light"/>
          <w:color w:val="auto"/>
        </w:rPr>
        <w:fldChar w:fldCharType="separate"/>
      </w:r>
      <w:r>
        <w:rPr>
          <w:rFonts w:hint="eastAsia"/>
          <w:color w:val="auto"/>
        </w:rPr>
        <w:t xml:space="preserve">1.6 </w:t>
      </w:r>
      <w:r>
        <w:rPr>
          <w:color w:val="auto"/>
        </w:rPr>
        <w:t>环境影响报告书主要结论</w:t>
      </w:r>
      <w:r>
        <w:rPr>
          <w:color w:val="auto"/>
        </w:rPr>
        <w:tab/>
      </w:r>
      <w:r>
        <w:rPr>
          <w:color w:val="auto"/>
        </w:rPr>
        <w:fldChar w:fldCharType="begin"/>
      </w:r>
      <w:r>
        <w:rPr>
          <w:color w:val="auto"/>
        </w:rPr>
        <w:instrText xml:space="preserve"> PAGEREF _Toc6200 \h </w:instrText>
      </w:r>
      <w:r>
        <w:rPr>
          <w:color w:val="auto"/>
        </w:rPr>
        <w:fldChar w:fldCharType="separate"/>
      </w:r>
      <w:r>
        <w:rPr>
          <w:color w:val="auto"/>
        </w:rPr>
        <w:t>6</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_Toc29129 </w:instrText>
      </w:r>
      <w:r>
        <w:rPr>
          <w:rFonts w:eastAsia="等线 Light"/>
          <w:color w:val="auto"/>
        </w:rPr>
        <w:fldChar w:fldCharType="separate"/>
      </w:r>
      <w:r>
        <w:rPr>
          <w:rFonts w:hint="eastAsia" w:ascii="Arial Unicode MS" w:hAnsi="Arial Unicode MS" w:eastAsia="宋体"/>
          <w:color w:val="auto"/>
        </w:rPr>
        <w:t xml:space="preserve">2 </w:t>
      </w:r>
      <w:r>
        <w:rPr>
          <w:color w:val="auto"/>
        </w:rPr>
        <w:t>总则</w:t>
      </w:r>
      <w:r>
        <w:rPr>
          <w:color w:val="auto"/>
        </w:rPr>
        <w:tab/>
      </w:r>
      <w:r>
        <w:rPr>
          <w:color w:val="auto"/>
        </w:rPr>
        <w:fldChar w:fldCharType="begin"/>
      </w:r>
      <w:r>
        <w:rPr>
          <w:color w:val="auto"/>
        </w:rPr>
        <w:instrText xml:space="preserve"> PAGEREF _Toc29129 \h </w:instrText>
      </w:r>
      <w:r>
        <w:rPr>
          <w:color w:val="auto"/>
        </w:rPr>
        <w:fldChar w:fldCharType="separate"/>
      </w:r>
      <w:r>
        <w:rPr>
          <w:color w:val="auto"/>
        </w:rPr>
        <w:t>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_Toc10361 </w:instrText>
      </w:r>
      <w:r>
        <w:rPr>
          <w:rFonts w:eastAsia="等线 Light"/>
          <w:color w:val="auto"/>
        </w:rPr>
        <w:fldChar w:fldCharType="separate"/>
      </w:r>
      <w:r>
        <w:rPr>
          <w:rFonts w:hint="eastAsia"/>
          <w:color w:val="auto"/>
        </w:rPr>
        <w:t xml:space="preserve">2.1 </w:t>
      </w:r>
      <w:r>
        <w:rPr>
          <w:color w:val="auto"/>
        </w:rPr>
        <w:t>评价目的</w:t>
      </w:r>
      <w:r>
        <w:rPr>
          <w:color w:val="auto"/>
        </w:rPr>
        <w:tab/>
      </w:r>
      <w:r>
        <w:rPr>
          <w:color w:val="auto"/>
        </w:rPr>
        <w:fldChar w:fldCharType="begin"/>
      </w:r>
      <w:r>
        <w:rPr>
          <w:color w:val="auto"/>
        </w:rPr>
        <w:instrText xml:space="preserve"> PAGEREF _Toc10361 \h </w:instrText>
      </w:r>
      <w:r>
        <w:rPr>
          <w:color w:val="auto"/>
        </w:rPr>
        <w:fldChar w:fldCharType="separate"/>
      </w:r>
      <w:r>
        <w:rPr>
          <w:color w:val="auto"/>
        </w:rPr>
        <w:t>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_Toc27638 </w:instrText>
      </w:r>
      <w:r>
        <w:rPr>
          <w:rFonts w:eastAsia="等线 Light"/>
          <w:color w:val="auto"/>
        </w:rPr>
        <w:fldChar w:fldCharType="separate"/>
      </w:r>
      <w:r>
        <w:rPr>
          <w:rFonts w:hint="eastAsia"/>
          <w:color w:val="auto"/>
        </w:rPr>
        <w:t xml:space="preserve">2.2 </w:t>
      </w:r>
      <w:r>
        <w:rPr>
          <w:color w:val="auto"/>
        </w:rPr>
        <w:t>评价原则</w:t>
      </w:r>
      <w:r>
        <w:rPr>
          <w:color w:val="auto"/>
        </w:rPr>
        <w:tab/>
      </w:r>
      <w:r>
        <w:rPr>
          <w:color w:val="auto"/>
        </w:rPr>
        <w:fldChar w:fldCharType="begin"/>
      </w:r>
      <w:r>
        <w:rPr>
          <w:color w:val="auto"/>
        </w:rPr>
        <w:instrText xml:space="preserve"> PAGEREF _Toc27638 \h </w:instrText>
      </w:r>
      <w:r>
        <w:rPr>
          <w:color w:val="auto"/>
        </w:rPr>
        <w:fldChar w:fldCharType="separate"/>
      </w:r>
      <w:r>
        <w:rPr>
          <w:color w:val="auto"/>
        </w:rPr>
        <w:t>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_Toc5572 </w:instrText>
      </w:r>
      <w:r>
        <w:rPr>
          <w:rFonts w:eastAsia="等线 Light"/>
          <w:color w:val="auto"/>
        </w:rPr>
        <w:fldChar w:fldCharType="separate"/>
      </w:r>
      <w:r>
        <w:rPr>
          <w:rFonts w:hint="eastAsia"/>
          <w:color w:val="auto"/>
        </w:rPr>
        <w:t xml:space="preserve">2.3 </w:t>
      </w:r>
      <w:r>
        <w:rPr>
          <w:color w:val="auto"/>
        </w:rPr>
        <w:t>编制依据</w:t>
      </w:r>
      <w:r>
        <w:rPr>
          <w:color w:val="auto"/>
        </w:rPr>
        <w:tab/>
      </w:r>
      <w:r>
        <w:rPr>
          <w:color w:val="auto"/>
        </w:rPr>
        <w:fldChar w:fldCharType="begin"/>
      </w:r>
      <w:r>
        <w:rPr>
          <w:color w:val="auto"/>
        </w:rPr>
        <w:instrText xml:space="preserve"> PAGEREF _Toc5572 \h </w:instrText>
      </w:r>
      <w:r>
        <w:rPr>
          <w:color w:val="auto"/>
        </w:rPr>
        <w:fldChar w:fldCharType="separate"/>
      </w:r>
      <w:r>
        <w:rPr>
          <w:color w:val="auto"/>
        </w:rPr>
        <w:t>9</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_Toc31416 </w:instrText>
      </w:r>
      <w:r>
        <w:rPr>
          <w:rFonts w:eastAsia="等线 Light"/>
          <w:color w:val="auto"/>
        </w:rPr>
        <w:fldChar w:fldCharType="separate"/>
      </w:r>
      <w:r>
        <w:rPr>
          <w:rFonts w:hint="eastAsia"/>
          <w:color w:val="auto"/>
        </w:rPr>
        <w:t>2.4 评价因子与评价标准</w:t>
      </w:r>
      <w:r>
        <w:rPr>
          <w:color w:val="auto"/>
        </w:rPr>
        <w:tab/>
      </w:r>
      <w:r>
        <w:rPr>
          <w:color w:val="auto"/>
        </w:rPr>
        <w:fldChar w:fldCharType="begin"/>
      </w:r>
      <w:r>
        <w:rPr>
          <w:color w:val="auto"/>
        </w:rPr>
        <w:instrText xml:space="preserve"> PAGEREF _Toc31416 \h </w:instrText>
      </w:r>
      <w:r>
        <w:rPr>
          <w:color w:val="auto"/>
        </w:rPr>
        <w:fldChar w:fldCharType="separate"/>
      </w:r>
      <w:r>
        <w:rPr>
          <w:color w:val="auto"/>
        </w:rPr>
        <w:t>12</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_Toc10034 </w:instrText>
      </w:r>
      <w:r>
        <w:rPr>
          <w:rFonts w:eastAsia="等线 Light"/>
          <w:color w:val="auto"/>
        </w:rPr>
        <w:fldChar w:fldCharType="separate"/>
      </w:r>
      <w:r>
        <w:rPr>
          <w:rFonts w:hint="eastAsia"/>
          <w:color w:val="auto"/>
        </w:rPr>
        <w:t xml:space="preserve">2.5 </w:t>
      </w:r>
      <w:r>
        <w:rPr>
          <w:color w:val="auto"/>
        </w:rPr>
        <w:t>生态环境</w:t>
      </w:r>
      <w:r>
        <w:rPr>
          <w:color w:val="auto"/>
        </w:rPr>
        <w:tab/>
      </w:r>
      <w:r>
        <w:rPr>
          <w:color w:val="auto"/>
        </w:rPr>
        <w:fldChar w:fldCharType="begin"/>
      </w:r>
      <w:r>
        <w:rPr>
          <w:color w:val="auto"/>
        </w:rPr>
        <w:instrText xml:space="preserve"> PAGEREF _Toc10034 \h </w:instrText>
      </w:r>
      <w:r>
        <w:rPr>
          <w:color w:val="auto"/>
        </w:rPr>
        <w:fldChar w:fldCharType="separate"/>
      </w:r>
      <w:r>
        <w:rPr>
          <w:color w:val="auto"/>
        </w:rPr>
        <w:t>18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_Toc18545 </w:instrText>
      </w:r>
      <w:r>
        <w:rPr>
          <w:rFonts w:eastAsia="等线 Light"/>
          <w:color w:val="auto"/>
        </w:rPr>
        <w:fldChar w:fldCharType="separate"/>
      </w:r>
      <w:r>
        <w:rPr>
          <w:rFonts w:hint="eastAsia" w:eastAsia="黑体"/>
          <w:color w:val="auto"/>
        </w:rPr>
        <w:t xml:space="preserve">2.6 </w:t>
      </w:r>
      <w:r>
        <w:rPr>
          <w:rFonts w:eastAsia="黑体"/>
          <w:color w:val="auto"/>
        </w:rPr>
        <w:t>评价工作等级及评价范围</w:t>
      </w:r>
      <w:r>
        <w:rPr>
          <w:color w:val="auto"/>
        </w:rPr>
        <w:tab/>
      </w:r>
      <w:r>
        <w:rPr>
          <w:color w:val="auto"/>
        </w:rPr>
        <w:fldChar w:fldCharType="begin"/>
      </w:r>
      <w:r>
        <w:rPr>
          <w:color w:val="auto"/>
        </w:rPr>
        <w:instrText xml:space="preserve"> PAGEREF _Toc18545 \h </w:instrText>
      </w:r>
      <w:r>
        <w:rPr>
          <w:color w:val="auto"/>
        </w:rPr>
        <w:fldChar w:fldCharType="separate"/>
      </w:r>
      <w:r>
        <w:rPr>
          <w:color w:val="auto"/>
        </w:rPr>
        <w:t>18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_Toc1694 </w:instrText>
      </w:r>
      <w:r>
        <w:rPr>
          <w:rFonts w:eastAsia="等线 Light"/>
          <w:color w:val="auto"/>
        </w:rPr>
        <w:fldChar w:fldCharType="separate"/>
      </w:r>
      <w:r>
        <w:rPr>
          <w:rFonts w:hint="eastAsia"/>
          <w:color w:val="auto"/>
        </w:rPr>
        <w:t xml:space="preserve">2.7 </w:t>
      </w:r>
      <w:r>
        <w:rPr>
          <w:rFonts w:eastAsia="黑体"/>
          <w:color w:val="auto"/>
        </w:rPr>
        <w:t>评价时段和评价重点</w:t>
      </w:r>
      <w:r>
        <w:rPr>
          <w:color w:val="auto"/>
        </w:rPr>
        <w:tab/>
      </w:r>
      <w:r>
        <w:rPr>
          <w:color w:val="auto"/>
        </w:rPr>
        <w:fldChar w:fldCharType="begin"/>
      </w:r>
      <w:r>
        <w:rPr>
          <w:color w:val="auto"/>
        </w:rPr>
        <w:instrText xml:space="preserve"> PAGEREF _Toc1694 \h </w:instrText>
      </w:r>
      <w:r>
        <w:rPr>
          <w:color w:val="auto"/>
        </w:rPr>
        <w:fldChar w:fldCharType="separate"/>
      </w:r>
      <w:r>
        <w:rPr>
          <w:color w:val="auto"/>
        </w:rPr>
        <w:t>25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_Toc25738 </w:instrText>
      </w:r>
      <w:r>
        <w:rPr>
          <w:rFonts w:eastAsia="等线 Light"/>
          <w:color w:val="auto"/>
        </w:rPr>
        <w:fldChar w:fldCharType="separate"/>
      </w:r>
      <w:r>
        <w:rPr>
          <w:rFonts w:hint="eastAsia" w:eastAsia="黑体"/>
          <w:color w:val="auto"/>
        </w:rPr>
        <w:t xml:space="preserve">2.8 </w:t>
      </w:r>
      <w:r>
        <w:rPr>
          <w:rFonts w:eastAsia="黑体"/>
          <w:color w:val="auto"/>
        </w:rPr>
        <w:t>项目可行性论证分析</w:t>
      </w:r>
      <w:r>
        <w:rPr>
          <w:color w:val="auto"/>
        </w:rPr>
        <w:tab/>
      </w:r>
      <w:r>
        <w:rPr>
          <w:color w:val="auto"/>
        </w:rPr>
        <w:fldChar w:fldCharType="begin"/>
      </w:r>
      <w:r>
        <w:rPr>
          <w:color w:val="auto"/>
        </w:rPr>
        <w:instrText xml:space="preserve"> PAGEREF _Toc25738 \h </w:instrText>
      </w:r>
      <w:r>
        <w:rPr>
          <w:color w:val="auto"/>
        </w:rPr>
        <w:fldChar w:fldCharType="separate"/>
      </w:r>
      <w:r>
        <w:rPr>
          <w:color w:val="auto"/>
        </w:rPr>
        <w:t>25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_Toc18142 </w:instrText>
      </w:r>
      <w:r>
        <w:rPr>
          <w:rFonts w:eastAsia="等线 Light"/>
          <w:color w:val="auto"/>
        </w:rPr>
        <w:fldChar w:fldCharType="separate"/>
      </w:r>
      <w:r>
        <w:rPr>
          <w:rFonts w:hint="eastAsia" w:eastAsia="黑体"/>
          <w:color w:val="auto"/>
        </w:rPr>
        <w:t xml:space="preserve">2.9 </w:t>
      </w:r>
      <w:r>
        <w:rPr>
          <w:rFonts w:eastAsia="黑体"/>
          <w:color w:val="auto"/>
        </w:rPr>
        <w:t>项目外环境关系及选址合理性分析</w:t>
      </w:r>
      <w:r>
        <w:rPr>
          <w:color w:val="auto"/>
        </w:rPr>
        <w:tab/>
      </w:r>
      <w:r>
        <w:rPr>
          <w:color w:val="auto"/>
        </w:rPr>
        <w:fldChar w:fldCharType="begin"/>
      </w:r>
      <w:r>
        <w:rPr>
          <w:color w:val="auto"/>
        </w:rPr>
        <w:instrText xml:space="preserve"> PAGEREF _Toc18142 \h </w:instrText>
      </w:r>
      <w:r>
        <w:rPr>
          <w:color w:val="auto"/>
        </w:rPr>
        <w:fldChar w:fldCharType="separate"/>
      </w:r>
      <w:r>
        <w:rPr>
          <w:color w:val="auto"/>
        </w:rPr>
        <w:t>31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_Toc6985 </w:instrText>
      </w:r>
      <w:r>
        <w:rPr>
          <w:rFonts w:eastAsia="等线 Light"/>
          <w:color w:val="auto"/>
        </w:rPr>
        <w:fldChar w:fldCharType="separate"/>
      </w:r>
      <w:r>
        <w:rPr>
          <w:rFonts w:hint="eastAsia" w:eastAsia="黑体"/>
          <w:color w:val="auto"/>
        </w:rPr>
        <w:t xml:space="preserve">2.10 </w:t>
      </w:r>
      <w:r>
        <w:rPr>
          <w:rFonts w:eastAsia="黑体"/>
          <w:color w:val="auto"/>
        </w:rPr>
        <w:t>环境功能区划与环境保护目标</w:t>
      </w:r>
      <w:r>
        <w:rPr>
          <w:color w:val="auto"/>
        </w:rPr>
        <w:tab/>
      </w:r>
      <w:r>
        <w:rPr>
          <w:color w:val="auto"/>
        </w:rPr>
        <w:fldChar w:fldCharType="begin"/>
      </w:r>
      <w:r>
        <w:rPr>
          <w:color w:val="auto"/>
        </w:rPr>
        <w:instrText xml:space="preserve"> PAGEREF _Toc6985 \h </w:instrText>
      </w:r>
      <w:r>
        <w:rPr>
          <w:color w:val="auto"/>
        </w:rPr>
        <w:fldChar w:fldCharType="separate"/>
      </w:r>
      <w:r>
        <w:rPr>
          <w:color w:val="auto"/>
        </w:rPr>
        <w:t>35</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_Toc7363 </w:instrText>
      </w:r>
      <w:r>
        <w:rPr>
          <w:rFonts w:eastAsia="等线 Light"/>
          <w:color w:val="auto"/>
        </w:rPr>
        <w:fldChar w:fldCharType="separate"/>
      </w:r>
      <w:r>
        <w:rPr>
          <w:rFonts w:hint="eastAsia" w:ascii="Arial Unicode MS" w:hAnsi="Arial Unicode MS" w:eastAsia="宋体"/>
          <w:color w:val="auto"/>
        </w:rPr>
        <w:t xml:space="preserve">3 </w:t>
      </w:r>
      <w:r>
        <w:rPr>
          <w:rFonts w:eastAsia="黑体"/>
          <w:color w:val="auto"/>
        </w:rPr>
        <w:t>建设项目工程分析</w:t>
      </w:r>
      <w:r>
        <w:rPr>
          <w:color w:val="auto"/>
        </w:rPr>
        <w:tab/>
      </w:r>
      <w:r>
        <w:rPr>
          <w:color w:val="auto"/>
        </w:rPr>
        <w:fldChar w:fldCharType="begin"/>
      </w:r>
      <w:r>
        <w:rPr>
          <w:color w:val="auto"/>
        </w:rPr>
        <w:instrText xml:space="preserve"> PAGEREF _Toc7363 \h </w:instrText>
      </w:r>
      <w:r>
        <w:rPr>
          <w:color w:val="auto"/>
        </w:rPr>
        <w:fldChar w:fldCharType="separate"/>
      </w:r>
      <w:r>
        <w:rPr>
          <w:color w:val="auto"/>
        </w:rPr>
        <w:t>37</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_Toc2391 </w:instrText>
      </w:r>
      <w:r>
        <w:rPr>
          <w:rFonts w:eastAsia="等线 Light"/>
          <w:color w:val="auto"/>
        </w:rPr>
        <w:fldChar w:fldCharType="separate"/>
      </w:r>
      <w:r>
        <w:rPr>
          <w:rFonts w:hint="eastAsia" w:eastAsia="黑体"/>
          <w:color w:val="auto"/>
        </w:rPr>
        <w:t xml:space="preserve">3.1 </w:t>
      </w:r>
      <w:r>
        <w:rPr>
          <w:rFonts w:eastAsia="黑体"/>
          <w:color w:val="auto"/>
        </w:rPr>
        <w:t>建设项目概况</w:t>
      </w:r>
      <w:r>
        <w:rPr>
          <w:color w:val="auto"/>
        </w:rPr>
        <w:tab/>
      </w:r>
      <w:r>
        <w:rPr>
          <w:color w:val="auto"/>
        </w:rPr>
        <w:fldChar w:fldCharType="begin"/>
      </w:r>
      <w:r>
        <w:rPr>
          <w:color w:val="auto"/>
        </w:rPr>
        <w:instrText xml:space="preserve"> PAGEREF _Toc2391 \h </w:instrText>
      </w:r>
      <w:r>
        <w:rPr>
          <w:color w:val="auto"/>
        </w:rPr>
        <w:fldChar w:fldCharType="separate"/>
      </w:r>
      <w:r>
        <w:rPr>
          <w:color w:val="auto"/>
        </w:rPr>
        <w:t>37</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_Toc26880 </w:instrText>
      </w:r>
      <w:r>
        <w:rPr>
          <w:rFonts w:eastAsia="等线 Light"/>
          <w:color w:val="auto"/>
        </w:rPr>
        <w:fldChar w:fldCharType="separate"/>
      </w:r>
      <w:r>
        <w:rPr>
          <w:rFonts w:hint="eastAsia" w:eastAsia="黑体"/>
          <w:color w:val="auto"/>
        </w:rPr>
        <w:t xml:space="preserve">3.2 </w:t>
      </w:r>
      <w:r>
        <w:rPr>
          <w:rFonts w:eastAsia="黑体"/>
          <w:color w:val="auto"/>
        </w:rPr>
        <w:t>公用工程</w:t>
      </w:r>
      <w:r>
        <w:rPr>
          <w:color w:val="auto"/>
        </w:rPr>
        <w:tab/>
      </w:r>
      <w:r>
        <w:rPr>
          <w:color w:val="auto"/>
        </w:rPr>
        <w:fldChar w:fldCharType="begin"/>
      </w:r>
      <w:r>
        <w:rPr>
          <w:color w:val="auto"/>
        </w:rPr>
        <w:instrText xml:space="preserve"> PAGEREF _Toc26880 \h </w:instrText>
      </w:r>
      <w:r>
        <w:rPr>
          <w:color w:val="auto"/>
        </w:rPr>
        <w:fldChar w:fldCharType="separate"/>
      </w:r>
      <w:r>
        <w:rPr>
          <w:color w:val="auto"/>
        </w:rPr>
        <w:t>44</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_Toc12420 </w:instrText>
      </w:r>
      <w:r>
        <w:rPr>
          <w:rFonts w:eastAsia="等线 Light"/>
          <w:color w:val="auto"/>
        </w:rPr>
        <w:fldChar w:fldCharType="separate"/>
      </w:r>
      <w:r>
        <w:rPr>
          <w:rFonts w:hint="eastAsia"/>
          <w:color w:val="auto"/>
        </w:rPr>
        <w:t xml:space="preserve">3.3 </w:t>
      </w:r>
      <w:r>
        <w:rPr>
          <w:rFonts w:eastAsia="黑体"/>
          <w:color w:val="auto"/>
        </w:rPr>
        <w:t>项目总平面布置合理性</w:t>
      </w:r>
      <w:r>
        <w:rPr>
          <w:color w:val="auto"/>
        </w:rPr>
        <w:tab/>
      </w:r>
      <w:r>
        <w:rPr>
          <w:color w:val="auto"/>
        </w:rPr>
        <w:fldChar w:fldCharType="begin"/>
      </w:r>
      <w:r>
        <w:rPr>
          <w:color w:val="auto"/>
        </w:rPr>
        <w:instrText xml:space="preserve"> PAGEREF _Toc12420 \h </w:instrText>
      </w:r>
      <w:r>
        <w:rPr>
          <w:color w:val="auto"/>
        </w:rPr>
        <w:fldChar w:fldCharType="separate"/>
      </w:r>
      <w:r>
        <w:rPr>
          <w:color w:val="auto"/>
        </w:rPr>
        <w:t>46</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_Toc25197 </w:instrText>
      </w:r>
      <w:r>
        <w:rPr>
          <w:rFonts w:eastAsia="等线 Light"/>
          <w:color w:val="auto"/>
        </w:rPr>
        <w:fldChar w:fldCharType="separate"/>
      </w:r>
      <w:r>
        <w:rPr>
          <w:rFonts w:hint="eastAsia" w:eastAsia="黑体"/>
          <w:bCs/>
          <w:color w:val="auto"/>
          <w:lang w:val="en-US" w:eastAsia="zh-CN"/>
        </w:rPr>
        <w:t>3.4现有工程回顾性分析</w:t>
      </w:r>
      <w:r>
        <w:rPr>
          <w:color w:val="auto"/>
        </w:rPr>
        <w:tab/>
      </w:r>
      <w:r>
        <w:rPr>
          <w:color w:val="auto"/>
        </w:rPr>
        <w:fldChar w:fldCharType="begin"/>
      </w:r>
      <w:r>
        <w:rPr>
          <w:color w:val="auto"/>
        </w:rPr>
        <w:instrText xml:space="preserve"> PAGEREF _Toc25197 \h </w:instrText>
      </w:r>
      <w:r>
        <w:rPr>
          <w:color w:val="auto"/>
        </w:rPr>
        <w:fldChar w:fldCharType="separate"/>
      </w:r>
      <w:r>
        <w:rPr>
          <w:color w:val="auto"/>
        </w:rPr>
        <w:t>47</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_Toc16259 </w:instrText>
      </w:r>
      <w:r>
        <w:rPr>
          <w:rFonts w:eastAsia="等线 Light"/>
          <w:color w:val="auto"/>
        </w:rPr>
        <w:fldChar w:fldCharType="separate"/>
      </w:r>
      <w:r>
        <w:rPr>
          <w:rFonts w:hint="eastAsia"/>
          <w:color w:val="auto"/>
          <w:lang w:val="en-US" w:eastAsia="zh-CN"/>
        </w:rPr>
        <w:t>3.5</w:t>
      </w:r>
      <w:r>
        <w:rPr>
          <w:color w:val="auto"/>
        </w:rPr>
        <w:t>施工期工程分析</w:t>
      </w:r>
      <w:r>
        <w:rPr>
          <w:color w:val="auto"/>
        </w:rPr>
        <w:tab/>
      </w:r>
      <w:r>
        <w:rPr>
          <w:color w:val="auto"/>
        </w:rPr>
        <w:fldChar w:fldCharType="begin"/>
      </w:r>
      <w:r>
        <w:rPr>
          <w:color w:val="auto"/>
        </w:rPr>
        <w:instrText xml:space="preserve"> PAGEREF _Toc16259 \h </w:instrText>
      </w:r>
      <w:r>
        <w:rPr>
          <w:color w:val="auto"/>
        </w:rPr>
        <w:fldChar w:fldCharType="separate"/>
      </w:r>
      <w:r>
        <w:rPr>
          <w:color w:val="auto"/>
        </w:rPr>
        <w:t>50</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_Toc27458 </w:instrText>
      </w:r>
      <w:r>
        <w:rPr>
          <w:rFonts w:eastAsia="等线 Light"/>
          <w:color w:val="auto"/>
        </w:rPr>
        <w:fldChar w:fldCharType="separate"/>
      </w:r>
      <w:r>
        <w:rPr>
          <w:rFonts w:hint="eastAsia"/>
          <w:color w:val="auto"/>
          <w:lang w:val="en-US" w:eastAsia="zh-CN"/>
        </w:rPr>
        <w:t>3.6</w:t>
      </w:r>
      <w:r>
        <w:rPr>
          <w:color w:val="auto"/>
        </w:rPr>
        <w:t>运营期工程分析</w:t>
      </w:r>
      <w:r>
        <w:rPr>
          <w:color w:val="auto"/>
        </w:rPr>
        <w:tab/>
      </w:r>
      <w:r>
        <w:rPr>
          <w:color w:val="auto"/>
        </w:rPr>
        <w:fldChar w:fldCharType="begin"/>
      </w:r>
      <w:r>
        <w:rPr>
          <w:color w:val="auto"/>
        </w:rPr>
        <w:instrText xml:space="preserve"> PAGEREF _Toc27458 \h </w:instrText>
      </w:r>
      <w:r>
        <w:rPr>
          <w:color w:val="auto"/>
        </w:rPr>
        <w:fldChar w:fldCharType="separate"/>
      </w:r>
      <w:r>
        <w:rPr>
          <w:color w:val="auto"/>
        </w:rPr>
        <w:t>59</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_Toc3253 </w:instrText>
      </w:r>
      <w:r>
        <w:rPr>
          <w:rFonts w:eastAsia="等线 Light"/>
          <w:color w:val="auto"/>
        </w:rPr>
        <w:fldChar w:fldCharType="separate"/>
      </w:r>
      <w:r>
        <w:rPr>
          <w:rFonts w:hint="eastAsia" w:ascii="Arial Unicode MS" w:hAnsi="Arial Unicode MS" w:eastAsia="宋体"/>
          <w:color w:val="auto"/>
        </w:rPr>
        <w:t xml:space="preserve">4 </w:t>
      </w:r>
      <w:r>
        <w:rPr>
          <w:rFonts w:eastAsia="黑体"/>
          <w:color w:val="auto"/>
        </w:rPr>
        <w:t>环境现状调查与评价</w:t>
      </w:r>
      <w:r>
        <w:rPr>
          <w:color w:val="auto"/>
        </w:rPr>
        <w:tab/>
      </w:r>
      <w:r>
        <w:rPr>
          <w:color w:val="auto"/>
        </w:rPr>
        <w:fldChar w:fldCharType="begin"/>
      </w:r>
      <w:r>
        <w:rPr>
          <w:color w:val="auto"/>
        </w:rPr>
        <w:instrText xml:space="preserve"> PAGEREF _Toc3253 \h </w:instrText>
      </w:r>
      <w:r>
        <w:rPr>
          <w:color w:val="auto"/>
        </w:rPr>
        <w:fldChar w:fldCharType="separate"/>
      </w:r>
      <w:r>
        <w:rPr>
          <w:color w:val="auto"/>
        </w:rPr>
        <w:t>98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_Toc12600 </w:instrText>
      </w:r>
      <w:r>
        <w:rPr>
          <w:rFonts w:eastAsia="等线 Light"/>
          <w:color w:val="auto"/>
        </w:rPr>
        <w:fldChar w:fldCharType="separate"/>
      </w:r>
      <w:r>
        <w:rPr>
          <w:rFonts w:hint="eastAsia" w:eastAsia="黑体"/>
          <w:color w:val="auto"/>
        </w:rPr>
        <w:t xml:space="preserve">4.1 </w:t>
      </w:r>
      <w:r>
        <w:rPr>
          <w:rFonts w:eastAsia="黑体"/>
          <w:color w:val="auto"/>
        </w:rPr>
        <w:t>自然环境概况</w:t>
      </w:r>
      <w:r>
        <w:rPr>
          <w:color w:val="auto"/>
        </w:rPr>
        <w:tab/>
      </w:r>
      <w:r>
        <w:rPr>
          <w:color w:val="auto"/>
        </w:rPr>
        <w:fldChar w:fldCharType="begin"/>
      </w:r>
      <w:r>
        <w:rPr>
          <w:color w:val="auto"/>
        </w:rPr>
        <w:instrText xml:space="preserve"> PAGEREF _Toc12600 \h </w:instrText>
      </w:r>
      <w:r>
        <w:rPr>
          <w:color w:val="auto"/>
        </w:rPr>
        <w:fldChar w:fldCharType="separate"/>
      </w:r>
      <w:r>
        <w:rPr>
          <w:color w:val="auto"/>
        </w:rPr>
        <w:t>98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_Toc1098 </w:instrText>
      </w:r>
      <w:r>
        <w:rPr>
          <w:rFonts w:eastAsia="等线 Light"/>
          <w:color w:val="auto"/>
        </w:rPr>
        <w:fldChar w:fldCharType="separate"/>
      </w:r>
      <w:r>
        <w:rPr>
          <w:rFonts w:hint="eastAsia" w:eastAsia="黑体"/>
          <w:color w:val="auto"/>
        </w:rPr>
        <w:t xml:space="preserve">4.2 </w:t>
      </w:r>
      <w:r>
        <w:rPr>
          <w:rFonts w:eastAsia="黑体"/>
          <w:color w:val="auto"/>
        </w:rPr>
        <w:t>环境质量现状监测与评价</w:t>
      </w:r>
      <w:r>
        <w:rPr>
          <w:color w:val="auto"/>
        </w:rPr>
        <w:tab/>
      </w:r>
      <w:r>
        <w:rPr>
          <w:color w:val="auto"/>
        </w:rPr>
        <w:fldChar w:fldCharType="begin"/>
      </w:r>
      <w:r>
        <w:rPr>
          <w:color w:val="auto"/>
        </w:rPr>
        <w:instrText xml:space="preserve"> PAGEREF _Toc1098 \h </w:instrText>
      </w:r>
      <w:r>
        <w:rPr>
          <w:color w:val="auto"/>
        </w:rPr>
        <w:fldChar w:fldCharType="separate"/>
      </w:r>
      <w:r>
        <w:rPr>
          <w:color w:val="auto"/>
        </w:rPr>
        <w:t>103</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_Toc30649 </w:instrText>
      </w:r>
      <w:r>
        <w:rPr>
          <w:rFonts w:eastAsia="等线 Light"/>
          <w:color w:val="auto"/>
        </w:rPr>
        <w:fldChar w:fldCharType="separate"/>
      </w:r>
      <w:r>
        <w:rPr>
          <w:rFonts w:hint="eastAsia" w:ascii="Arial Unicode MS" w:hAnsi="Arial Unicode MS" w:eastAsia="宋体"/>
          <w:color w:val="auto"/>
        </w:rPr>
        <w:t xml:space="preserve">5 </w:t>
      </w:r>
      <w:r>
        <w:rPr>
          <w:rFonts w:eastAsia="黑体"/>
          <w:color w:val="auto"/>
        </w:rPr>
        <w:t>环境影响预测与评价</w:t>
      </w:r>
      <w:r>
        <w:rPr>
          <w:color w:val="auto"/>
        </w:rPr>
        <w:tab/>
      </w:r>
      <w:r>
        <w:rPr>
          <w:color w:val="auto"/>
        </w:rPr>
        <w:fldChar w:fldCharType="begin"/>
      </w:r>
      <w:r>
        <w:rPr>
          <w:color w:val="auto"/>
        </w:rPr>
        <w:instrText xml:space="preserve"> PAGEREF _Toc30649 \h </w:instrText>
      </w:r>
      <w:r>
        <w:rPr>
          <w:color w:val="auto"/>
        </w:rPr>
        <w:fldChar w:fldCharType="separate"/>
      </w:r>
      <w:r>
        <w:rPr>
          <w:color w:val="auto"/>
        </w:rPr>
        <w:t>116</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_Toc3116 </w:instrText>
      </w:r>
      <w:r>
        <w:rPr>
          <w:rFonts w:eastAsia="等线 Light"/>
          <w:color w:val="auto"/>
        </w:rPr>
        <w:fldChar w:fldCharType="separate"/>
      </w:r>
      <w:r>
        <w:rPr>
          <w:rFonts w:hint="eastAsia" w:eastAsia="黑体"/>
          <w:color w:val="auto"/>
        </w:rPr>
        <w:t xml:space="preserve">5.1 </w:t>
      </w:r>
      <w:r>
        <w:rPr>
          <w:rFonts w:eastAsia="黑体"/>
          <w:color w:val="auto"/>
        </w:rPr>
        <w:t>施工期环境影响分析</w:t>
      </w:r>
      <w:r>
        <w:rPr>
          <w:color w:val="auto"/>
        </w:rPr>
        <w:tab/>
      </w:r>
      <w:r>
        <w:rPr>
          <w:color w:val="auto"/>
        </w:rPr>
        <w:fldChar w:fldCharType="begin"/>
      </w:r>
      <w:r>
        <w:rPr>
          <w:color w:val="auto"/>
        </w:rPr>
        <w:instrText xml:space="preserve"> PAGEREF _Toc3116 \h </w:instrText>
      </w:r>
      <w:r>
        <w:rPr>
          <w:color w:val="auto"/>
        </w:rPr>
        <w:fldChar w:fldCharType="separate"/>
      </w:r>
      <w:r>
        <w:rPr>
          <w:color w:val="auto"/>
        </w:rPr>
        <w:t>116</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_Toc9347 </w:instrText>
      </w:r>
      <w:r>
        <w:rPr>
          <w:rFonts w:eastAsia="等线 Light"/>
          <w:color w:val="auto"/>
        </w:rPr>
        <w:fldChar w:fldCharType="separate"/>
      </w:r>
      <w:r>
        <w:rPr>
          <w:rFonts w:hint="eastAsia" w:eastAsia="黑体"/>
          <w:color w:val="auto"/>
        </w:rPr>
        <w:t xml:space="preserve">5.2 </w:t>
      </w:r>
      <w:r>
        <w:rPr>
          <w:rFonts w:eastAsia="黑体"/>
          <w:color w:val="auto"/>
        </w:rPr>
        <w:t>运营期环境影响预测与评价</w:t>
      </w:r>
      <w:r>
        <w:rPr>
          <w:color w:val="auto"/>
        </w:rPr>
        <w:tab/>
      </w:r>
      <w:r>
        <w:rPr>
          <w:color w:val="auto"/>
        </w:rPr>
        <w:fldChar w:fldCharType="begin"/>
      </w:r>
      <w:r>
        <w:rPr>
          <w:color w:val="auto"/>
        </w:rPr>
        <w:instrText xml:space="preserve"> PAGEREF _Toc9347 \h </w:instrText>
      </w:r>
      <w:r>
        <w:rPr>
          <w:color w:val="auto"/>
        </w:rPr>
        <w:fldChar w:fldCharType="separate"/>
      </w:r>
      <w:r>
        <w:rPr>
          <w:color w:val="auto"/>
        </w:rPr>
        <w:t>123</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_Toc13467 </w:instrText>
      </w:r>
      <w:r>
        <w:rPr>
          <w:rFonts w:eastAsia="等线 Light"/>
          <w:color w:val="auto"/>
        </w:rPr>
        <w:fldChar w:fldCharType="separate"/>
      </w:r>
      <w:r>
        <w:rPr>
          <w:rFonts w:hint="eastAsia" w:ascii="Arial Unicode MS" w:hAnsi="Arial Unicode MS" w:eastAsia="宋体"/>
          <w:color w:val="auto"/>
        </w:rPr>
        <w:t xml:space="preserve">6 </w:t>
      </w:r>
      <w:r>
        <w:rPr>
          <w:rFonts w:eastAsia="黑体"/>
          <w:color w:val="auto"/>
        </w:rPr>
        <w:t>环境风险评价</w:t>
      </w:r>
      <w:r>
        <w:rPr>
          <w:color w:val="auto"/>
        </w:rPr>
        <w:tab/>
      </w:r>
      <w:r>
        <w:rPr>
          <w:color w:val="auto"/>
        </w:rPr>
        <w:fldChar w:fldCharType="begin"/>
      </w:r>
      <w:r>
        <w:rPr>
          <w:color w:val="auto"/>
        </w:rPr>
        <w:instrText xml:space="preserve"> PAGEREF _Toc13467 \h </w:instrText>
      </w:r>
      <w:r>
        <w:rPr>
          <w:color w:val="auto"/>
        </w:rPr>
        <w:fldChar w:fldCharType="separate"/>
      </w:r>
      <w:r>
        <w:rPr>
          <w:color w:val="auto"/>
        </w:rPr>
        <w:t>165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_Toc10857 </w:instrText>
      </w:r>
      <w:r>
        <w:rPr>
          <w:rFonts w:eastAsia="等线 Light"/>
          <w:color w:val="auto"/>
        </w:rPr>
        <w:fldChar w:fldCharType="separate"/>
      </w:r>
      <w:r>
        <w:rPr>
          <w:rFonts w:hint="eastAsia"/>
          <w:color w:val="auto"/>
        </w:rPr>
        <w:t xml:space="preserve">6.1 </w:t>
      </w:r>
      <w:r>
        <w:rPr>
          <w:rFonts w:hint="eastAsia" w:eastAsia="黑体"/>
          <w:color w:val="auto"/>
        </w:rPr>
        <w:t>综述</w:t>
      </w:r>
      <w:r>
        <w:rPr>
          <w:color w:val="auto"/>
        </w:rPr>
        <w:tab/>
      </w:r>
      <w:r>
        <w:rPr>
          <w:color w:val="auto"/>
        </w:rPr>
        <w:fldChar w:fldCharType="begin"/>
      </w:r>
      <w:r>
        <w:rPr>
          <w:color w:val="auto"/>
        </w:rPr>
        <w:instrText xml:space="preserve"> PAGEREF _Toc10857 \h </w:instrText>
      </w:r>
      <w:r>
        <w:rPr>
          <w:color w:val="auto"/>
        </w:rPr>
        <w:fldChar w:fldCharType="separate"/>
      </w:r>
      <w:r>
        <w:rPr>
          <w:color w:val="auto"/>
        </w:rPr>
        <w:t>165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_Toc618 </w:instrText>
      </w:r>
      <w:r>
        <w:rPr>
          <w:rFonts w:eastAsia="等线 Light"/>
          <w:color w:val="auto"/>
        </w:rPr>
        <w:fldChar w:fldCharType="separate"/>
      </w:r>
      <w:r>
        <w:rPr>
          <w:rFonts w:hint="eastAsia" w:eastAsia="黑体"/>
          <w:color w:val="auto"/>
        </w:rPr>
        <w:t>6.2 评价依据</w:t>
      </w:r>
      <w:r>
        <w:rPr>
          <w:color w:val="auto"/>
        </w:rPr>
        <w:tab/>
      </w:r>
      <w:r>
        <w:rPr>
          <w:color w:val="auto"/>
        </w:rPr>
        <w:fldChar w:fldCharType="begin"/>
      </w:r>
      <w:r>
        <w:rPr>
          <w:color w:val="auto"/>
        </w:rPr>
        <w:instrText xml:space="preserve"> PAGEREF _Toc618 \h </w:instrText>
      </w:r>
      <w:r>
        <w:rPr>
          <w:color w:val="auto"/>
        </w:rPr>
        <w:fldChar w:fldCharType="separate"/>
      </w:r>
      <w:r>
        <w:rPr>
          <w:color w:val="auto"/>
        </w:rPr>
        <w:t>166</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_Toc2841 </w:instrText>
      </w:r>
      <w:r>
        <w:rPr>
          <w:rFonts w:eastAsia="等线 Light"/>
          <w:color w:val="auto"/>
        </w:rPr>
        <w:fldChar w:fldCharType="separate"/>
      </w:r>
      <w:r>
        <w:rPr>
          <w:rFonts w:hint="eastAsia" w:eastAsia="黑体"/>
          <w:color w:val="auto"/>
        </w:rPr>
        <w:t>6.3 环境敏感目标调查</w:t>
      </w:r>
      <w:r>
        <w:rPr>
          <w:color w:val="auto"/>
        </w:rPr>
        <w:tab/>
      </w:r>
      <w:r>
        <w:rPr>
          <w:color w:val="auto"/>
        </w:rPr>
        <w:fldChar w:fldCharType="begin"/>
      </w:r>
      <w:r>
        <w:rPr>
          <w:color w:val="auto"/>
        </w:rPr>
        <w:instrText xml:space="preserve"> PAGEREF _Toc2841 \h </w:instrText>
      </w:r>
      <w:r>
        <w:rPr>
          <w:color w:val="auto"/>
        </w:rPr>
        <w:fldChar w:fldCharType="separate"/>
      </w:r>
      <w:r>
        <w:rPr>
          <w:color w:val="auto"/>
        </w:rPr>
        <w:t>170</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_Toc18474 </w:instrText>
      </w:r>
      <w:r>
        <w:rPr>
          <w:rFonts w:eastAsia="等线 Light"/>
          <w:color w:val="auto"/>
        </w:rPr>
        <w:fldChar w:fldCharType="separate"/>
      </w:r>
      <w:r>
        <w:rPr>
          <w:rFonts w:hint="eastAsia" w:eastAsia="黑体"/>
          <w:color w:val="auto"/>
        </w:rPr>
        <w:t>6.4 风险识别</w:t>
      </w:r>
      <w:r>
        <w:rPr>
          <w:color w:val="auto"/>
        </w:rPr>
        <w:tab/>
      </w:r>
      <w:r>
        <w:rPr>
          <w:color w:val="auto"/>
        </w:rPr>
        <w:fldChar w:fldCharType="begin"/>
      </w:r>
      <w:r>
        <w:rPr>
          <w:color w:val="auto"/>
        </w:rPr>
        <w:instrText xml:space="preserve"> PAGEREF _Toc18474 \h </w:instrText>
      </w:r>
      <w:r>
        <w:rPr>
          <w:color w:val="auto"/>
        </w:rPr>
        <w:fldChar w:fldCharType="separate"/>
      </w:r>
      <w:r>
        <w:rPr>
          <w:color w:val="auto"/>
        </w:rPr>
        <w:t>171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_Toc12300 </w:instrText>
      </w:r>
      <w:r>
        <w:rPr>
          <w:rFonts w:eastAsia="等线 Light"/>
          <w:color w:val="auto"/>
        </w:rPr>
        <w:fldChar w:fldCharType="separate"/>
      </w:r>
      <w:r>
        <w:rPr>
          <w:rFonts w:hint="eastAsia" w:eastAsia="黑体"/>
          <w:color w:val="auto"/>
        </w:rPr>
        <w:t>6.5 环境风险分析</w:t>
      </w:r>
      <w:r>
        <w:rPr>
          <w:color w:val="auto"/>
        </w:rPr>
        <w:tab/>
      </w:r>
      <w:r>
        <w:rPr>
          <w:color w:val="auto"/>
        </w:rPr>
        <w:fldChar w:fldCharType="begin"/>
      </w:r>
      <w:r>
        <w:rPr>
          <w:color w:val="auto"/>
        </w:rPr>
        <w:instrText xml:space="preserve"> PAGEREF _Toc12300 \h </w:instrText>
      </w:r>
      <w:r>
        <w:rPr>
          <w:color w:val="auto"/>
        </w:rPr>
        <w:fldChar w:fldCharType="separate"/>
      </w:r>
      <w:r>
        <w:rPr>
          <w:color w:val="auto"/>
        </w:rPr>
        <w:t>174</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_Toc28120 </w:instrText>
      </w:r>
      <w:r>
        <w:rPr>
          <w:rFonts w:eastAsia="等线 Light"/>
          <w:color w:val="auto"/>
        </w:rPr>
        <w:fldChar w:fldCharType="separate"/>
      </w:r>
      <w:r>
        <w:rPr>
          <w:rFonts w:hint="eastAsia" w:eastAsia="黑体"/>
          <w:color w:val="auto"/>
        </w:rPr>
        <w:t>6.6 环境风险防范措施及应急要求</w:t>
      </w:r>
      <w:r>
        <w:rPr>
          <w:color w:val="auto"/>
        </w:rPr>
        <w:tab/>
      </w:r>
      <w:r>
        <w:rPr>
          <w:color w:val="auto"/>
        </w:rPr>
        <w:fldChar w:fldCharType="begin"/>
      </w:r>
      <w:r>
        <w:rPr>
          <w:color w:val="auto"/>
        </w:rPr>
        <w:instrText xml:space="preserve"> PAGEREF _Toc28120 \h </w:instrText>
      </w:r>
      <w:r>
        <w:rPr>
          <w:color w:val="auto"/>
        </w:rPr>
        <w:fldChar w:fldCharType="separate"/>
      </w:r>
      <w:r>
        <w:rPr>
          <w:color w:val="auto"/>
        </w:rPr>
        <w:t>179</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_Toc7185 </w:instrText>
      </w:r>
      <w:r>
        <w:rPr>
          <w:rFonts w:eastAsia="等线 Light"/>
          <w:color w:val="auto"/>
        </w:rPr>
        <w:fldChar w:fldCharType="separate"/>
      </w:r>
      <w:r>
        <w:rPr>
          <w:rFonts w:hint="eastAsia"/>
          <w:color w:val="auto"/>
        </w:rPr>
        <w:t xml:space="preserve">6.7 </w:t>
      </w:r>
      <w:r>
        <w:rPr>
          <w:rFonts w:eastAsia="黑体"/>
          <w:color w:val="auto"/>
        </w:rPr>
        <w:t>环境风险评价结论</w:t>
      </w:r>
      <w:r>
        <w:rPr>
          <w:color w:val="auto"/>
        </w:rPr>
        <w:tab/>
      </w:r>
      <w:r>
        <w:rPr>
          <w:color w:val="auto"/>
        </w:rPr>
        <w:fldChar w:fldCharType="begin"/>
      </w:r>
      <w:r>
        <w:rPr>
          <w:color w:val="auto"/>
        </w:rPr>
        <w:instrText xml:space="preserve"> PAGEREF _Toc7185 \h </w:instrText>
      </w:r>
      <w:r>
        <w:rPr>
          <w:color w:val="auto"/>
        </w:rPr>
        <w:fldChar w:fldCharType="separate"/>
      </w:r>
      <w:r>
        <w:rPr>
          <w:color w:val="auto"/>
        </w:rPr>
        <w:t>188</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_Toc17089 </w:instrText>
      </w:r>
      <w:r>
        <w:rPr>
          <w:rFonts w:eastAsia="等线 Light"/>
          <w:color w:val="auto"/>
        </w:rPr>
        <w:fldChar w:fldCharType="separate"/>
      </w:r>
      <w:r>
        <w:rPr>
          <w:rFonts w:hint="eastAsia" w:ascii="Arial Unicode MS" w:hAnsi="Arial Unicode MS" w:eastAsia="宋体"/>
          <w:color w:val="auto"/>
        </w:rPr>
        <w:t xml:space="preserve">7 </w:t>
      </w:r>
      <w:r>
        <w:rPr>
          <w:rFonts w:eastAsia="黑体"/>
          <w:color w:val="auto"/>
        </w:rPr>
        <w:t>环境保护措施及其可行性论证</w:t>
      </w:r>
      <w:r>
        <w:rPr>
          <w:color w:val="auto"/>
        </w:rPr>
        <w:tab/>
      </w:r>
      <w:r>
        <w:rPr>
          <w:color w:val="auto"/>
        </w:rPr>
        <w:fldChar w:fldCharType="begin"/>
      </w:r>
      <w:r>
        <w:rPr>
          <w:color w:val="auto"/>
        </w:rPr>
        <w:instrText xml:space="preserve"> PAGEREF _Toc17089 \h </w:instrText>
      </w:r>
      <w:r>
        <w:rPr>
          <w:color w:val="auto"/>
        </w:rPr>
        <w:fldChar w:fldCharType="separate"/>
      </w:r>
      <w:r>
        <w:rPr>
          <w:color w:val="auto"/>
        </w:rPr>
        <w:t>190</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_Toc16911 </w:instrText>
      </w:r>
      <w:r>
        <w:rPr>
          <w:rFonts w:eastAsia="等线 Light"/>
          <w:color w:val="auto"/>
        </w:rPr>
        <w:fldChar w:fldCharType="separate"/>
      </w:r>
      <w:r>
        <w:rPr>
          <w:rFonts w:hint="eastAsia"/>
          <w:color w:val="auto"/>
        </w:rPr>
        <w:t xml:space="preserve">7.1 </w:t>
      </w:r>
      <w:r>
        <w:rPr>
          <w:rFonts w:eastAsia="黑体"/>
          <w:color w:val="auto"/>
        </w:rPr>
        <w:t>施工期环境保护措施及其可行性论证</w:t>
      </w:r>
      <w:r>
        <w:rPr>
          <w:color w:val="auto"/>
        </w:rPr>
        <w:tab/>
      </w:r>
      <w:r>
        <w:rPr>
          <w:color w:val="auto"/>
        </w:rPr>
        <w:fldChar w:fldCharType="begin"/>
      </w:r>
      <w:r>
        <w:rPr>
          <w:color w:val="auto"/>
        </w:rPr>
        <w:instrText xml:space="preserve"> PAGEREF _Toc16911 \h </w:instrText>
      </w:r>
      <w:r>
        <w:rPr>
          <w:color w:val="auto"/>
        </w:rPr>
        <w:fldChar w:fldCharType="separate"/>
      </w:r>
      <w:r>
        <w:rPr>
          <w:color w:val="auto"/>
        </w:rPr>
        <w:t>190</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_Toc5048 </w:instrText>
      </w:r>
      <w:r>
        <w:rPr>
          <w:rFonts w:eastAsia="等线 Light"/>
          <w:color w:val="auto"/>
        </w:rPr>
        <w:fldChar w:fldCharType="separate"/>
      </w:r>
      <w:r>
        <w:rPr>
          <w:rFonts w:hint="eastAsia" w:eastAsia="黑体"/>
          <w:color w:val="auto"/>
        </w:rPr>
        <w:t xml:space="preserve">7.2 </w:t>
      </w:r>
      <w:r>
        <w:rPr>
          <w:rFonts w:eastAsia="黑体"/>
          <w:color w:val="auto"/>
        </w:rPr>
        <w:t>运营期环境保护措施及其可行性论证</w:t>
      </w:r>
      <w:r>
        <w:rPr>
          <w:color w:val="auto"/>
        </w:rPr>
        <w:tab/>
      </w:r>
      <w:r>
        <w:rPr>
          <w:color w:val="auto"/>
        </w:rPr>
        <w:fldChar w:fldCharType="begin"/>
      </w:r>
      <w:r>
        <w:rPr>
          <w:color w:val="auto"/>
        </w:rPr>
        <w:instrText xml:space="preserve"> PAGEREF _Toc5048 \h </w:instrText>
      </w:r>
      <w:r>
        <w:rPr>
          <w:color w:val="auto"/>
        </w:rPr>
        <w:fldChar w:fldCharType="separate"/>
      </w:r>
      <w:r>
        <w:rPr>
          <w:color w:val="auto"/>
        </w:rPr>
        <w:t>193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_Toc29426 </w:instrText>
      </w:r>
      <w:r>
        <w:rPr>
          <w:rFonts w:eastAsia="等线 Light"/>
          <w:color w:val="auto"/>
        </w:rPr>
        <w:fldChar w:fldCharType="separate"/>
      </w:r>
      <w:r>
        <w:rPr>
          <w:rFonts w:hint="eastAsia" w:eastAsia="黑体"/>
          <w:color w:val="auto"/>
        </w:rPr>
        <w:t xml:space="preserve">7.3 </w:t>
      </w:r>
      <w:r>
        <w:rPr>
          <w:rFonts w:eastAsia="黑体"/>
          <w:color w:val="auto"/>
        </w:rPr>
        <w:t>环保措施及投资估算</w:t>
      </w:r>
      <w:r>
        <w:rPr>
          <w:color w:val="auto"/>
        </w:rPr>
        <w:tab/>
      </w:r>
      <w:r>
        <w:rPr>
          <w:color w:val="auto"/>
        </w:rPr>
        <w:fldChar w:fldCharType="begin"/>
      </w:r>
      <w:r>
        <w:rPr>
          <w:color w:val="auto"/>
        </w:rPr>
        <w:instrText xml:space="preserve"> PAGEREF _Toc29426 \h </w:instrText>
      </w:r>
      <w:r>
        <w:rPr>
          <w:color w:val="auto"/>
        </w:rPr>
        <w:fldChar w:fldCharType="separate"/>
      </w:r>
      <w:r>
        <w:rPr>
          <w:color w:val="auto"/>
        </w:rPr>
        <w:t>211</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_Toc20438 </w:instrText>
      </w:r>
      <w:r>
        <w:rPr>
          <w:rFonts w:eastAsia="等线 Light"/>
          <w:color w:val="auto"/>
        </w:rPr>
        <w:fldChar w:fldCharType="separate"/>
      </w:r>
      <w:r>
        <w:rPr>
          <w:rFonts w:hint="eastAsia" w:ascii="Arial Unicode MS" w:hAnsi="Arial Unicode MS" w:eastAsia="宋体"/>
          <w:color w:val="auto"/>
        </w:rPr>
        <w:t xml:space="preserve">8 </w:t>
      </w:r>
      <w:r>
        <w:rPr>
          <w:rFonts w:eastAsia="黑体"/>
          <w:color w:val="auto"/>
        </w:rPr>
        <w:t>环境影响经济损益分析</w:t>
      </w:r>
      <w:r>
        <w:rPr>
          <w:color w:val="auto"/>
        </w:rPr>
        <w:tab/>
      </w:r>
      <w:r>
        <w:rPr>
          <w:color w:val="auto"/>
        </w:rPr>
        <w:fldChar w:fldCharType="begin"/>
      </w:r>
      <w:r>
        <w:rPr>
          <w:color w:val="auto"/>
        </w:rPr>
        <w:instrText xml:space="preserve"> PAGEREF _Toc20438 \h </w:instrText>
      </w:r>
      <w:r>
        <w:rPr>
          <w:color w:val="auto"/>
        </w:rPr>
        <w:fldChar w:fldCharType="separate"/>
      </w:r>
      <w:r>
        <w:rPr>
          <w:color w:val="auto"/>
        </w:rPr>
        <w:t>213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_Toc9182 </w:instrText>
      </w:r>
      <w:r>
        <w:rPr>
          <w:rFonts w:eastAsia="等线 Light"/>
          <w:color w:val="auto"/>
        </w:rPr>
        <w:fldChar w:fldCharType="separate"/>
      </w:r>
      <w:r>
        <w:rPr>
          <w:rFonts w:hint="eastAsia" w:eastAsia="黑体"/>
          <w:color w:val="auto"/>
        </w:rPr>
        <w:t xml:space="preserve">8.1 </w:t>
      </w:r>
      <w:r>
        <w:rPr>
          <w:rFonts w:eastAsia="黑体"/>
          <w:color w:val="auto"/>
        </w:rPr>
        <w:t>环境经济损益分析的目的</w:t>
      </w:r>
      <w:r>
        <w:rPr>
          <w:color w:val="auto"/>
        </w:rPr>
        <w:tab/>
      </w:r>
      <w:r>
        <w:rPr>
          <w:color w:val="auto"/>
        </w:rPr>
        <w:fldChar w:fldCharType="begin"/>
      </w:r>
      <w:r>
        <w:rPr>
          <w:color w:val="auto"/>
        </w:rPr>
        <w:instrText xml:space="preserve"> PAGEREF _Toc9182 \h </w:instrText>
      </w:r>
      <w:r>
        <w:rPr>
          <w:color w:val="auto"/>
        </w:rPr>
        <w:fldChar w:fldCharType="separate"/>
      </w:r>
      <w:r>
        <w:rPr>
          <w:color w:val="auto"/>
        </w:rPr>
        <w:t>213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_Toc6235 </w:instrText>
      </w:r>
      <w:r>
        <w:rPr>
          <w:rFonts w:eastAsia="等线 Light"/>
          <w:color w:val="auto"/>
        </w:rPr>
        <w:fldChar w:fldCharType="separate"/>
      </w:r>
      <w:r>
        <w:rPr>
          <w:rFonts w:hint="eastAsia" w:eastAsia="黑体"/>
          <w:color w:val="auto"/>
        </w:rPr>
        <w:t xml:space="preserve">8.2 </w:t>
      </w:r>
      <w:r>
        <w:rPr>
          <w:rFonts w:eastAsia="黑体"/>
          <w:color w:val="auto"/>
        </w:rPr>
        <w:t>环境经济损益分析的方法</w:t>
      </w:r>
      <w:r>
        <w:rPr>
          <w:color w:val="auto"/>
        </w:rPr>
        <w:tab/>
      </w:r>
      <w:r>
        <w:rPr>
          <w:color w:val="auto"/>
        </w:rPr>
        <w:fldChar w:fldCharType="begin"/>
      </w:r>
      <w:r>
        <w:rPr>
          <w:color w:val="auto"/>
        </w:rPr>
        <w:instrText xml:space="preserve"> PAGEREF _Toc6235 \h </w:instrText>
      </w:r>
      <w:r>
        <w:rPr>
          <w:color w:val="auto"/>
        </w:rPr>
        <w:fldChar w:fldCharType="separate"/>
      </w:r>
      <w:r>
        <w:rPr>
          <w:color w:val="auto"/>
        </w:rPr>
        <w:t>213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_Toc5915 </w:instrText>
      </w:r>
      <w:r>
        <w:rPr>
          <w:rFonts w:eastAsia="等线 Light"/>
          <w:color w:val="auto"/>
        </w:rPr>
        <w:fldChar w:fldCharType="separate"/>
      </w:r>
      <w:r>
        <w:rPr>
          <w:rFonts w:hint="eastAsia" w:eastAsia="黑体"/>
          <w:color w:val="auto"/>
        </w:rPr>
        <w:t xml:space="preserve">8.3 </w:t>
      </w:r>
      <w:r>
        <w:rPr>
          <w:rFonts w:eastAsia="黑体"/>
          <w:color w:val="auto"/>
        </w:rPr>
        <w:t>项目经济效益分析</w:t>
      </w:r>
      <w:r>
        <w:rPr>
          <w:color w:val="auto"/>
        </w:rPr>
        <w:tab/>
      </w:r>
      <w:r>
        <w:rPr>
          <w:color w:val="auto"/>
        </w:rPr>
        <w:fldChar w:fldCharType="begin"/>
      </w:r>
      <w:r>
        <w:rPr>
          <w:color w:val="auto"/>
        </w:rPr>
        <w:instrText xml:space="preserve"> PAGEREF _Toc5915 \h </w:instrText>
      </w:r>
      <w:r>
        <w:rPr>
          <w:color w:val="auto"/>
        </w:rPr>
        <w:fldChar w:fldCharType="separate"/>
      </w:r>
      <w:r>
        <w:rPr>
          <w:color w:val="auto"/>
        </w:rPr>
        <w:t>213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_Toc15459 </w:instrText>
      </w:r>
      <w:r>
        <w:rPr>
          <w:rFonts w:eastAsia="等线 Light"/>
          <w:color w:val="auto"/>
        </w:rPr>
        <w:fldChar w:fldCharType="separate"/>
      </w:r>
      <w:r>
        <w:rPr>
          <w:rFonts w:hint="eastAsia" w:eastAsia="黑体"/>
          <w:color w:val="auto"/>
        </w:rPr>
        <w:t xml:space="preserve">8.4 </w:t>
      </w:r>
      <w:r>
        <w:rPr>
          <w:rFonts w:eastAsia="黑体"/>
          <w:color w:val="auto"/>
        </w:rPr>
        <w:t>项目社会效益分析</w:t>
      </w:r>
      <w:r>
        <w:rPr>
          <w:color w:val="auto"/>
        </w:rPr>
        <w:tab/>
      </w:r>
      <w:r>
        <w:rPr>
          <w:color w:val="auto"/>
        </w:rPr>
        <w:fldChar w:fldCharType="begin"/>
      </w:r>
      <w:r>
        <w:rPr>
          <w:color w:val="auto"/>
        </w:rPr>
        <w:instrText xml:space="preserve"> PAGEREF _Toc15459 \h </w:instrText>
      </w:r>
      <w:r>
        <w:rPr>
          <w:color w:val="auto"/>
        </w:rPr>
        <w:fldChar w:fldCharType="separate"/>
      </w:r>
      <w:r>
        <w:rPr>
          <w:color w:val="auto"/>
        </w:rPr>
        <w:t>214</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_Toc1377 </w:instrText>
      </w:r>
      <w:r>
        <w:rPr>
          <w:rFonts w:eastAsia="等线 Light"/>
          <w:color w:val="auto"/>
        </w:rPr>
        <w:fldChar w:fldCharType="separate"/>
      </w:r>
      <w:r>
        <w:rPr>
          <w:rFonts w:hint="eastAsia" w:eastAsia="黑体"/>
          <w:color w:val="auto"/>
        </w:rPr>
        <w:t>8.5 项目</w:t>
      </w:r>
      <w:r>
        <w:rPr>
          <w:rFonts w:eastAsia="黑体"/>
          <w:color w:val="auto"/>
        </w:rPr>
        <w:t>生态效益分析</w:t>
      </w:r>
      <w:r>
        <w:rPr>
          <w:color w:val="auto"/>
        </w:rPr>
        <w:tab/>
      </w:r>
      <w:r>
        <w:rPr>
          <w:color w:val="auto"/>
        </w:rPr>
        <w:fldChar w:fldCharType="begin"/>
      </w:r>
      <w:r>
        <w:rPr>
          <w:color w:val="auto"/>
        </w:rPr>
        <w:instrText xml:space="preserve"> PAGEREF _Toc1377 \h </w:instrText>
      </w:r>
      <w:r>
        <w:rPr>
          <w:color w:val="auto"/>
        </w:rPr>
        <w:fldChar w:fldCharType="separate"/>
      </w:r>
      <w:r>
        <w:rPr>
          <w:color w:val="auto"/>
        </w:rPr>
        <w:t>214</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_Toc26516 </w:instrText>
      </w:r>
      <w:r>
        <w:rPr>
          <w:rFonts w:eastAsia="等线 Light"/>
          <w:color w:val="auto"/>
        </w:rPr>
        <w:fldChar w:fldCharType="separate"/>
      </w:r>
      <w:r>
        <w:rPr>
          <w:rFonts w:hint="eastAsia" w:eastAsia="黑体"/>
          <w:color w:val="auto"/>
        </w:rPr>
        <w:t xml:space="preserve">8.6 </w:t>
      </w:r>
      <w:r>
        <w:rPr>
          <w:rFonts w:eastAsia="黑体"/>
          <w:color w:val="auto"/>
        </w:rPr>
        <w:t>环境经济损益分析</w:t>
      </w:r>
      <w:r>
        <w:rPr>
          <w:color w:val="auto"/>
        </w:rPr>
        <w:tab/>
      </w:r>
      <w:r>
        <w:rPr>
          <w:color w:val="auto"/>
        </w:rPr>
        <w:fldChar w:fldCharType="begin"/>
      </w:r>
      <w:r>
        <w:rPr>
          <w:color w:val="auto"/>
        </w:rPr>
        <w:instrText xml:space="preserve"> PAGEREF _Toc26516 \h </w:instrText>
      </w:r>
      <w:r>
        <w:rPr>
          <w:color w:val="auto"/>
        </w:rPr>
        <w:fldChar w:fldCharType="separate"/>
      </w:r>
      <w:r>
        <w:rPr>
          <w:color w:val="auto"/>
        </w:rPr>
        <w:t>215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_Toc4706 </w:instrText>
      </w:r>
      <w:r>
        <w:rPr>
          <w:rFonts w:eastAsia="等线 Light"/>
          <w:color w:val="auto"/>
        </w:rPr>
        <w:fldChar w:fldCharType="separate"/>
      </w:r>
      <w:r>
        <w:rPr>
          <w:rFonts w:hint="eastAsia" w:eastAsia="黑体"/>
          <w:color w:val="auto"/>
        </w:rPr>
        <w:t xml:space="preserve">8.7 </w:t>
      </w:r>
      <w:r>
        <w:rPr>
          <w:rFonts w:eastAsia="黑体"/>
          <w:color w:val="auto"/>
        </w:rPr>
        <w:t>环境</w:t>
      </w:r>
      <w:r>
        <w:rPr>
          <w:rFonts w:hint="eastAsia" w:eastAsia="黑体"/>
          <w:color w:val="auto"/>
        </w:rPr>
        <w:t>经济</w:t>
      </w:r>
      <w:r>
        <w:rPr>
          <w:rFonts w:eastAsia="黑体"/>
          <w:color w:val="auto"/>
        </w:rPr>
        <w:t>损益分析结论</w:t>
      </w:r>
      <w:r>
        <w:rPr>
          <w:color w:val="auto"/>
        </w:rPr>
        <w:tab/>
      </w:r>
      <w:r>
        <w:rPr>
          <w:color w:val="auto"/>
        </w:rPr>
        <w:fldChar w:fldCharType="begin"/>
      </w:r>
      <w:r>
        <w:rPr>
          <w:color w:val="auto"/>
        </w:rPr>
        <w:instrText xml:space="preserve"> PAGEREF _Toc4706 \h </w:instrText>
      </w:r>
      <w:r>
        <w:rPr>
          <w:color w:val="auto"/>
        </w:rPr>
        <w:fldChar w:fldCharType="separate"/>
      </w:r>
      <w:r>
        <w:rPr>
          <w:color w:val="auto"/>
        </w:rPr>
        <w:t>217</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_Toc17138 </w:instrText>
      </w:r>
      <w:r>
        <w:rPr>
          <w:rFonts w:eastAsia="等线 Light"/>
          <w:color w:val="auto"/>
        </w:rPr>
        <w:fldChar w:fldCharType="separate"/>
      </w:r>
      <w:r>
        <w:rPr>
          <w:rFonts w:hint="eastAsia" w:ascii="Arial Unicode MS" w:hAnsi="Arial Unicode MS" w:eastAsia="宋体"/>
          <w:color w:val="auto"/>
        </w:rPr>
        <w:t xml:space="preserve">9 </w:t>
      </w:r>
      <w:r>
        <w:rPr>
          <w:rFonts w:eastAsia="黑体"/>
          <w:color w:val="auto"/>
        </w:rPr>
        <w:t>环境管理与监测计划</w:t>
      </w:r>
      <w:r>
        <w:rPr>
          <w:color w:val="auto"/>
        </w:rPr>
        <w:tab/>
      </w:r>
      <w:r>
        <w:rPr>
          <w:color w:val="auto"/>
        </w:rPr>
        <w:fldChar w:fldCharType="begin"/>
      </w:r>
      <w:r>
        <w:rPr>
          <w:color w:val="auto"/>
        </w:rPr>
        <w:instrText xml:space="preserve"> PAGEREF _Toc17138 \h </w:instrText>
      </w:r>
      <w:r>
        <w:rPr>
          <w:color w:val="auto"/>
        </w:rPr>
        <w:fldChar w:fldCharType="separate"/>
      </w:r>
      <w:r>
        <w:rPr>
          <w:color w:val="auto"/>
        </w:rPr>
        <w:t>218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_Toc28358 </w:instrText>
      </w:r>
      <w:r>
        <w:rPr>
          <w:rFonts w:eastAsia="等线 Light"/>
          <w:color w:val="auto"/>
        </w:rPr>
        <w:fldChar w:fldCharType="separate"/>
      </w:r>
      <w:r>
        <w:rPr>
          <w:rFonts w:hint="eastAsia" w:eastAsia="黑体"/>
          <w:color w:val="auto"/>
        </w:rPr>
        <w:t xml:space="preserve">9.1 </w:t>
      </w:r>
      <w:r>
        <w:rPr>
          <w:rFonts w:eastAsia="黑体"/>
          <w:color w:val="auto"/>
        </w:rPr>
        <w:t>环境管理</w:t>
      </w:r>
      <w:r>
        <w:rPr>
          <w:rFonts w:hint="eastAsia" w:eastAsia="黑体"/>
          <w:color w:val="auto"/>
        </w:rPr>
        <w:t>要求</w:t>
      </w:r>
      <w:r>
        <w:rPr>
          <w:color w:val="auto"/>
        </w:rPr>
        <w:tab/>
      </w:r>
      <w:r>
        <w:rPr>
          <w:color w:val="auto"/>
        </w:rPr>
        <w:fldChar w:fldCharType="begin"/>
      </w:r>
      <w:r>
        <w:rPr>
          <w:color w:val="auto"/>
        </w:rPr>
        <w:instrText xml:space="preserve"> PAGEREF _Toc28358 \h </w:instrText>
      </w:r>
      <w:r>
        <w:rPr>
          <w:color w:val="auto"/>
        </w:rPr>
        <w:fldChar w:fldCharType="separate"/>
      </w:r>
      <w:r>
        <w:rPr>
          <w:color w:val="auto"/>
        </w:rPr>
        <w:t>218</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_Toc366 </w:instrText>
      </w:r>
      <w:r>
        <w:rPr>
          <w:rFonts w:eastAsia="等线 Light"/>
          <w:color w:val="auto"/>
        </w:rPr>
        <w:fldChar w:fldCharType="separate"/>
      </w:r>
      <w:r>
        <w:rPr>
          <w:rFonts w:hint="eastAsia" w:eastAsia="黑体"/>
          <w:color w:val="auto"/>
        </w:rPr>
        <w:t xml:space="preserve">9.2 </w:t>
      </w:r>
      <w:r>
        <w:rPr>
          <w:rFonts w:eastAsia="黑体"/>
          <w:color w:val="auto"/>
        </w:rPr>
        <w:t>环境监测</w:t>
      </w:r>
      <w:r>
        <w:rPr>
          <w:color w:val="auto"/>
        </w:rPr>
        <w:tab/>
      </w:r>
      <w:r>
        <w:rPr>
          <w:color w:val="auto"/>
        </w:rPr>
        <w:fldChar w:fldCharType="begin"/>
      </w:r>
      <w:r>
        <w:rPr>
          <w:color w:val="auto"/>
        </w:rPr>
        <w:instrText xml:space="preserve"> PAGEREF _Toc366 \h </w:instrText>
      </w:r>
      <w:r>
        <w:rPr>
          <w:color w:val="auto"/>
        </w:rPr>
        <w:fldChar w:fldCharType="separate"/>
      </w:r>
      <w:r>
        <w:rPr>
          <w:color w:val="auto"/>
        </w:rPr>
        <w:t>223</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_Toc23292 </w:instrText>
      </w:r>
      <w:r>
        <w:rPr>
          <w:rFonts w:eastAsia="等线 Light"/>
          <w:color w:val="auto"/>
        </w:rPr>
        <w:fldChar w:fldCharType="separate"/>
      </w:r>
      <w:r>
        <w:rPr>
          <w:rFonts w:hint="eastAsia" w:eastAsia="黑体"/>
          <w:color w:val="auto"/>
        </w:rPr>
        <w:t>9.3 总量控制</w:t>
      </w:r>
      <w:r>
        <w:rPr>
          <w:color w:val="auto"/>
        </w:rPr>
        <w:tab/>
      </w:r>
      <w:r>
        <w:rPr>
          <w:color w:val="auto"/>
        </w:rPr>
        <w:fldChar w:fldCharType="begin"/>
      </w:r>
      <w:r>
        <w:rPr>
          <w:color w:val="auto"/>
        </w:rPr>
        <w:instrText xml:space="preserve"> PAGEREF _Toc23292 \h </w:instrText>
      </w:r>
      <w:r>
        <w:rPr>
          <w:color w:val="auto"/>
        </w:rPr>
        <w:fldChar w:fldCharType="separate"/>
      </w:r>
      <w:r>
        <w:rPr>
          <w:color w:val="auto"/>
        </w:rPr>
        <w:t>225</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_Toc24055 </w:instrText>
      </w:r>
      <w:r>
        <w:rPr>
          <w:rFonts w:eastAsia="等线 Light"/>
          <w:color w:val="auto"/>
        </w:rPr>
        <w:fldChar w:fldCharType="separate"/>
      </w:r>
      <w:r>
        <w:rPr>
          <w:rFonts w:hint="eastAsia" w:eastAsia="黑体"/>
          <w:color w:val="auto"/>
        </w:rPr>
        <w:t xml:space="preserve">9.4 </w:t>
      </w:r>
      <w:r>
        <w:rPr>
          <w:rFonts w:eastAsia="黑体"/>
          <w:color w:val="auto"/>
        </w:rPr>
        <w:t>竣工环境保护验收</w:t>
      </w:r>
      <w:r>
        <w:rPr>
          <w:color w:val="auto"/>
        </w:rPr>
        <w:tab/>
      </w:r>
      <w:r>
        <w:rPr>
          <w:color w:val="auto"/>
        </w:rPr>
        <w:fldChar w:fldCharType="begin"/>
      </w:r>
      <w:r>
        <w:rPr>
          <w:color w:val="auto"/>
        </w:rPr>
        <w:instrText xml:space="preserve"> PAGEREF _Toc24055 \h </w:instrText>
      </w:r>
      <w:r>
        <w:rPr>
          <w:color w:val="auto"/>
        </w:rPr>
        <w:fldChar w:fldCharType="separate"/>
      </w:r>
      <w:r>
        <w:rPr>
          <w:color w:val="auto"/>
        </w:rPr>
        <w:t>226</w:t>
      </w:r>
      <w:r>
        <w:rPr>
          <w:color w:val="auto"/>
        </w:rPr>
        <w:fldChar w:fldCharType="end"/>
      </w:r>
      <w:r>
        <w:rPr>
          <w:rFonts w:eastAsia="等线 Light"/>
          <w:color w:val="auto"/>
        </w:rPr>
        <w:fldChar w:fldCharType="end"/>
      </w:r>
    </w:p>
    <w:p>
      <w:pPr>
        <w:pStyle w:val="35"/>
        <w:tabs>
          <w:tab w:val="right" w:leader="dot" w:pos="8787"/>
        </w:tabs>
        <w:rPr>
          <w:color w:val="auto"/>
        </w:rPr>
      </w:pPr>
      <w:r>
        <w:rPr>
          <w:rFonts w:eastAsia="等线 Light"/>
          <w:color w:val="auto"/>
        </w:rPr>
        <w:fldChar w:fldCharType="begin"/>
      </w:r>
      <w:r>
        <w:rPr>
          <w:rFonts w:eastAsia="等线 Light"/>
          <w:color w:val="auto"/>
        </w:rPr>
        <w:instrText xml:space="preserve"> HYPERLINK \l _Toc6530 </w:instrText>
      </w:r>
      <w:r>
        <w:rPr>
          <w:rFonts w:eastAsia="等线 Light"/>
          <w:color w:val="auto"/>
        </w:rPr>
        <w:fldChar w:fldCharType="separate"/>
      </w:r>
      <w:r>
        <w:rPr>
          <w:rFonts w:hint="eastAsia" w:ascii="Arial Unicode MS" w:hAnsi="Arial Unicode MS" w:eastAsia="宋体"/>
          <w:color w:val="auto"/>
        </w:rPr>
        <w:t xml:space="preserve">10 </w:t>
      </w:r>
      <w:r>
        <w:rPr>
          <w:rFonts w:eastAsia="黑体"/>
          <w:color w:val="auto"/>
        </w:rPr>
        <w:t>结论及建议</w:t>
      </w:r>
      <w:r>
        <w:rPr>
          <w:color w:val="auto"/>
        </w:rPr>
        <w:tab/>
      </w:r>
      <w:r>
        <w:rPr>
          <w:color w:val="auto"/>
        </w:rPr>
        <w:fldChar w:fldCharType="begin"/>
      </w:r>
      <w:r>
        <w:rPr>
          <w:color w:val="auto"/>
        </w:rPr>
        <w:instrText xml:space="preserve"> PAGEREF _Toc6530 \h </w:instrText>
      </w:r>
      <w:r>
        <w:rPr>
          <w:color w:val="auto"/>
        </w:rPr>
        <w:fldChar w:fldCharType="separate"/>
      </w:r>
      <w:r>
        <w:rPr>
          <w:color w:val="auto"/>
        </w:rPr>
        <w:t>231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_Toc32538 </w:instrText>
      </w:r>
      <w:r>
        <w:rPr>
          <w:rFonts w:eastAsia="等线 Light"/>
          <w:color w:val="auto"/>
        </w:rPr>
        <w:fldChar w:fldCharType="separate"/>
      </w:r>
      <w:r>
        <w:rPr>
          <w:rFonts w:hint="eastAsia" w:eastAsia="黑体"/>
          <w:color w:val="auto"/>
        </w:rPr>
        <w:t xml:space="preserve">10.1 </w:t>
      </w:r>
      <w:r>
        <w:rPr>
          <w:rFonts w:eastAsia="黑体"/>
          <w:color w:val="auto"/>
        </w:rPr>
        <w:t>环境影响评价结论</w:t>
      </w:r>
      <w:r>
        <w:rPr>
          <w:color w:val="auto"/>
        </w:rPr>
        <w:tab/>
      </w:r>
      <w:r>
        <w:rPr>
          <w:color w:val="auto"/>
        </w:rPr>
        <w:fldChar w:fldCharType="begin"/>
      </w:r>
      <w:r>
        <w:rPr>
          <w:color w:val="auto"/>
        </w:rPr>
        <w:instrText xml:space="preserve"> PAGEREF _Toc32538 \h </w:instrText>
      </w:r>
      <w:r>
        <w:rPr>
          <w:color w:val="auto"/>
        </w:rPr>
        <w:fldChar w:fldCharType="separate"/>
      </w:r>
      <w:r>
        <w:rPr>
          <w:color w:val="auto"/>
        </w:rPr>
        <w:t>231</w:t>
      </w:r>
      <w:r>
        <w:rPr>
          <w:color w:val="auto"/>
        </w:rPr>
        <w:fldChar w:fldCharType="end"/>
      </w:r>
      <w:r>
        <w:rPr>
          <w:rFonts w:eastAsia="等线 Light"/>
          <w:color w:val="auto"/>
        </w:rPr>
        <w:fldChar w:fldCharType="end"/>
      </w:r>
    </w:p>
    <w:p>
      <w:pPr>
        <w:pStyle w:val="41"/>
        <w:tabs>
          <w:tab w:val="right" w:leader="dot" w:pos="8787"/>
          <w:tab w:val="clear" w:pos="765"/>
          <w:tab w:val="clear" w:pos="8681"/>
        </w:tabs>
        <w:rPr>
          <w:color w:val="auto"/>
        </w:rPr>
      </w:pPr>
      <w:r>
        <w:rPr>
          <w:rFonts w:eastAsia="等线 Light"/>
          <w:color w:val="auto"/>
        </w:rPr>
        <w:fldChar w:fldCharType="begin"/>
      </w:r>
      <w:r>
        <w:rPr>
          <w:rFonts w:eastAsia="等线 Light"/>
          <w:color w:val="auto"/>
        </w:rPr>
        <w:instrText xml:space="preserve"> HYPERLINK \l _Toc5277 </w:instrText>
      </w:r>
      <w:r>
        <w:rPr>
          <w:rFonts w:eastAsia="等线 Light"/>
          <w:color w:val="auto"/>
        </w:rPr>
        <w:fldChar w:fldCharType="separate"/>
      </w:r>
      <w:r>
        <w:rPr>
          <w:rFonts w:hint="eastAsia" w:eastAsia="黑体"/>
          <w:color w:val="auto"/>
        </w:rPr>
        <w:t xml:space="preserve">10.2 </w:t>
      </w:r>
      <w:r>
        <w:rPr>
          <w:rFonts w:eastAsia="黑体"/>
          <w:color w:val="auto"/>
        </w:rPr>
        <w:t>建议及要求</w:t>
      </w:r>
      <w:r>
        <w:rPr>
          <w:color w:val="auto"/>
        </w:rPr>
        <w:tab/>
      </w:r>
      <w:r>
        <w:rPr>
          <w:color w:val="auto"/>
        </w:rPr>
        <w:fldChar w:fldCharType="begin"/>
      </w:r>
      <w:r>
        <w:rPr>
          <w:color w:val="auto"/>
        </w:rPr>
        <w:instrText xml:space="preserve"> PAGEREF _Toc5277 \h </w:instrText>
      </w:r>
      <w:r>
        <w:rPr>
          <w:color w:val="auto"/>
        </w:rPr>
        <w:fldChar w:fldCharType="separate"/>
      </w:r>
      <w:r>
        <w:rPr>
          <w:color w:val="auto"/>
        </w:rPr>
        <w:t>238</w:t>
      </w:r>
      <w:r>
        <w:rPr>
          <w:color w:val="auto"/>
        </w:rPr>
        <w:fldChar w:fldCharType="end"/>
      </w:r>
      <w:r>
        <w:rPr>
          <w:rFonts w:eastAsia="等线 Light"/>
          <w:color w:val="auto"/>
        </w:rPr>
        <w:fldChar w:fldCharType="end"/>
      </w:r>
    </w:p>
    <w:p>
      <w:pPr>
        <w:ind w:firstLine="420"/>
        <w:rPr>
          <w:color w:val="auto"/>
          <w:sz w:val="21"/>
        </w:rPr>
        <w:sectPr>
          <w:headerReference r:id="rId11" w:type="default"/>
          <w:footerReference r:id="rId12" w:type="default"/>
          <w:pgSz w:w="11906" w:h="16838"/>
          <w:pgMar w:top="1418" w:right="1418" w:bottom="1418" w:left="1701" w:header="851" w:footer="992" w:gutter="0"/>
          <w:pgNumType w:fmt="upperRoman" w:start="1"/>
          <w:cols w:space="720" w:num="1"/>
          <w:docGrid w:linePitch="312" w:charSpace="0"/>
        </w:sectPr>
      </w:pPr>
      <w:r>
        <w:rPr>
          <w:rFonts w:eastAsia="等线 Light"/>
          <w:color w:val="auto"/>
        </w:rPr>
        <w:fldChar w:fldCharType="end"/>
      </w:r>
    </w:p>
    <w:p>
      <w:pPr>
        <w:ind w:firstLine="0" w:firstLineChars="0"/>
        <w:rPr>
          <w:b/>
          <w:color w:val="auto"/>
        </w:rPr>
      </w:pPr>
      <w:r>
        <w:rPr>
          <w:b/>
          <w:color w:val="auto"/>
        </w:rPr>
        <w:t>附图：</w:t>
      </w:r>
    </w:p>
    <w:p>
      <w:pPr>
        <w:ind w:firstLine="480"/>
        <w:rPr>
          <w:color w:val="auto"/>
        </w:rPr>
      </w:pPr>
      <w:r>
        <w:rPr>
          <w:rFonts w:hint="eastAsia"/>
          <w:color w:val="auto"/>
        </w:rPr>
        <w:t>附图1</w:t>
      </w:r>
      <w:r>
        <w:rPr>
          <w:color w:val="auto"/>
        </w:rPr>
        <w:t xml:space="preserve">  </w:t>
      </w:r>
      <w:r>
        <w:rPr>
          <w:rFonts w:hint="eastAsia"/>
          <w:color w:val="auto"/>
        </w:rPr>
        <w:t>项目地理位置图</w:t>
      </w:r>
    </w:p>
    <w:p>
      <w:pPr>
        <w:ind w:firstLine="480"/>
        <w:rPr>
          <w:color w:val="auto"/>
        </w:rPr>
      </w:pPr>
      <w:r>
        <w:rPr>
          <w:rFonts w:hint="eastAsia"/>
          <w:color w:val="auto"/>
        </w:rPr>
        <w:t>附图2</w:t>
      </w:r>
      <w:r>
        <w:rPr>
          <w:color w:val="auto"/>
        </w:rPr>
        <w:t xml:space="preserve">-1  </w:t>
      </w:r>
      <w:r>
        <w:rPr>
          <w:rFonts w:hint="eastAsia"/>
          <w:color w:val="auto"/>
        </w:rPr>
        <w:t>项目外环境关系及卫生防护距离图</w:t>
      </w:r>
    </w:p>
    <w:p>
      <w:pPr>
        <w:ind w:firstLine="480"/>
        <w:rPr>
          <w:color w:val="auto"/>
        </w:rPr>
      </w:pPr>
      <w:r>
        <w:rPr>
          <w:rFonts w:hint="eastAsia"/>
          <w:color w:val="auto"/>
        </w:rPr>
        <w:t>附图2-</w:t>
      </w:r>
      <w:r>
        <w:rPr>
          <w:color w:val="auto"/>
        </w:rPr>
        <w:t xml:space="preserve">2  </w:t>
      </w:r>
      <w:r>
        <w:rPr>
          <w:rFonts w:hint="eastAsia"/>
          <w:color w:val="auto"/>
        </w:rPr>
        <w:t>项目外环境关系及检测布点图</w:t>
      </w:r>
    </w:p>
    <w:p>
      <w:pPr>
        <w:ind w:firstLine="480"/>
        <w:rPr>
          <w:color w:val="auto"/>
        </w:rPr>
      </w:pPr>
      <w:r>
        <w:rPr>
          <w:rFonts w:hint="eastAsia"/>
          <w:color w:val="auto"/>
        </w:rPr>
        <w:t>附图3</w:t>
      </w:r>
      <w:r>
        <w:rPr>
          <w:color w:val="auto"/>
        </w:rPr>
        <w:t xml:space="preserve">  </w:t>
      </w:r>
      <w:r>
        <w:rPr>
          <w:rFonts w:hint="eastAsia"/>
          <w:color w:val="auto"/>
        </w:rPr>
        <w:t>项目总平面布置及分区防渗图</w:t>
      </w:r>
    </w:p>
    <w:p>
      <w:pPr>
        <w:ind w:firstLine="480"/>
        <w:rPr>
          <w:color w:val="auto"/>
        </w:rPr>
      </w:pPr>
      <w:r>
        <w:rPr>
          <w:rFonts w:hint="eastAsia"/>
          <w:color w:val="auto"/>
        </w:rPr>
        <w:t>附图4</w:t>
      </w:r>
      <w:r>
        <w:rPr>
          <w:color w:val="auto"/>
        </w:rPr>
        <w:t xml:space="preserve">  </w:t>
      </w:r>
      <w:r>
        <w:rPr>
          <w:rFonts w:hint="eastAsia"/>
          <w:color w:val="auto"/>
        </w:rPr>
        <w:t>项目消纳区分布示意图</w:t>
      </w:r>
    </w:p>
    <w:p>
      <w:pPr>
        <w:ind w:firstLine="480"/>
        <w:rPr>
          <w:color w:val="auto"/>
        </w:rPr>
      </w:pPr>
      <w:r>
        <w:rPr>
          <w:rFonts w:hint="eastAsia"/>
          <w:color w:val="auto"/>
        </w:rPr>
        <w:t>附图</w:t>
      </w:r>
      <w:r>
        <w:rPr>
          <w:color w:val="auto"/>
        </w:rPr>
        <w:t xml:space="preserve">5  </w:t>
      </w:r>
      <w:r>
        <w:rPr>
          <w:rFonts w:hint="eastAsia"/>
          <w:color w:val="auto"/>
        </w:rPr>
        <w:t>项目所在区域水系图</w:t>
      </w:r>
    </w:p>
    <w:p>
      <w:pPr>
        <w:ind w:firstLine="480"/>
        <w:rPr>
          <w:color w:val="auto"/>
        </w:rPr>
      </w:pPr>
      <w:r>
        <w:rPr>
          <w:rFonts w:hint="eastAsia"/>
          <w:color w:val="auto"/>
        </w:rPr>
        <w:t>附图</w:t>
      </w:r>
      <w:r>
        <w:rPr>
          <w:color w:val="auto"/>
        </w:rPr>
        <w:t xml:space="preserve">6  </w:t>
      </w:r>
      <w:r>
        <w:rPr>
          <w:rFonts w:hint="eastAsia"/>
          <w:color w:val="auto"/>
        </w:rPr>
        <w:t>项目所在区域水文地质图</w:t>
      </w:r>
    </w:p>
    <w:p>
      <w:pPr>
        <w:ind w:firstLine="0" w:firstLineChars="0"/>
        <w:rPr>
          <w:b/>
          <w:color w:val="auto"/>
        </w:rPr>
      </w:pPr>
      <w:r>
        <w:rPr>
          <w:b/>
          <w:color w:val="auto"/>
        </w:rPr>
        <w:t>附件：</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rFonts w:hint="eastAsia"/>
          <w:color w:val="auto"/>
        </w:rPr>
        <w:t>附件1</w:t>
      </w:r>
      <w:r>
        <w:rPr>
          <w:color w:val="auto"/>
        </w:rPr>
        <w:t xml:space="preserve">  </w:t>
      </w:r>
      <w:r>
        <w:rPr>
          <w:rFonts w:hint="eastAsia"/>
          <w:color w:val="auto"/>
        </w:rPr>
        <w:t>项目环境影响评价委托书</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auto"/>
        </w:rPr>
      </w:pPr>
      <w:r>
        <w:rPr>
          <w:rFonts w:hint="eastAsia"/>
          <w:color w:val="auto"/>
        </w:rPr>
        <w:t>附件2</w:t>
      </w:r>
      <w:r>
        <w:rPr>
          <w:color w:val="auto"/>
        </w:rPr>
        <w:t xml:space="preserve">  </w:t>
      </w:r>
      <w:r>
        <w:rPr>
          <w:rFonts w:hint="eastAsia"/>
          <w:color w:val="auto"/>
        </w:rPr>
        <w:t>项目备案文件</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eastAsia="宋体"/>
          <w:color w:val="auto"/>
          <w:lang w:val="en-US" w:eastAsia="zh-CN"/>
        </w:rPr>
      </w:pPr>
      <w:r>
        <w:rPr>
          <w:rFonts w:hint="eastAsia"/>
          <w:color w:val="auto"/>
          <w:lang w:val="en-US" w:eastAsia="zh-CN"/>
        </w:rPr>
        <w:t xml:space="preserve">    附件3  企业营业执照</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auto"/>
          <w:lang w:val="en-US" w:eastAsia="zh-CN"/>
        </w:rPr>
      </w:pPr>
      <w:r>
        <w:rPr>
          <w:rFonts w:hint="eastAsia"/>
          <w:color w:val="auto"/>
        </w:rPr>
        <w:t>附件</w:t>
      </w:r>
      <w:r>
        <w:rPr>
          <w:rFonts w:hint="eastAsia"/>
          <w:color w:val="auto"/>
          <w:lang w:val="en-US" w:eastAsia="zh-CN"/>
        </w:rPr>
        <w:t>4</w:t>
      </w:r>
      <w:r>
        <w:rPr>
          <w:color w:val="auto"/>
        </w:rPr>
        <w:t xml:space="preserve">  </w:t>
      </w:r>
      <w:r>
        <w:rPr>
          <w:rFonts w:hint="eastAsia"/>
          <w:color w:val="auto"/>
        </w:rPr>
        <w:t>项目</w:t>
      </w:r>
      <w:r>
        <w:rPr>
          <w:rFonts w:hint="eastAsia"/>
          <w:color w:val="auto"/>
          <w:lang w:val="en-US" w:eastAsia="zh-CN"/>
        </w:rPr>
        <w:t>使用农用地的批复</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color w:val="auto"/>
          <w:lang w:val="en-US" w:eastAsia="zh-CN"/>
        </w:rPr>
      </w:pPr>
      <w:r>
        <w:rPr>
          <w:rFonts w:hint="eastAsia"/>
          <w:color w:val="auto"/>
          <w:lang w:val="en-US" w:eastAsia="zh-CN"/>
        </w:rPr>
        <w:t>附件5  项目土地利用规划图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eastAsia"/>
          <w:color w:val="auto"/>
          <w:lang w:val="en-US" w:eastAsia="zh-CN"/>
        </w:rPr>
        <w:t>附件6  设施农用地备案表</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auto"/>
        </w:rPr>
      </w:pPr>
      <w:r>
        <w:rPr>
          <w:rFonts w:hint="eastAsia"/>
          <w:color w:val="auto"/>
        </w:rPr>
        <w:t>附件</w:t>
      </w:r>
      <w:r>
        <w:rPr>
          <w:rFonts w:hint="eastAsia"/>
          <w:color w:val="auto"/>
          <w:lang w:val="en-US" w:eastAsia="zh-CN"/>
        </w:rPr>
        <w:t>7</w:t>
      </w:r>
      <w:r>
        <w:rPr>
          <w:color w:val="auto"/>
        </w:rPr>
        <w:t xml:space="preserve">  </w:t>
      </w:r>
      <w:r>
        <w:rPr>
          <w:rFonts w:hint="eastAsia"/>
          <w:color w:val="auto"/>
        </w:rPr>
        <w:t>项目用地流转合同</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eastAsia="宋体"/>
          <w:color w:val="auto"/>
          <w:lang w:val="en-US" w:eastAsia="zh-CN"/>
        </w:rPr>
      </w:pPr>
      <w:r>
        <w:rPr>
          <w:rFonts w:hint="eastAsia"/>
          <w:color w:val="auto"/>
          <w:lang w:val="en-US" w:eastAsia="zh-CN"/>
        </w:rPr>
        <w:t xml:space="preserve">    附件8  原项目环境影响登记表</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rFonts w:hint="eastAsia"/>
          <w:color w:val="auto"/>
        </w:rPr>
        <w:t>附件</w:t>
      </w:r>
      <w:r>
        <w:rPr>
          <w:rFonts w:hint="eastAsia"/>
          <w:color w:val="auto"/>
          <w:lang w:val="en-US" w:eastAsia="zh-CN"/>
        </w:rPr>
        <w:t>9</w:t>
      </w:r>
      <w:r>
        <w:rPr>
          <w:rFonts w:hint="eastAsia"/>
          <w:color w:val="auto"/>
        </w:rPr>
        <w:t xml:space="preserve"> </w:t>
      </w:r>
      <w:r>
        <w:rPr>
          <w:color w:val="auto"/>
        </w:rPr>
        <w:t xml:space="preserve"> </w:t>
      </w:r>
      <w:r>
        <w:rPr>
          <w:rFonts w:hint="eastAsia"/>
          <w:color w:val="auto"/>
          <w:lang w:val="en-US" w:eastAsia="zh-CN"/>
        </w:rPr>
        <w:t>游仙区</w:t>
      </w:r>
      <w:r>
        <w:rPr>
          <w:rFonts w:hint="eastAsia"/>
          <w:color w:val="auto"/>
        </w:rPr>
        <w:t>禁养区划定方案</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rFonts w:hint="eastAsia"/>
          <w:color w:val="auto"/>
        </w:rPr>
        <w:t>附件</w:t>
      </w:r>
      <w:r>
        <w:rPr>
          <w:rFonts w:hint="eastAsia"/>
          <w:color w:val="auto"/>
          <w:lang w:val="en-US" w:eastAsia="zh-CN"/>
        </w:rPr>
        <w:t>10</w:t>
      </w:r>
      <w:r>
        <w:rPr>
          <w:rFonts w:hint="eastAsia"/>
          <w:color w:val="auto"/>
        </w:rPr>
        <w:t xml:space="preserve"> </w:t>
      </w:r>
      <w:r>
        <w:rPr>
          <w:color w:val="auto"/>
        </w:rPr>
        <w:t xml:space="preserve"> </w:t>
      </w:r>
      <w:r>
        <w:rPr>
          <w:rFonts w:hint="eastAsia"/>
          <w:color w:val="auto"/>
        </w:rPr>
        <w:t>项目环境影响评价执行标准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rFonts w:hint="eastAsia"/>
          <w:color w:val="auto"/>
        </w:rPr>
        <w:t>附件</w:t>
      </w:r>
      <w:r>
        <w:rPr>
          <w:rFonts w:hint="eastAsia"/>
          <w:color w:val="auto"/>
          <w:lang w:val="en-US" w:eastAsia="zh-CN"/>
        </w:rPr>
        <w:t>11</w:t>
      </w:r>
      <w:r>
        <w:rPr>
          <w:rFonts w:hint="eastAsia"/>
          <w:color w:val="auto"/>
        </w:rPr>
        <w:t xml:space="preserve"> </w:t>
      </w:r>
      <w:r>
        <w:rPr>
          <w:color w:val="auto"/>
        </w:rPr>
        <w:t xml:space="preserve"> </w:t>
      </w:r>
      <w:r>
        <w:rPr>
          <w:rFonts w:hint="eastAsia"/>
          <w:color w:val="auto"/>
        </w:rPr>
        <w:t>项目环境检测报告</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auto"/>
        </w:rPr>
      </w:pPr>
      <w:r>
        <w:rPr>
          <w:rFonts w:hint="eastAsia"/>
          <w:color w:val="auto"/>
        </w:rPr>
        <w:t>附件</w:t>
      </w:r>
      <w:r>
        <w:rPr>
          <w:rFonts w:hint="eastAsia"/>
          <w:color w:val="auto"/>
          <w:lang w:val="en-US" w:eastAsia="zh-CN"/>
        </w:rPr>
        <w:t>12</w:t>
      </w:r>
      <w:r>
        <w:rPr>
          <w:rFonts w:hint="eastAsia"/>
          <w:color w:val="auto"/>
        </w:rPr>
        <w:t xml:space="preserve"> </w:t>
      </w:r>
      <w:r>
        <w:rPr>
          <w:color w:val="auto"/>
        </w:rPr>
        <w:t xml:space="preserve"> </w:t>
      </w:r>
      <w:r>
        <w:rPr>
          <w:rFonts w:hint="eastAsia"/>
          <w:color w:val="auto"/>
        </w:rPr>
        <w:t>项目农肥消纳协议及粪肥协议</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eastAsia="宋体"/>
          <w:color w:val="auto"/>
          <w:lang w:val="en-US" w:eastAsia="zh-CN"/>
        </w:rPr>
      </w:pPr>
      <w:r>
        <w:rPr>
          <w:rFonts w:hint="eastAsia"/>
          <w:color w:val="auto"/>
          <w:lang w:val="en-US" w:eastAsia="zh-CN"/>
        </w:rPr>
        <w:t xml:space="preserve">    附件13  项目病死猪无害化处理协议</w:t>
      </w:r>
    </w:p>
    <w:p>
      <w:pPr>
        <w:ind w:firstLine="0" w:firstLineChars="0"/>
        <w:rPr>
          <w:b/>
          <w:color w:val="auto"/>
        </w:rPr>
      </w:pPr>
      <w:r>
        <w:rPr>
          <w:b/>
          <w:color w:val="auto"/>
        </w:rPr>
        <w:t>附表：</w:t>
      </w:r>
    </w:p>
    <w:p>
      <w:pPr>
        <w:ind w:firstLine="480"/>
        <w:rPr>
          <w:rFonts w:hint="eastAsia"/>
          <w:bCs/>
          <w:color w:val="auto"/>
        </w:rPr>
      </w:pPr>
      <w:r>
        <w:rPr>
          <w:rFonts w:hint="eastAsia"/>
          <w:bCs/>
          <w:color w:val="auto"/>
        </w:rPr>
        <w:t>附件1</w:t>
      </w:r>
      <w:r>
        <w:rPr>
          <w:bCs/>
          <w:color w:val="auto"/>
        </w:rPr>
        <w:t xml:space="preserve">  </w:t>
      </w:r>
      <w:r>
        <w:rPr>
          <w:rFonts w:hint="eastAsia"/>
          <w:bCs/>
          <w:color w:val="auto"/>
        </w:rPr>
        <w:t>项目大气环境影响评价自查表</w:t>
      </w:r>
    </w:p>
    <w:p>
      <w:pPr>
        <w:ind w:firstLine="480"/>
        <w:rPr>
          <w:rFonts w:hint="eastAsia"/>
          <w:bCs/>
          <w:color w:val="auto"/>
        </w:rPr>
      </w:pPr>
      <w:r>
        <w:rPr>
          <w:rFonts w:hint="eastAsia"/>
          <w:bCs/>
          <w:color w:val="auto"/>
        </w:rPr>
        <w:t>附表2  项目地表水环境影响评价自查表</w:t>
      </w:r>
    </w:p>
    <w:p>
      <w:pPr>
        <w:ind w:firstLine="480"/>
        <w:rPr>
          <w:bCs/>
          <w:color w:val="auto"/>
        </w:rPr>
      </w:pPr>
      <w:r>
        <w:rPr>
          <w:rFonts w:hint="eastAsia"/>
          <w:bCs/>
          <w:color w:val="auto"/>
        </w:rPr>
        <w:t xml:space="preserve">附表3  </w:t>
      </w:r>
      <w:r>
        <w:rPr>
          <w:rFonts w:hint="eastAsia"/>
          <w:bCs/>
          <w:color w:val="auto"/>
        </w:rPr>
        <w:t>项</w:t>
      </w:r>
      <w:r>
        <w:rPr>
          <w:rFonts w:hint="eastAsia"/>
          <w:bCs/>
          <w:color w:val="auto"/>
        </w:rPr>
        <w:t>目土壤环境影响评价自查表</w:t>
      </w:r>
    </w:p>
    <w:p>
      <w:pPr>
        <w:ind w:firstLine="480"/>
        <w:rPr>
          <w:bCs/>
          <w:color w:val="auto"/>
        </w:rPr>
      </w:pPr>
      <w:r>
        <w:rPr>
          <w:rFonts w:hint="eastAsia"/>
          <w:bCs/>
          <w:color w:val="auto"/>
        </w:rPr>
        <w:t xml:space="preserve">附表4 </w:t>
      </w:r>
      <w:r>
        <w:rPr>
          <w:bCs/>
          <w:color w:val="auto"/>
        </w:rPr>
        <w:t xml:space="preserve"> </w:t>
      </w:r>
      <w:r>
        <w:rPr>
          <w:rFonts w:hint="eastAsia"/>
          <w:bCs/>
          <w:color w:val="auto"/>
        </w:rPr>
        <w:t>项目环境风险评价自查表</w:t>
      </w:r>
    </w:p>
    <w:p>
      <w:pPr>
        <w:ind w:firstLine="480"/>
        <w:rPr>
          <w:rFonts w:hint="eastAsia"/>
          <w:bCs/>
          <w:color w:val="auto"/>
        </w:rPr>
      </w:pPr>
      <w:r>
        <w:rPr>
          <w:rFonts w:hint="eastAsia"/>
          <w:bCs/>
          <w:color w:val="auto"/>
        </w:rPr>
        <w:t>附表</w:t>
      </w:r>
      <w:r>
        <w:rPr>
          <w:bCs/>
          <w:color w:val="auto"/>
        </w:rPr>
        <w:t xml:space="preserve">5  </w:t>
      </w:r>
      <w:r>
        <w:rPr>
          <w:rFonts w:hint="eastAsia"/>
          <w:bCs/>
          <w:color w:val="auto"/>
        </w:rPr>
        <w:t>项目环评审批基础信息表</w:t>
      </w:r>
    </w:p>
    <w:p>
      <w:pPr>
        <w:ind w:firstLine="0" w:firstLineChars="0"/>
        <w:rPr>
          <w:b/>
          <w:color w:val="auto"/>
        </w:rPr>
      </w:pPr>
    </w:p>
    <w:p>
      <w:pPr>
        <w:ind w:firstLine="0" w:firstLineChars="0"/>
        <w:rPr>
          <w:rFonts w:hint="eastAsia"/>
          <w:b/>
          <w:color w:val="auto"/>
        </w:rPr>
      </w:pPr>
    </w:p>
    <w:p>
      <w:pPr>
        <w:ind w:firstLine="480"/>
        <w:rPr>
          <w:color w:val="auto"/>
        </w:rPr>
        <w:sectPr>
          <w:pgSz w:w="11906" w:h="16838"/>
          <w:pgMar w:top="1418" w:right="1418" w:bottom="1418" w:left="1701" w:header="851" w:footer="992" w:gutter="0"/>
          <w:pgNumType w:fmt="upperRoman"/>
          <w:cols w:space="720" w:num="1"/>
          <w:docGrid w:linePitch="312" w:charSpace="0"/>
        </w:sectPr>
      </w:pPr>
    </w:p>
    <w:p>
      <w:pPr>
        <w:pStyle w:val="6"/>
        <w:bidi w:val="0"/>
        <w:rPr>
          <w:color w:val="auto"/>
        </w:rPr>
      </w:pPr>
      <w:bookmarkStart w:id="0" w:name="_Toc1983"/>
      <w:r>
        <w:rPr>
          <w:color w:val="auto"/>
        </w:rPr>
        <w:t>概述</w:t>
      </w:r>
      <w:bookmarkEnd w:id="0"/>
    </w:p>
    <w:p>
      <w:pPr>
        <w:pStyle w:val="7"/>
        <w:bidi w:val="0"/>
        <w:rPr>
          <w:color w:val="auto"/>
        </w:rPr>
      </w:pPr>
      <w:bookmarkStart w:id="1" w:name="_Toc26420"/>
      <w:r>
        <w:rPr>
          <w:color w:val="auto"/>
        </w:rPr>
        <w:t>项目由来</w:t>
      </w:r>
      <w:bookmarkEnd w:id="1"/>
    </w:p>
    <w:p>
      <w:pPr>
        <w:rPr>
          <w:rFonts w:hint="default"/>
          <w:color w:val="auto"/>
        </w:rPr>
      </w:pPr>
      <w:r>
        <w:rPr>
          <w:rFonts w:hint="eastAsia"/>
          <w:color w:val="auto"/>
          <w:lang w:eastAsia="zh-CN"/>
        </w:rPr>
        <w:t>畜牧业作为我国农业农村经济的支柱产业，对保障国家食物安全，增加农牧民收入，保护和改善生态环境，推进农业现代化，促进国民经济稳定发展，具有十分重要的现实意义。生猪养殖是农业生产不可或缺的一部分，随着经济的发展和人民生活水平的提高，人们的食物结构发生了很大的变化，肉类食品需求量逐年增加，而且，人们更加重视肉类食品的品质、营养和卫生安全。我国猪肉食品约占肉类食品总量的75%，</w:t>
      </w:r>
      <w:r>
        <w:rPr>
          <w:rFonts w:hint="default"/>
          <w:color w:val="auto"/>
        </w:rPr>
        <w:t>市场空间巨大。随着新农村建设的推进，加之养殖效益下降，养殖成本与风险较高等因素的影响，促使四川散养户加速退出</w:t>
      </w:r>
      <w:r>
        <w:rPr>
          <w:rFonts w:hint="eastAsia"/>
          <w:color w:val="auto"/>
          <w:lang w:val="en-US" w:eastAsia="zh-CN"/>
        </w:rPr>
        <w:t>生猪</w:t>
      </w:r>
      <w:r>
        <w:rPr>
          <w:rFonts w:hint="default"/>
          <w:color w:val="auto"/>
        </w:rPr>
        <w:t>养殖行业，大量猪舍出现空置，</w:t>
      </w:r>
      <w:r>
        <w:rPr>
          <w:rFonts w:hint="eastAsia"/>
          <w:color w:val="auto"/>
          <w:lang w:val="en-US" w:eastAsia="zh-CN"/>
        </w:rPr>
        <w:t>生猪</w:t>
      </w:r>
      <w:r>
        <w:rPr>
          <w:rFonts w:hint="default"/>
          <w:color w:val="auto"/>
        </w:rPr>
        <w:t>出栏量已不能满足市场需要。</w:t>
      </w:r>
    </w:p>
    <w:p>
      <w:pPr>
        <w:rPr>
          <w:rFonts w:hint="eastAsia"/>
          <w:color w:val="auto"/>
          <w:lang w:eastAsia="zh-CN"/>
        </w:rPr>
      </w:pPr>
      <w:r>
        <w:rPr>
          <w:rFonts w:hint="eastAsia"/>
          <w:color w:val="auto"/>
          <w:lang w:eastAsia="zh-CN"/>
        </w:rPr>
        <w:t>为保障生猪供应需求，响应畜牧业绿色发展规划，绵阳市硕牧云康畜牧养殖有限责任公司选址于</w:t>
      </w:r>
      <w:r>
        <w:rPr>
          <w:rFonts w:hint="eastAsia"/>
          <w:color w:val="auto"/>
          <w:lang w:val="en-US" w:eastAsia="zh-CN"/>
        </w:rPr>
        <w:t>绵阳市游仙区盐泉镇通远村（原梓棉镇葫芦村4社，2019年12月25日，绵阳市撤销护河镇、梓棉镇和白蝉镇合并设立盐泉镇）开展生猪养殖工作</w:t>
      </w:r>
      <w:r>
        <w:rPr>
          <w:rFonts w:hint="eastAsia"/>
          <w:color w:val="auto"/>
          <w:lang w:eastAsia="zh-CN"/>
        </w:rPr>
        <w:t>。与铁骑力士集团合作发展规模化养殖场，采取托养的方式养殖生猪，由铁骑力士集团统一提供猪苗、统一提供饲料疫苗药物等投入品、统一提供饲养管理技术和疫病防控技术指导、统一回收出栏生猪的运营模式。</w:t>
      </w:r>
    </w:p>
    <w:p>
      <w:pPr>
        <w:rPr>
          <w:rFonts w:hint="default"/>
          <w:b/>
          <w:bCs/>
          <w:color w:val="auto"/>
          <w:lang w:val="en-US" w:eastAsia="zh-CN"/>
        </w:rPr>
      </w:pPr>
      <w:r>
        <w:rPr>
          <w:rFonts w:hint="eastAsia"/>
          <w:color w:val="auto"/>
          <w:lang w:val="en-US" w:eastAsia="zh-CN"/>
        </w:rPr>
        <w:t>企业已于2020年2月4日完成环境影响登记表备案，备案号：202051070400000034。备案建设内容为：300头母猪养殖场及3000头育肥猪。企业在取得登记表后，于2020年7月开工建设，目前已建成猪舍4栋及部分辅助设施，尚未投产，建设期间考虑到企业的规模效益及综合发展，原生产方案不能满足建设需求，为此，</w:t>
      </w:r>
      <w:r>
        <w:rPr>
          <w:rFonts w:hint="eastAsia"/>
          <w:b/>
          <w:bCs/>
          <w:color w:val="auto"/>
          <w:lang w:eastAsia="zh-CN"/>
        </w:rPr>
        <w:t>项目</w:t>
      </w:r>
      <w:r>
        <w:rPr>
          <w:rFonts w:hint="eastAsia"/>
          <w:b/>
          <w:bCs/>
          <w:color w:val="auto"/>
          <w:lang w:val="en-US" w:eastAsia="zh-CN"/>
        </w:rPr>
        <w:t>拟</w:t>
      </w:r>
      <w:r>
        <w:rPr>
          <w:rFonts w:hint="eastAsia"/>
          <w:b/>
          <w:bCs/>
          <w:color w:val="auto"/>
          <w:lang w:eastAsia="zh-CN"/>
        </w:rPr>
        <w:t>投资</w:t>
      </w:r>
      <w:r>
        <w:rPr>
          <w:rFonts w:hint="eastAsia"/>
          <w:b/>
          <w:bCs/>
          <w:color w:val="auto"/>
          <w:lang w:val="en-US" w:eastAsia="zh-CN"/>
        </w:rPr>
        <w:t>4600</w:t>
      </w:r>
      <w:r>
        <w:rPr>
          <w:rFonts w:hint="eastAsia"/>
          <w:b/>
          <w:bCs/>
          <w:color w:val="auto"/>
          <w:lang w:eastAsia="zh-CN"/>
        </w:rPr>
        <w:t>万元，占地面积</w:t>
      </w:r>
      <w:r>
        <w:rPr>
          <w:rFonts w:hint="eastAsia"/>
          <w:b/>
          <w:bCs/>
          <w:color w:val="auto"/>
          <w:lang w:val="en-US" w:eastAsia="zh-CN"/>
        </w:rPr>
        <w:t>38.57</w:t>
      </w:r>
      <w:r>
        <w:rPr>
          <w:rFonts w:hint="eastAsia"/>
          <w:b/>
          <w:bCs/>
          <w:color w:val="auto"/>
          <w:lang w:eastAsia="zh-CN"/>
        </w:rPr>
        <w:t>亩，新建育肥栏舍</w:t>
      </w:r>
      <w:r>
        <w:rPr>
          <w:rFonts w:hint="eastAsia"/>
          <w:b/>
          <w:bCs/>
          <w:color w:val="auto"/>
          <w:lang w:val="en-US" w:eastAsia="zh-CN"/>
        </w:rPr>
        <w:t>6</w:t>
      </w:r>
      <w:r>
        <w:rPr>
          <w:rFonts w:hint="eastAsia"/>
          <w:b/>
          <w:bCs/>
          <w:color w:val="auto"/>
          <w:lang w:eastAsia="zh-CN"/>
        </w:rPr>
        <w:t>栋，并配套建设供电、供水等公用和辅助工程以及污粪处理等环保设施。</w:t>
      </w:r>
      <w:r>
        <w:rPr>
          <w:rFonts w:ascii="宋体" w:hAnsi="宋体" w:eastAsia="宋体" w:cs="宋体"/>
          <w:b/>
          <w:bCs/>
          <w:color w:val="auto"/>
          <w:sz w:val="24"/>
          <w:szCs w:val="24"/>
        </w:rPr>
        <w:t>建成后达到年出栏育肥猪</w:t>
      </w:r>
      <w:r>
        <w:rPr>
          <w:rFonts w:hint="eastAsia" w:ascii="宋体" w:hAnsi="宋体" w:cs="宋体"/>
          <w:b/>
          <w:bCs/>
          <w:color w:val="auto"/>
          <w:sz w:val="24"/>
          <w:szCs w:val="24"/>
          <w:lang w:val="en-US" w:eastAsia="zh-CN"/>
        </w:rPr>
        <w:t>1.4</w:t>
      </w:r>
      <w:r>
        <w:rPr>
          <w:rFonts w:hint="eastAsia" w:ascii="宋体" w:hAnsi="宋体" w:eastAsia="宋体" w:cs="宋体"/>
          <w:b/>
          <w:bCs/>
          <w:color w:val="auto"/>
          <w:sz w:val="24"/>
          <w:szCs w:val="24"/>
          <w:lang w:val="en-US" w:eastAsia="zh-CN"/>
        </w:rPr>
        <w:t>万</w:t>
      </w:r>
      <w:r>
        <w:rPr>
          <w:rFonts w:ascii="宋体" w:hAnsi="宋体" w:eastAsia="宋体" w:cs="宋体"/>
          <w:b/>
          <w:bCs/>
          <w:color w:val="auto"/>
          <w:sz w:val="24"/>
          <w:szCs w:val="24"/>
        </w:rPr>
        <w:t>头的</w:t>
      </w:r>
      <w:r>
        <w:rPr>
          <w:rFonts w:hint="eastAsia" w:ascii="宋体" w:hAnsi="宋体" w:eastAsia="宋体" w:cs="宋体"/>
          <w:b/>
          <w:bCs/>
          <w:color w:val="auto"/>
          <w:sz w:val="24"/>
          <w:szCs w:val="24"/>
          <w:lang w:val="en-US" w:eastAsia="zh-CN"/>
        </w:rPr>
        <w:t>养殖能力</w:t>
      </w:r>
      <w:r>
        <w:rPr>
          <w:rFonts w:hint="eastAsia"/>
          <w:b/>
          <w:bCs/>
          <w:color w:val="auto"/>
          <w:lang w:eastAsia="zh-CN"/>
        </w:rPr>
        <w:t>。本项目为育肥猪养殖项目，养殖场内不进行饲料加工和生猪屠宰。</w:t>
      </w:r>
    </w:p>
    <w:p>
      <w:pPr>
        <w:rPr>
          <w:rFonts w:hint="eastAsia"/>
          <w:b/>
          <w:bCs/>
          <w:color w:val="auto"/>
          <w:lang w:val="en-US" w:eastAsia="zh-CN"/>
        </w:rPr>
      </w:pPr>
      <w:r>
        <w:rPr>
          <w:rFonts w:hint="eastAsia"/>
          <w:b/>
          <w:bCs/>
          <w:color w:val="auto"/>
          <w:lang w:val="en-US" w:eastAsia="zh-CN"/>
        </w:rPr>
        <w:t>因企业建设规模发生发生重大变动，根据《中华人民共和国环境影响评价法》“第二十四条 建设项目的环境影响评价文件经批准后，建设项目的性质、规模、地点、采用的生产工艺或者防治污染、防止生态破坏的措施发生重大变动的，建设单位应当重新报批建设项目的环境影响评价文件。”本项目需办理重新报批手续。</w:t>
      </w:r>
    </w:p>
    <w:p>
      <w:pPr>
        <w:pStyle w:val="265"/>
        <w:rPr>
          <w:color w:val="auto"/>
        </w:rPr>
      </w:pPr>
      <w:r>
        <w:rPr>
          <w:rFonts w:hint="eastAsia"/>
          <w:color w:val="auto"/>
        </w:rPr>
        <w:t>本项目已取得由游仙区发展和改革局出具的《四川省固定资产投资项目备案表》（备案号为：川投资备【2101-510704-04-01-608184】FGQB-0006号），同意本项目建设。</w:t>
      </w:r>
    </w:p>
    <w:p>
      <w:pPr>
        <w:pStyle w:val="265"/>
        <w:rPr>
          <w:rFonts w:hint="eastAsia"/>
          <w:color w:val="auto"/>
          <w:sz w:val="24"/>
          <w:szCs w:val="24"/>
          <w:u w:val="none" w:color="auto"/>
          <w:lang w:val="en-US" w:eastAsia="zh-CN"/>
        </w:rPr>
      </w:pPr>
      <w:r>
        <w:rPr>
          <w:rFonts w:hint="eastAsia"/>
          <w:color w:val="auto"/>
          <w:sz w:val="24"/>
          <w:u w:val="none" w:color="auto"/>
        </w:rPr>
        <w:t>根据</w:t>
      </w:r>
      <w:r>
        <w:rPr>
          <w:rFonts w:hint="eastAsia"/>
          <w:color w:val="auto"/>
          <w:sz w:val="24"/>
          <w:u w:val="none" w:color="auto"/>
          <w:lang w:val="en-US" w:eastAsia="zh-CN"/>
        </w:rPr>
        <w:t>《</w:t>
      </w:r>
      <w:r>
        <w:rPr>
          <w:rFonts w:hint="eastAsia"/>
          <w:color w:val="auto"/>
          <w:sz w:val="24"/>
          <w:u w:val="none" w:color="auto"/>
        </w:rPr>
        <w:t>国民经济行业分类</w:t>
      </w:r>
      <w:r>
        <w:rPr>
          <w:rFonts w:hint="eastAsia"/>
          <w:color w:val="auto"/>
          <w:sz w:val="24"/>
          <w:u w:val="none" w:color="auto"/>
          <w:lang w:val="en-US" w:eastAsia="zh-CN"/>
        </w:rPr>
        <w:t>》</w:t>
      </w:r>
      <w:r>
        <w:rPr>
          <w:rFonts w:hint="eastAsia"/>
          <w:color w:val="auto"/>
          <w:sz w:val="24"/>
          <w:u w:val="none" w:color="auto"/>
        </w:rPr>
        <w:t>（2017</w:t>
      </w:r>
      <w:r>
        <w:rPr>
          <w:rFonts w:hint="eastAsia"/>
          <w:color w:val="auto"/>
          <w:sz w:val="24"/>
          <w:u w:val="none" w:color="auto"/>
          <w:lang w:val="en-US" w:eastAsia="zh-CN"/>
        </w:rPr>
        <w:t>年本，2019年修改），</w:t>
      </w:r>
      <w:r>
        <w:rPr>
          <w:rFonts w:hint="default"/>
          <w:b w:val="0"/>
          <w:bCs w:val="0"/>
          <w:color w:val="auto"/>
        </w:rPr>
        <w:t>项目属国民经济行业分类</w:t>
      </w:r>
      <w:r>
        <w:rPr>
          <w:rFonts w:hint="eastAsia"/>
          <w:b w:val="0"/>
          <w:bCs w:val="0"/>
          <w:color w:val="auto"/>
          <w:lang w:eastAsia="zh-CN"/>
        </w:rPr>
        <w:t>“</w:t>
      </w:r>
      <w:r>
        <w:rPr>
          <w:rFonts w:hint="default"/>
          <w:b w:val="0"/>
          <w:bCs w:val="0"/>
          <w:color w:val="auto"/>
        </w:rPr>
        <w:t>A0313 猪的饲养</w:t>
      </w:r>
      <w:r>
        <w:rPr>
          <w:rFonts w:hint="eastAsia"/>
          <w:b w:val="0"/>
          <w:bCs w:val="0"/>
          <w:color w:val="auto"/>
          <w:lang w:eastAsia="zh-CN"/>
        </w:rPr>
        <w:t>”</w:t>
      </w:r>
      <w:r>
        <w:rPr>
          <w:rFonts w:hint="default"/>
          <w:b w:val="0"/>
          <w:bCs w:val="0"/>
          <w:color w:val="auto"/>
        </w:rPr>
        <w:t>，根据《中华人民共和国环境保护法》、《中华人民共和国环境影响评价法》和</w:t>
      </w:r>
      <w:r>
        <w:rPr>
          <w:rFonts w:hint="eastAsia"/>
          <w:color w:val="auto"/>
          <w:sz w:val="24"/>
          <w:u w:val="none" w:color="auto"/>
          <w:lang w:val="en-US" w:eastAsia="zh-CN"/>
        </w:rPr>
        <w:t>关于修改《国务院关于修改&lt;建设项目环境管理条例&gt;的决定》（国务院令第682号）</w:t>
      </w:r>
      <w:r>
        <w:rPr>
          <w:rFonts w:hint="default"/>
          <w:b w:val="0"/>
          <w:bCs w:val="0"/>
          <w:color w:val="auto"/>
        </w:rPr>
        <w:t>等有关法律法规，项目应该开展环境影响评价工作</w:t>
      </w:r>
      <w:r>
        <w:rPr>
          <w:rFonts w:hint="eastAsia"/>
          <w:b w:val="0"/>
          <w:bCs w:val="0"/>
          <w:color w:val="auto"/>
          <w:lang w:eastAsia="zh-CN"/>
        </w:rPr>
        <w:t>，</w:t>
      </w:r>
      <w:r>
        <w:rPr>
          <w:rFonts w:hint="default"/>
          <w:b w:val="0"/>
          <w:bCs w:val="0"/>
          <w:color w:val="auto"/>
        </w:rPr>
        <w:t>同时，依据《建设项目环境影响评价分类管理名录》（2021年版）</w:t>
      </w:r>
      <w:r>
        <w:rPr>
          <w:rFonts w:hint="eastAsia"/>
          <w:b w:val="0"/>
          <w:bCs w:val="0"/>
          <w:color w:val="auto"/>
          <w:lang w:eastAsia="zh-CN"/>
        </w:rPr>
        <w:t>，</w:t>
      </w:r>
      <w:r>
        <w:rPr>
          <w:rFonts w:hint="eastAsia"/>
          <w:b w:val="0"/>
          <w:bCs w:val="0"/>
          <w:color w:val="auto"/>
          <w:lang w:val="en-US" w:eastAsia="zh-CN"/>
        </w:rPr>
        <w:t>本项目</w:t>
      </w:r>
      <w:r>
        <w:rPr>
          <w:rFonts w:hint="eastAsia"/>
          <w:color w:val="auto"/>
          <w:sz w:val="24"/>
          <w:u w:val="none" w:color="auto"/>
          <w:lang w:val="en-US" w:eastAsia="zh-CN"/>
        </w:rPr>
        <w:t>应当编制环境影响报告书</w:t>
      </w:r>
      <w:r>
        <w:rPr>
          <w:rFonts w:hint="eastAsia"/>
          <w:color w:val="auto"/>
          <w:sz w:val="24"/>
          <w:szCs w:val="24"/>
          <w:u w:val="none" w:color="auto"/>
          <w:lang w:val="en-US" w:eastAsia="zh-CN"/>
        </w:rPr>
        <w:t>，判别依据详见下表</w:t>
      </w:r>
      <w:r>
        <w:rPr>
          <w:rFonts w:hint="default"/>
          <w:color w:val="auto"/>
          <w:u w:val="none" w:color="auto"/>
          <w:lang w:val="en-US" w:eastAsia="zh-CN"/>
        </w:rPr>
        <w:t>：</w:t>
      </w:r>
    </w:p>
    <w:p>
      <w:pPr>
        <w:pStyle w:val="265"/>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b/>
          <w:bCs/>
          <w:color w:val="auto"/>
          <w:sz w:val="21"/>
          <w:szCs w:val="21"/>
          <w:u w:val="none" w:color="auto"/>
          <w:lang w:val="en-US" w:eastAsia="zh-CN"/>
        </w:rPr>
      </w:pPr>
      <w:r>
        <w:rPr>
          <w:rFonts w:hint="eastAsia"/>
          <w:b/>
          <w:bCs/>
          <w:color w:val="auto"/>
          <w:sz w:val="21"/>
          <w:szCs w:val="21"/>
          <w:u w:val="none" w:color="auto"/>
          <w:lang w:val="en-US" w:eastAsia="zh-CN"/>
        </w:rPr>
        <w:t>表1.1-1 项目环境影响评价类别</w:t>
      </w:r>
    </w:p>
    <w:tbl>
      <w:tblPr>
        <w:tblStyle w:val="52"/>
        <w:tblW w:w="4998"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920"/>
        <w:gridCol w:w="2643"/>
        <w:gridCol w:w="940"/>
        <w:gridCol w:w="2347"/>
        <w:gridCol w:w="1149"/>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67" w:type="pct"/>
            <w:tcBorders>
              <w:tl2br w:val="nil"/>
              <w:tr2bl w:val="nil"/>
            </w:tcBorders>
            <w:shd w:val="clear" w:color="auto" w:fill="D7D7D7"/>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right"/>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环评类别</w:t>
            </w:r>
          </w:p>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left"/>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项目类别</w:t>
            </w:r>
          </w:p>
        </w:tc>
        <w:tc>
          <w:tcPr>
            <w:tcW w:w="1468" w:type="pct"/>
            <w:tcBorders>
              <w:tl2br w:val="nil"/>
              <w:tr2bl w:val="nil"/>
            </w:tcBorders>
            <w:shd w:val="clear" w:color="auto" w:fill="D7D7D7"/>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报告书</w:t>
            </w:r>
          </w:p>
        </w:tc>
        <w:tc>
          <w:tcPr>
            <w:tcW w:w="522" w:type="pct"/>
            <w:tcBorders>
              <w:tl2br w:val="nil"/>
              <w:tr2bl w:val="nil"/>
            </w:tcBorders>
            <w:shd w:val="clear" w:color="auto" w:fill="D7D7D7"/>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报告表</w:t>
            </w:r>
          </w:p>
        </w:tc>
        <w:tc>
          <w:tcPr>
            <w:tcW w:w="1303" w:type="pct"/>
            <w:tcBorders>
              <w:right w:val="single" w:color="auto" w:sz="4" w:space="0"/>
              <w:tl2br w:val="nil"/>
              <w:tr2bl w:val="nil"/>
            </w:tcBorders>
            <w:shd w:val="clear" w:color="auto" w:fill="D7D7D7"/>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登记表</w:t>
            </w:r>
          </w:p>
        </w:tc>
        <w:tc>
          <w:tcPr>
            <w:tcW w:w="638" w:type="pct"/>
            <w:tcBorders>
              <w:left w:val="single" w:color="auto" w:sz="4" w:space="0"/>
              <w:tl2br w:val="nil"/>
              <w:tr2bl w:val="nil"/>
            </w:tcBorders>
            <w:shd w:val="clear" w:color="auto" w:fill="D7D7D7"/>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备注</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361" w:type="pct"/>
            <w:gridSpan w:val="4"/>
            <w:tcBorders>
              <w:right w:val="single" w:color="auto" w:sz="4" w:space="0"/>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left"/>
              <w:textAlignment w:val="auto"/>
              <w:rPr>
                <w:rFonts w:hint="default"/>
                <w:color w:val="auto"/>
                <w:sz w:val="21"/>
                <w:szCs w:val="21"/>
                <w:u w:val="none" w:color="auto"/>
                <w:lang w:val="en-US" w:eastAsia="zh-CN"/>
              </w:rPr>
            </w:pPr>
            <w:r>
              <w:rPr>
                <w:rFonts w:hint="eastAsia"/>
                <w:color w:val="auto"/>
                <w:sz w:val="21"/>
                <w:szCs w:val="21"/>
                <w:u w:val="none" w:color="auto"/>
                <w:lang w:val="en-US" w:eastAsia="zh-CN"/>
              </w:rPr>
              <w:t>二、畜牧业03</w:t>
            </w:r>
          </w:p>
        </w:tc>
        <w:tc>
          <w:tcPr>
            <w:tcW w:w="638" w:type="pct"/>
            <w:vMerge w:val="restart"/>
            <w:tcBorders>
              <w:left w:val="single" w:color="auto" w:sz="4" w:space="0"/>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1"/>
                <w:szCs w:val="21"/>
                <w:u w:val="none" w:color="auto"/>
                <w:lang w:val="en-US" w:eastAsia="zh-CN"/>
              </w:rPr>
            </w:pPr>
            <w:r>
              <w:rPr>
                <w:rFonts w:hint="eastAsia"/>
                <w:color w:val="auto"/>
                <w:sz w:val="21"/>
                <w:szCs w:val="21"/>
                <w:u w:val="none" w:color="auto"/>
                <w:lang w:val="en-US" w:eastAsia="zh-CN"/>
              </w:rPr>
              <w:t>该项目不涉及环境敏感区，年出栏生猪1.4万头</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67"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3牲畜饲养 031；家禽饲养 032；其他畜牧业 039</w:t>
            </w:r>
          </w:p>
        </w:tc>
        <w:tc>
          <w:tcPr>
            <w:tcW w:w="1468"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b/>
                <w:bCs/>
                <w:color w:val="auto"/>
                <w:sz w:val="21"/>
                <w:szCs w:val="21"/>
                <w:u w:val="none" w:color="auto"/>
                <w:lang w:val="en-US" w:eastAsia="zh-CN"/>
              </w:rPr>
              <w:t>年出栏生猪5000头（其他畜禽种类折合猪的养殖量）及以上的规模化畜禽养殖；</w:t>
            </w:r>
            <w:r>
              <w:rPr>
                <w:rFonts w:hint="eastAsia"/>
                <w:b w:val="0"/>
                <w:bCs w:val="0"/>
                <w:color w:val="auto"/>
                <w:sz w:val="21"/>
                <w:szCs w:val="21"/>
                <w:u w:val="none" w:color="auto"/>
                <w:lang w:val="en-US" w:eastAsia="zh-CN"/>
              </w:rPr>
              <w:t>存栏生猪2500头（其他畜禽种类折合猪的养殖规模）及以上无出栏量的规模化畜禽养殖；涉及环境敏感区的规模化畜禽养殖</w:t>
            </w:r>
          </w:p>
        </w:tc>
        <w:tc>
          <w:tcPr>
            <w:tcW w:w="522"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w:t>
            </w:r>
          </w:p>
        </w:tc>
        <w:tc>
          <w:tcPr>
            <w:tcW w:w="1303" w:type="pct"/>
            <w:tcBorders>
              <w:right w:val="single" w:color="auto" w:sz="4" w:space="0"/>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r>
              <w:rPr>
                <w:rFonts w:hint="eastAsia"/>
                <w:color w:val="auto"/>
                <w:sz w:val="21"/>
                <w:szCs w:val="21"/>
                <w:u w:val="none" w:color="auto"/>
                <w:lang w:val="en-US" w:eastAsia="zh-CN"/>
              </w:rPr>
              <w:t>其他（规模化以下的除外）（具体规模化的标准按《畜禽规模化养殖污染防治条例》执行）</w:t>
            </w:r>
          </w:p>
        </w:tc>
        <w:tc>
          <w:tcPr>
            <w:tcW w:w="638" w:type="pct"/>
            <w:vMerge w:val="continue"/>
            <w:tcBorders>
              <w:left w:val="single" w:color="auto" w:sz="4" w:space="0"/>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u w:val="none" w:color="auto"/>
                <w:lang w:val="en-US" w:eastAsia="zh-CN"/>
              </w:rPr>
            </w:pPr>
          </w:p>
        </w:tc>
      </w:tr>
    </w:tbl>
    <w:p>
      <w:pPr>
        <w:pStyle w:val="182"/>
        <w:ind w:firstLine="480"/>
        <w:rPr>
          <w:color w:val="auto"/>
        </w:rPr>
      </w:pPr>
      <w:r>
        <w:rPr>
          <w:color w:val="auto"/>
        </w:rPr>
        <w:t>接受委托之后我公司在建设单位的配合协助下立即开展了现场踏勘、资料收集工作，按照环境影响评价技术导则的要求编制完成了《</w:t>
      </w:r>
      <w:r>
        <w:rPr>
          <w:rFonts w:hint="eastAsia"/>
          <w:color w:val="auto"/>
          <w:lang w:eastAsia="zh-CN"/>
        </w:rPr>
        <w:t>绵阳市硕牧云康畜牧养殖有限责任公司绵阳市硕牧云康畜牧养殖有限责任公司生猪养殖项目</w:t>
      </w:r>
      <w:r>
        <w:rPr>
          <w:color w:val="auto"/>
        </w:rPr>
        <w:t>环境影响报告书》，</w:t>
      </w:r>
      <w:r>
        <w:rPr>
          <w:rFonts w:hint="eastAsia"/>
          <w:color w:val="auto"/>
        </w:rPr>
        <w:t>待审批后作为生态环境主管部门环境管理及项目开展环保设计工作的依据。</w:t>
      </w:r>
    </w:p>
    <w:p>
      <w:pPr>
        <w:pStyle w:val="182"/>
        <w:ind w:firstLine="480"/>
        <w:rPr>
          <w:color w:val="auto"/>
        </w:rPr>
      </w:pPr>
      <w:r>
        <w:rPr>
          <w:rFonts w:hint="eastAsia"/>
          <w:color w:val="auto"/>
        </w:rPr>
        <w:t>根据</w:t>
      </w:r>
      <w:r>
        <w:rPr>
          <w:color w:val="auto"/>
        </w:rPr>
        <w:t>国家生态环境部办公厅发布《关于进一步做好当前生猪规模养殖环评管理相关工作的通知》</w:t>
      </w:r>
      <w:r>
        <w:rPr>
          <w:rFonts w:hint="eastAsia"/>
          <w:color w:val="auto"/>
        </w:rPr>
        <w:t>（</w:t>
      </w:r>
      <w:r>
        <w:rPr>
          <w:color w:val="auto"/>
        </w:rPr>
        <w:t>环办环评函</w:t>
      </w:r>
      <w:r>
        <w:rPr>
          <w:rFonts w:hint="eastAsia"/>
          <w:color w:val="auto"/>
        </w:rPr>
        <w:t>【</w:t>
      </w:r>
      <w:r>
        <w:rPr>
          <w:color w:val="auto"/>
        </w:rPr>
        <w:t>2019</w:t>
      </w:r>
      <w:r>
        <w:rPr>
          <w:rFonts w:hint="eastAsia"/>
          <w:color w:val="auto"/>
        </w:rPr>
        <w:t>】</w:t>
      </w:r>
      <w:r>
        <w:rPr>
          <w:color w:val="auto"/>
        </w:rPr>
        <w:t>872号）要求：</w:t>
      </w:r>
      <w:r>
        <w:rPr>
          <w:rFonts w:hint="eastAsia"/>
          <w:color w:val="auto"/>
        </w:rPr>
        <w:t>“</w:t>
      </w:r>
      <w:r>
        <w:rPr>
          <w:color w:val="auto"/>
        </w:rPr>
        <w:t>对年出栏量5000头及以上的生猪养殖项目，探索开展环评告知承诺制改革试点</w:t>
      </w:r>
      <w:r>
        <w:rPr>
          <w:rFonts w:hint="eastAsia"/>
          <w:color w:val="auto"/>
        </w:rPr>
        <w:t>”</w:t>
      </w:r>
      <w:r>
        <w:rPr>
          <w:color w:val="auto"/>
        </w:rPr>
        <w:t>。2019年12月30日</w:t>
      </w:r>
      <w:r>
        <w:rPr>
          <w:rFonts w:hint="eastAsia"/>
          <w:color w:val="auto"/>
        </w:rPr>
        <w:t>绵阳市</w:t>
      </w:r>
      <w:r>
        <w:rPr>
          <w:color w:val="auto"/>
        </w:rPr>
        <w:t>生态环境局发布《关于</w:t>
      </w:r>
      <w:r>
        <w:rPr>
          <w:rFonts w:hint="eastAsia"/>
          <w:color w:val="auto"/>
        </w:rPr>
        <w:t>试行实施生猪养殖项目环境影响报告书告知承诺制审批的通知</w:t>
      </w:r>
      <w:r>
        <w:rPr>
          <w:color w:val="auto"/>
        </w:rPr>
        <w:t>》</w:t>
      </w:r>
      <w:r>
        <w:rPr>
          <w:rFonts w:hint="eastAsia"/>
          <w:color w:val="auto"/>
        </w:rPr>
        <w:t>（绵环发[</w:t>
      </w:r>
      <w:r>
        <w:rPr>
          <w:color w:val="auto"/>
        </w:rPr>
        <w:t>2019]224号）：</w:t>
      </w:r>
      <w:r>
        <w:rPr>
          <w:rFonts w:hint="eastAsia"/>
          <w:color w:val="auto"/>
        </w:rPr>
        <w:t>“</w:t>
      </w:r>
      <w:r>
        <w:rPr>
          <w:color w:val="auto"/>
        </w:rPr>
        <w:t>对年出栏5000头及以上的生猪养殖项目，按生态环境部文件精神，</w:t>
      </w:r>
      <w:r>
        <w:rPr>
          <w:rFonts w:hint="eastAsia"/>
          <w:color w:val="auto"/>
        </w:rPr>
        <w:t>市生态环境局决定试行对生猪养殖项目环境影响报告书实施告知承诺制。</w:t>
      </w:r>
      <w:r>
        <w:rPr>
          <w:color w:val="auto"/>
        </w:rPr>
        <w:t>试点时间自本通知印发起至2021年12月31日</w:t>
      </w:r>
      <w:r>
        <w:rPr>
          <w:rFonts w:hint="eastAsia"/>
          <w:color w:val="auto"/>
        </w:rPr>
        <w:t>”</w:t>
      </w:r>
      <w:r>
        <w:rPr>
          <w:color w:val="auto"/>
        </w:rPr>
        <w:t>。本项目</w:t>
      </w:r>
      <w:r>
        <w:rPr>
          <w:rFonts w:hint="eastAsia"/>
          <w:color w:val="auto"/>
        </w:rPr>
        <w:t>年出栏</w:t>
      </w:r>
      <w:r>
        <w:rPr>
          <w:rFonts w:hint="eastAsia"/>
          <w:color w:val="auto"/>
          <w:lang w:val="en-US" w:eastAsia="zh-CN"/>
        </w:rPr>
        <w:t>育肥猪1.4万</w:t>
      </w:r>
      <w:r>
        <w:rPr>
          <w:rFonts w:hint="eastAsia"/>
          <w:color w:val="auto"/>
        </w:rPr>
        <w:t>头</w:t>
      </w:r>
      <w:r>
        <w:rPr>
          <w:color w:val="auto"/>
        </w:rPr>
        <w:t>，符合</w:t>
      </w:r>
      <w:r>
        <w:rPr>
          <w:rFonts w:hint="eastAsia"/>
          <w:color w:val="auto"/>
        </w:rPr>
        <w:t>绵阳市</w:t>
      </w:r>
      <w:r>
        <w:rPr>
          <w:color w:val="auto"/>
        </w:rPr>
        <w:t>生态环境局环评告知承诺制的相关要求。</w:t>
      </w:r>
    </w:p>
    <w:p>
      <w:pPr>
        <w:pStyle w:val="265"/>
        <w:rPr>
          <w:color w:val="auto"/>
        </w:rPr>
      </w:pPr>
      <w:r>
        <w:rPr>
          <w:rFonts w:hint="eastAsia"/>
          <w:color w:val="auto"/>
          <w:sz w:val="24"/>
          <w:u w:val="none" w:color="auto"/>
        </w:rPr>
        <w:t>环评期间，建设单位在</w:t>
      </w:r>
      <w:r>
        <w:rPr>
          <w:rFonts w:hint="eastAsia"/>
          <w:color w:val="auto"/>
          <w:sz w:val="24"/>
          <w:u w:val="none" w:color="auto"/>
          <w:lang w:val="en-US" w:eastAsia="zh-CN"/>
        </w:rPr>
        <w:t>绵阳市生态环境局网</w:t>
      </w:r>
      <w:r>
        <w:rPr>
          <w:rFonts w:hint="eastAsia"/>
          <w:color w:val="auto"/>
          <w:sz w:val="24"/>
          <w:u w:val="none" w:color="auto"/>
        </w:rPr>
        <w:t>站上先后进行了两次环境影响评价公示、两次登报公示和张贴公示。公众参与无反对意见。</w:t>
      </w:r>
    </w:p>
    <w:p>
      <w:pPr>
        <w:pStyle w:val="7"/>
        <w:rPr>
          <w:rFonts w:eastAsia="黑体"/>
          <w:color w:val="auto"/>
          <w:szCs w:val="28"/>
        </w:rPr>
      </w:pPr>
      <w:bookmarkStart w:id="2" w:name="_Toc29784"/>
      <w:r>
        <w:rPr>
          <w:rFonts w:eastAsia="黑体"/>
          <w:color w:val="auto"/>
          <w:szCs w:val="28"/>
        </w:rPr>
        <w:t>建设项目特点</w:t>
      </w:r>
      <w:bookmarkEnd w:id="2"/>
    </w:p>
    <w:p>
      <w:pPr>
        <w:pStyle w:val="16"/>
        <w:spacing w:line="360" w:lineRule="auto"/>
        <w:ind w:firstLine="480"/>
        <w:rPr>
          <w:rFonts w:ascii="Times New Roman" w:hAnsi="Times New Roman"/>
          <w:color w:val="auto"/>
        </w:rPr>
      </w:pPr>
      <w:r>
        <w:rPr>
          <w:rFonts w:ascii="Times New Roman" w:hAnsi="Times New Roman"/>
          <w:color w:val="auto"/>
        </w:rPr>
        <w:t>本项目主要特点如下：</w:t>
      </w:r>
    </w:p>
    <w:p>
      <w:pPr>
        <w:pStyle w:val="16"/>
        <w:spacing w:line="360" w:lineRule="auto"/>
        <w:ind w:firstLine="480"/>
        <w:rPr>
          <w:rFonts w:ascii="Times New Roman" w:hAnsi="Times New Roman"/>
          <w:color w:val="auto"/>
        </w:rPr>
      </w:pPr>
      <w:r>
        <w:rPr>
          <w:rFonts w:ascii="Times New Roman" w:hAnsi="Times New Roman"/>
          <w:color w:val="auto"/>
        </w:rPr>
        <w:t>（1）</w:t>
      </w:r>
      <w:r>
        <w:rPr>
          <w:rFonts w:hint="eastAsia" w:ascii="Times New Roman" w:hAnsi="Times New Roman"/>
          <w:color w:val="auto"/>
        </w:rPr>
        <w:t>本项目为新建项目，建设地点</w:t>
      </w:r>
      <w:r>
        <w:rPr>
          <w:rFonts w:ascii="Times New Roman" w:hAnsi="Times New Roman"/>
          <w:color w:val="auto"/>
        </w:rPr>
        <w:t>位于</w:t>
      </w:r>
      <w:bookmarkStart w:id="3" w:name="_Hlk47341064"/>
      <w:r>
        <w:rPr>
          <w:rFonts w:hint="eastAsia" w:ascii="Times New Roman" w:hAnsi="Times New Roman"/>
          <w:color w:val="auto"/>
        </w:rPr>
        <w:t>四川省</w:t>
      </w:r>
      <w:bookmarkEnd w:id="3"/>
      <w:r>
        <w:rPr>
          <w:rFonts w:hint="eastAsia" w:ascii="Times New Roman" w:hAnsi="Times New Roman"/>
          <w:color w:val="auto"/>
          <w:lang w:eastAsia="zh-CN"/>
        </w:rPr>
        <w:t>绵阳市游仙区盐泉镇通远村（原葫芦村4社）</w:t>
      </w:r>
      <w:r>
        <w:rPr>
          <w:rFonts w:ascii="Times New Roman" w:hAnsi="Times New Roman"/>
          <w:color w:val="auto"/>
        </w:rPr>
        <w:t>，项目占地为</w:t>
      </w:r>
      <w:r>
        <w:rPr>
          <w:rFonts w:hint="eastAsia" w:ascii="Times New Roman" w:hAnsi="Times New Roman"/>
          <w:color w:val="auto"/>
        </w:rPr>
        <w:t>一般耕地和</w:t>
      </w:r>
      <w:r>
        <w:rPr>
          <w:rFonts w:hint="eastAsia" w:ascii="Times New Roman" w:hAnsi="Times New Roman"/>
          <w:color w:val="auto"/>
          <w:lang w:val="en-US" w:eastAsia="zh-CN"/>
        </w:rPr>
        <w:t>园地</w:t>
      </w:r>
      <w:r>
        <w:rPr>
          <w:rFonts w:ascii="Times New Roman" w:hAnsi="Times New Roman"/>
          <w:color w:val="auto"/>
        </w:rPr>
        <w:t>，项目选址范围内不占基本农田</w:t>
      </w:r>
      <w:r>
        <w:rPr>
          <w:rFonts w:hint="eastAsia" w:ascii="Times New Roman" w:hAnsi="Times New Roman"/>
          <w:color w:val="auto"/>
        </w:rPr>
        <w:t>；</w:t>
      </w:r>
      <w:r>
        <w:rPr>
          <w:rFonts w:ascii="Times New Roman" w:hAnsi="Times New Roman"/>
          <w:color w:val="auto"/>
        </w:rPr>
        <w:t>场区周边均为耕地和林地，无</w:t>
      </w:r>
      <w:r>
        <w:rPr>
          <w:rFonts w:hint="eastAsia" w:ascii="Times New Roman" w:hAnsi="Times New Roman"/>
          <w:color w:val="auto"/>
        </w:rPr>
        <w:t>饮用水源保护区、特殊和重要生态敏感区等</w:t>
      </w:r>
      <w:r>
        <w:rPr>
          <w:rFonts w:ascii="Times New Roman" w:hAnsi="Times New Roman"/>
          <w:color w:val="auto"/>
        </w:rPr>
        <w:t>分布。</w:t>
      </w:r>
    </w:p>
    <w:p>
      <w:pPr>
        <w:pStyle w:val="16"/>
        <w:spacing w:line="360" w:lineRule="auto"/>
        <w:ind w:firstLine="480"/>
        <w:rPr>
          <w:rFonts w:ascii="Times New Roman" w:hAnsi="Times New Roman"/>
          <w:bCs/>
          <w:color w:val="auto"/>
        </w:rPr>
      </w:pPr>
      <w:r>
        <w:rPr>
          <w:rFonts w:ascii="Times New Roman" w:hAnsi="Times New Roman"/>
          <w:color w:val="auto"/>
        </w:rPr>
        <w:t>（2）</w:t>
      </w:r>
      <w:r>
        <w:rPr>
          <w:rFonts w:hint="eastAsia" w:ascii="Times New Roman" w:hAnsi="Times New Roman"/>
          <w:color w:val="auto"/>
        </w:rPr>
        <w:t>本项目属于</w:t>
      </w:r>
      <w:r>
        <w:rPr>
          <w:rFonts w:ascii="Times New Roman" w:hAnsi="Times New Roman"/>
          <w:color w:val="auto"/>
        </w:rPr>
        <w:t>为生猪养殖项目</w:t>
      </w:r>
      <w:r>
        <w:rPr>
          <w:rFonts w:hint="eastAsia" w:ascii="Times New Roman" w:hAnsi="Times New Roman"/>
          <w:color w:val="auto"/>
          <w:lang w:eastAsia="zh-CN"/>
        </w:rPr>
        <w:t>，</w:t>
      </w:r>
      <w:r>
        <w:rPr>
          <w:rFonts w:hint="eastAsia" w:ascii="Times New Roman" w:hAnsi="Times New Roman"/>
          <w:color w:val="auto"/>
        </w:rPr>
        <w:t>猪在场内的饲养涉及育肥，不涉及仔猪保育以及母猪妊娠、分娩、哺乳</w:t>
      </w:r>
      <w:r>
        <w:rPr>
          <w:rFonts w:hint="eastAsia" w:ascii="Times New Roman" w:hAnsi="Times New Roman"/>
          <w:color w:val="auto"/>
          <w:lang w:val="en-US" w:eastAsia="zh-CN"/>
        </w:rPr>
        <w:t>等</w:t>
      </w:r>
      <w:r>
        <w:rPr>
          <w:rFonts w:hint="eastAsia" w:ascii="Times New Roman" w:hAnsi="Times New Roman"/>
          <w:color w:val="auto"/>
        </w:rPr>
        <w:t>。建成后年出栏育肥猪</w:t>
      </w:r>
      <w:r>
        <w:rPr>
          <w:rFonts w:hint="eastAsia" w:ascii="Times New Roman" w:hAnsi="Times New Roman"/>
          <w:color w:val="auto"/>
          <w:lang w:val="en-US" w:eastAsia="zh-CN"/>
        </w:rPr>
        <w:t>1.4万</w:t>
      </w:r>
      <w:r>
        <w:rPr>
          <w:rFonts w:hint="eastAsia" w:ascii="Times New Roman" w:hAnsi="Times New Roman"/>
          <w:color w:val="auto"/>
        </w:rPr>
        <w:t>头</w:t>
      </w:r>
      <w:r>
        <w:rPr>
          <w:rFonts w:hint="eastAsia" w:ascii="Times New Roman" w:hAnsi="Times New Roman"/>
          <w:color w:val="auto"/>
          <w:lang w:eastAsia="zh-CN"/>
        </w:rPr>
        <w:t>，</w:t>
      </w:r>
      <w:r>
        <w:rPr>
          <w:rFonts w:ascii="Times New Roman" w:hAnsi="Times New Roman"/>
          <w:bCs/>
          <w:color w:val="auto"/>
        </w:rPr>
        <w:t>项目内不进行饲料加工、生猪屠宰。</w:t>
      </w:r>
    </w:p>
    <w:p>
      <w:pPr>
        <w:pStyle w:val="16"/>
        <w:spacing w:line="360" w:lineRule="auto"/>
        <w:ind w:firstLine="480"/>
        <w:rPr>
          <w:rFonts w:ascii="Times New Roman" w:hAnsi="Times New Roman"/>
          <w:color w:val="auto"/>
        </w:rPr>
      </w:pPr>
      <w:r>
        <w:rPr>
          <w:rFonts w:ascii="Times New Roman" w:hAnsi="Times New Roman"/>
          <w:color w:val="auto"/>
        </w:rPr>
        <w:t>（3）</w:t>
      </w:r>
      <w:r>
        <w:rPr>
          <w:rFonts w:hint="eastAsia" w:ascii="Times New Roman" w:hAnsi="Times New Roman"/>
          <w:color w:val="auto"/>
        </w:rPr>
        <w:t>本项目拟采用干清粪工艺，猪舍内产生的粪尿依靠重力进入缝隙地板下的</w:t>
      </w:r>
      <w:r>
        <w:rPr>
          <w:rFonts w:hint="eastAsia"/>
          <w:bCs/>
          <w:color w:val="auto"/>
        </w:rPr>
        <w:t>集污池，</w:t>
      </w:r>
      <w:r>
        <w:rPr>
          <w:rFonts w:hint="eastAsia"/>
          <w:bCs/>
          <w:color w:val="auto"/>
          <w:lang w:val="en-US" w:eastAsia="zh-CN"/>
        </w:rPr>
        <w:t>集污池</w:t>
      </w:r>
      <w:r>
        <w:rPr>
          <w:rFonts w:hint="eastAsia"/>
          <w:bCs/>
          <w:color w:val="auto"/>
        </w:rPr>
        <w:t>底部设计成倾斜结构，</w:t>
      </w:r>
      <w:r>
        <w:rPr>
          <w:rFonts w:hint="eastAsia"/>
          <w:bCs/>
          <w:color w:val="auto"/>
          <w:lang w:val="en-US" w:eastAsia="zh-CN"/>
        </w:rPr>
        <w:t>猪粪尿</w:t>
      </w:r>
      <w:r>
        <w:rPr>
          <w:rFonts w:hint="eastAsia"/>
          <w:bCs/>
          <w:color w:val="auto"/>
        </w:rPr>
        <w:t>利用全自动机械刮板进行清</w:t>
      </w:r>
      <w:r>
        <w:rPr>
          <w:rFonts w:hint="eastAsia"/>
          <w:bCs/>
          <w:color w:val="auto"/>
          <w:lang w:val="en-US" w:eastAsia="zh-CN"/>
        </w:rPr>
        <w:t>除</w:t>
      </w:r>
      <w:r>
        <w:rPr>
          <w:rFonts w:hint="eastAsia"/>
          <w:bCs/>
          <w:color w:val="auto"/>
        </w:rPr>
        <w:t>，由进入污水处理系统干湿分离段进行干湿分离</w:t>
      </w:r>
      <w:r>
        <w:rPr>
          <w:rFonts w:hint="eastAsia"/>
          <w:bCs/>
          <w:color w:val="auto"/>
          <w:lang w:eastAsia="zh-CN"/>
        </w:rPr>
        <w:t>，</w:t>
      </w:r>
      <w:r>
        <w:rPr>
          <w:rFonts w:hint="eastAsia" w:ascii="Times New Roman" w:hAnsi="Times New Roman"/>
          <w:color w:val="auto"/>
        </w:rPr>
        <w:t>分离的尿液、废水通过管道进入黑膜沼气池厌氧处理，在施肥季节农肥利用，非施肥季节或者雨季则暂存于</w:t>
      </w:r>
      <w:r>
        <w:rPr>
          <w:rFonts w:hint="eastAsia" w:ascii="Times New Roman" w:hAnsi="Times New Roman"/>
          <w:color w:val="auto"/>
          <w:lang w:eastAsia="zh-CN"/>
        </w:rPr>
        <w:t>沼液暂存池</w:t>
      </w:r>
      <w:r>
        <w:rPr>
          <w:rFonts w:hint="eastAsia" w:ascii="Times New Roman" w:hAnsi="Times New Roman"/>
          <w:color w:val="auto"/>
        </w:rPr>
        <w:t>内。粪便则运至干粪堆场临时堆放，外售堆肥厂进行堆肥。</w:t>
      </w:r>
    </w:p>
    <w:p>
      <w:pPr>
        <w:pStyle w:val="16"/>
        <w:spacing w:line="360" w:lineRule="auto"/>
        <w:ind w:firstLine="480"/>
        <w:rPr>
          <w:rFonts w:ascii="Times New Roman" w:hAnsi="Times New Roman"/>
          <w:color w:val="auto"/>
        </w:rPr>
      </w:pPr>
      <w:r>
        <w:rPr>
          <w:rFonts w:hint="eastAsia" w:ascii="Times New Roman" w:hAnsi="Times New Roman"/>
          <w:color w:val="auto"/>
        </w:rPr>
        <w:t>本项目污废水不外排，全部采取资源化利用。</w:t>
      </w:r>
    </w:p>
    <w:p>
      <w:pPr>
        <w:pStyle w:val="16"/>
        <w:spacing w:line="360" w:lineRule="auto"/>
        <w:ind w:firstLine="480"/>
        <w:rPr>
          <w:rFonts w:ascii="Times New Roman" w:hAnsi="Times New Roman"/>
          <w:color w:val="auto"/>
        </w:rPr>
      </w:pPr>
      <w:r>
        <w:rPr>
          <w:rFonts w:ascii="Times New Roman" w:hAnsi="Times New Roman"/>
          <w:color w:val="auto"/>
        </w:rPr>
        <w:t>（4）项目拟建于</w:t>
      </w:r>
      <w:r>
        <w:rPr>
          <w:rFonts w:hint="eastAsia" w:ascii="Times New Roman" w:hAnsi="Times New Roman"/>
          <w:color w:val="auto"/>
        </w:rPr>
        <w:t>四川省</w:t>
      </w:r>
      <w:r>
        <w:rPr>
          <w:rFonts w:hint="eastAsia" w:ascii="Times New Roman" w:hAnsi="Times New Roman"/>
          <w:color w:val="auto"/>
          <w:lang w:eastAsia="zh-CN"/>
        </w:rPr>
        <w:t>绵阳市游仙区盐泉镇通远村（原葫芦村4社）</w:t>
      </w:r>
      <w:r>
        <w:rPr>
          <w:rFonts w:ascii="Times New Roman" w:hAnsi="Times New Roman"/>
          <w:color w:val="auto"/>
        </w:rPr>
        <w:t>，地势较高，利用高度差设计污水管道，使污水运用重力自流的方式输送至处理设施，减少动力消耗，降低能耗。</w:t>
      </w:r>
    </w:p>
    <w:p>
      <w:pPr>
        <w:pStyle w:val="16"/>
        <w:spacing w:line="360" w:lineRule="auto"/>
        <w:ind w:firstLine="480"/>
        <w:rPr>
          <w:rFonts w:hint="eastAsia" w:ascii="Times New Roman" w:hAnsi="Times New Roman"/>
          <w:color w:val="auto"/>
        </w:rPr>
      </w:pPr>
      <w:r>
        <w:rPr>
          <w:rFonts w:hint="eastAsia" w:ascii="Times New Roman" w:hAnsi="Times New Roman"/>
          <w:color w:val="auto"/>
        </w:rPr>
        <w:t>（5）本项目产生的废气主要为养殖区、粪污暂存区、污水处理区等产生的恶臭气体，经饲料中添加EM复合微生物菌、喷洒除臭剂、绿化等除臭措施后可做到厂界无组织达标排放。</w:t>
      </w:r>
    </w:p>
    <w:p>
      <w:pPr>
        <w:pStyle w:val="16"/>
        <w:spacing w:line="360" w:lineRule="auto"/>
        <w:ind w:firstLine="480"/>
        <w:rPr>
          <w:rFonts w:ascii="Times New Roman" w:hAnsi="Times New Roman"/>
          <w:color w:val="auto"/>
        </w:rPr>
      </w:pPr>
      <w:r>
        <w:rPr>
          <w:rFonts w:ascii="Times New Roman" w:hAnsi="Times New Roman"/>
          <w:color w:val="auto"/>
        </w:rPr>
        <w:t>（</w:t>
      </w:r>
      <w:r>
        <w:rPr>
          <w:rFonts w:hint="eastAsia" w:ascii="Times New Roman" w:hAnsi="Times New Roman"/>
          <w:color w:val="auto"/>
          <w:lang w:val="en-US" w:eastAsia="zh-CN"/>
        </w:rPr>
        <w:t>6</w:t>
      </w:r>
      <w:r>
        <w:rPr>
          <w:rFonts w:ascii="Times New Roman" w:hAnsi="Times New Roman"/>
          <w:color w:val="auto"/>
        </w:rPr>
        <w:t>）项目</w:t>
      </w:r>
      <w:r>
        <w:rPr>
          <w:rFonts w:hint="eastAsia" w:ascii="Times New Roman" w:hAnsi="Times New Roman"/>
          <w:color w:val="auto"/>
          <w:lang w:val="en-US" w:eastAsia="zh-CN"/>
        </w:rPr>
        <w:t>1</w:t>
      </w:r>
      <w:r>
        <w:rPr>
          <w:rFonts w:ascii="Times New Roman" w:hAnsi="Times New Roman"/>
          <w:color w:val="auto"/>
        </w:rPr>
        <w:t>00m卫生防护距离范围内</w:t>
      </w:r>
      <w:r>
        <w:rPr>
          <w:rFonts w:hint="eastAsia"/>
          <w:color w:val="auto"/>
        </w:rPr>
        <w:t>无环境敏感目标，</w:t>
      </w:r>
      <w:r>
        <w:rPr>
          <w:rFonts w:ascii="Times New Roman" w:hAnsi="Times New Roman"/>
          <w:color w:val="auto"/>
        </w:rPr>
        <w:t>恶臭、噪声问题相对简单。</w:t>
      </w:r>
    </w:p>
    <w:p>
      <w:pPr>
        <w:pStyle w:val="16"/>
        <w:spacing w:line="360" w:lineRule="auto"/>
        <w:ind w:firstLine="480"/>
        <w:rPr>
          <w:rFonts w:ascii="Times New Roman" w:hAnsi="Times New Roman"/>
          <w:color w:val="auto"/>
        </w:rPr>
      </w:pPr>
      <w:r>
        <w:rPr>
          <w:rFonts w:ascii="Times New Roman" w:hAnsi="Times New Roman"/>
          <w:color w:val="auto"/>
        </w:rPr>
        <w:t>综上，本项目养殖过程中产生的粪污经无害化处理后能够实现资源化利用，最终达到粪污的</w:t>
      </w:r>
      <w:r>
        <w:rPr>
          <w:rFonts w:hint="eastAsia" w:ascii="Times New Roman" w:hAnsi="Times New Roman"/>
          <w:color w:val="auto"/>
        </w:rPr>
        <w:t>“</w:t>
      </w:r>
      <w:r>
        <w:rPr>
          <w:rFonts w:ascii="Times New Roman" w:hAnsi="Times New Roman"/>
          <w:color w:val="auto"/>
        </w:rPr>
        <w:t>零排放</w:t>
      </w:r>
      <w:r>
        <w:rPr>
          <w:rFonts w:hint="eastAsia" w:ascii="Times New Roman" w:hAnsi="Times New Roman"/>
          <w:color w:val="auto"/>
        </w:rPr>
        <w:t>”</w:t>
      </w:r>
      <w:r>
        <w:rPr>
          <w:rFonts w:ascii="Times New Roman" w:hAnsi="Times New Roman"/>
          <w:color w:val="auto"/>
        </w:rPr>
        <w:t>，具有良好的经济和环境效益。</w:t>
      </w:r>
    </w:p>
    <w:p>
      <w:pPr>
        <w:pStyle w:val="7"/>
        <w:spacing w:before="120"/>
        <w:rPr>
          <w:rFonts w:eastAsia="黑体"/>
          <w:color w:val="auto"/>
          <w:sz w:val="32"/>
        </w:rPr>
      </w:pPr>
      <w:bookmarkStart w:id="4" w:name="_Toc7062"/>
      <w:r>
        <w:rPr>
          <w:rFonts w:eastAsia="黑体"/>
          <w:color w:val="auto"/>
          <w:sz w:val="32"/>
        </w:rPr>
        <w:t>环境影响评价的工作过程</w:t>
      </w:r>
      <w:bookmarkEnd w:id="4"/>
    </w:p>
    <w:p>
      <w:pPr>
        <w:ind w:firstLine="480"/>
        <w:rPr>
          <w:rFonts w:hint="eastAsia"/>
          <w:color w:val="auto"/>
        </w:rPr>
      </w:pPr>
      <w:r>
        <w:rPr>
          <w:rFonts w:hint="eastAsia"/>
          <w:color w:val="auto"/>
        </w:rPr>
        <w:t>环境影响评价工作一般分三个阶段，即调查分析和工作方案制定阶段，分析论证和预测评价阶段，环境影响评价文件编制阶段。</w:t>
      </w:r>
    </w:p>
    <w:p>
      <w:pPr>
        <w:ind w:firstLine="480"/>
        <w:rPr>
          <w:color w:val="auto"/>
        </w:rPr>
      </w:pPr>
      <w:r>
        <w:rPr>
          <w:color w:val="auto"/>
        </w:rPr>
        <w:t>本项目环境影响评价工作程序详见图1.3-1：</w:t>
      </w:r>
    </w:p>
    <w:p>
      <w:pPr>
        <w:pStyle w:val="166"/>
        <w:spacing w:before="120" w:beforeLines="0" w:line="360" w:lineRule="auto"/>
        <w:rPr>
          <w:color w:val="auto"/>
        </w:rPr>
      </w:pPr>
      <w:r>
        <w:rPr>
          <w:color w:val="auto"/>
        </w:rPr>
        <w:drawing>
          <wp:inline distT="0" distB="0" distL="114300" distR="114300">
            <wp:extent cx="5299710" cy="5131435"/>
            <wp:effectExtent l="0" t="0" r="15240" b="12065"/>
            <wp:docPr id="1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5"/>
                    <pic:cNvPicPr>
                      <a:picLocks noRot="1" noChangeAspect="1"/>
                    </pic:cNvPicPr>
                  </pic:nvPicPr>
                  <pic:blipFill>
                    <a:blip r:embed="rId26"/>
                    <a:srcRect t="4010" b="4482"/>
                    <a:stretch>
                      <a:fillRect/>
                    </a:stretch>
                  </pic:blipFill>
                  <pic:spPr>
                    <a:xfrm>
                      <a:off x="0" y="0"/>
                      <a:ext cx="5299710" cy="5131435"/>
                    </a:xfrm>
                    <a:prstGeom prst="rect">
                      <a:avLst/>
                    </a:prstGeom>
                    <a:noFill/>
                    <a:ln>
                      <a:noFill/>
                    </a:ln>
                  </pic:spPr>
                </pic:pic>
              </a:graphicData>
            </a:graphic>
          </wp:inline>
        </w:drawing>
      </w:r>
    </w:p>
    <w:p>
      <w:pPr>
        <w:pStyle w:val="166"/>
        <w:adjustRightInd w:val="0"/>
        <w:snapToGrid w:val="0"/>
        <w:spacing w:before="0" w:beforeLines="0" w:after="120" w:afterLines="50" w:line="240" w:lineRule="auto"/>
        <w:rPr>
          <w:color w:val="auto"/>
        </w:rPr>
      </w:pPr>
      <w:r>
        <w:rPr>
          <w:color w:val="auto"/>
        </w:rPr>
        <w:t>图1.</w:t>
      </w:r>
      <w:r>
        <w:rPr>
          <w:rFonts w:hint="eastAsia"/>
          <w:color w:val="auto"/>
          <w:lang w:val="en-US" w:eastAsia="zh-CN"/>
        </w:rPr>
        <w:t>3</w:t>
      </w:r>
      <w:r>
        <w:rPr>
          <w:color w:val="auto"/>
        </w:rPr>
        <w:t>-1</w:t>
      </w:r>
      <w:r>
        <w:rPr>
          <w:rFonts w:hint="eastAsia"/>
          <w:color w:val="auto"/>
          <w:lang w:val="en-US" w:eastAsia="zh-CN"/>
        </w:rPr>
        <w:t xml:space="preserve"> </w:t>
      </w:r>
      <w:r>
        <w:rPr>
          <w:color w:val="auto"/>
        </w:rPr>
        <w:t>建设项目环境影响评价工作程序图</w:t>
      </w:r>
    </w:p>
    <w:p>
      <w:pPr>
        <w:pStyle w:val="7"/>
        <w:bidi w:val="0"/>
        <w:rPr>
          <w:color w:val="auto"/>
        </w:rPr>
      </w:pPr>
      <w:bookmarkStart w:id="5" w:name="_Toc1619"/>
      <w:r>
        <w:rPr>
          <w:rFonts w:hint="eastAsia"/>
          <w:color w:val="auto"/>
        </w:rPr>
        <w:t>分析判定相关情况</w:t>
      </w:r>
      <w:bookmarkEnd w:id="5"/>
    </w:p>
    <w:p>
      <w:pPr>
        <w:pStyle w:val="166"/>
        <w:spacing w:before="0" w:beforeLines="0" w:line="360" w:lineRule="auto"/>
        <w:ind w:firstLine="480" w:firstLineChars="200"/>
        <w:jc w:val="left"/>
        <w:rPr>
          <w:b w:val="0"/>
          <w:bCs/>
          <w:color w:val="auto"/>
          <w:sz w:val="24"/>
        </w:rPr>
      </w:pPr>
      <w:r>
        <w:rPr>
          <w:rFonts w:hint="eastAsia"/>
          <w:b w:val="0"/>
          <w:bCs/>
          <w:color w:val="auto"/>
          <w:sz w:val="24"/>
        </w:rPr>
        <w:t>我公司在接受委托后，首先通过现场踏勘及相关资料收集，对项目所在地各相关规划等合理性进行初步判定。</w:t>
      </w:r>
    </w:p>
    <w:p>
      <w:pPr>
        <w:pStyle w:val="8"/>
        <w:bidi w:val="0"/>
        <w:rPr>
          <w:color w:val="auto"/>
        </w:rPr>
      </w:pPr>
      <w:r>
        <w:rPr>
          <w:rFonts w:hint="eastAsia"/>
          <w:color w:val="auto"/>
        </w:rPr>
        <w:t>产业政策符合性判定</w:t>
      </w:r>
    </w:p>
    <w:p>
      <w:pPr>
        <w:pStyle w:val="166"/>
        <w:spacing w:before="0" w:beforeLines="0" w:line="360" w:lineRule="auto"/>
        <w:ind w:firstLine="480" w:firstLineChars="200"/>
        <w:jc w:val="left"/>
        <w:rPr>
          <w:rFonts w:hint="eastAsia"/>
          <w:b w:val="0"/>
          <w:bCs/>
          <w:color w:val="auto"/>
          <w:sz w:val="24"/>
        </w:rPr>
      </w:pPr>
      <w:r>
        <w:rPr>
          <w:rFonts w:hint="eastAsia"/>
          <w:b w:val="0"/>
          <w:bCs/>
          <w:color w:val="auto"/>
          <w:sz w:val="24"/>
        </w:rPr>
        <w:t>本项目为新建的标准化和规模化养猪场，属于国家发展和改革委员会令第29号《产业结构调整指导目录（2019年本）》中第一类“鼓励类”第一条“农林业”第4款“畜禽标准化规模养殖技术开发与应用”和第53款“畜禽养殖废弃物处理和资源化利用（畜禽粪污肥料化、能源化、基料化和垫料化利用，病死畜禽无害化处理）”之列。同时，本项目在</w:t>
      </w:r>
      <w:r>
        <w:rPr>
          <w:rFonts w:hint="eastAsia"/>
          <w:b w:val="0"/>
          <w:bCs/>
          <w:color w:val="auto"/>
          <w:sz w:val="24"/>
          <w:lang w:eastAsia="zh-CN"/>
        </w:rPr>
        <w:t>游仙区发展和改革局</w:t>
      </w:r>
      <w:r>
        <w:rPr>
          <w:rFonts w:hint="eastAsia"/>
          <w:b w:val="0"/>
          <w:bCs/>
          <w:color w:val="auto"/>
          <w:sz w:val="24"/>
        </w:rPr>
        <w:t>完成了《四川省固定资产投资项目备案表》（</w:t>
      </w:r>
      <w:r>
        <w:rPr>
          <w:rFonts w:hint="eastAsia"/>
          <w:b w:val="0"/>
          <w:bCs/>
          <w:color w:val="auto"/>
          <w:sz w:val="24"/>
          <w:lang w:eastAsia="zh-CN"/>
        </w:rPr>
        <w:t>川投资备【2101-510704-04-01-608184】FGQB-0006号</w:t>
      </w:r>
      <w:r>
        <w:rPr>
          <w:rFonts w:hint="eastAsia"/>
          <w:b w:val="0"/>
          <w:bCs/>
          <w:color w:val="auto"/>
          <w:sz w:val="24"/>
        </w:rPr>
        <w:t>）。</w:t>
      </w:r>
    </w:p>
    <w:p>
      <w:pPr>
        <w:pStyle w:val="166"/>
        <w:spacing w:before="0" w:beforeLines="0" w:line="360" w:lineRule="auto"/>
        <w:ind w:firstLine="480" w:firstLineChars="200"/>
        <w:jc w:val="left"/>
        <w:rPr>
          <w:rFonts w:hint="eastAsia"/>
          <w:b w:val="0"/>
          <w:bCs/>
          <w:color w:val="auto"/>
          <w:sz w:val="24"/>
        </w:rPr>
      </w:pPr>
      <w:r>
        <w:rPr>
          <w:rFonts w:hint="eastAsia"/>
          <w:b w:val="0"/>
          <w:bCs/>
          <w:color w:val="auto"/>
          <w:sz w:val="24"/>
        </w:rPr>
        <w:t>2020年3月10日，国家发展改革委、农业农村部联合发布《关于支持民营企业发展生猪生产及相关产业的实施意见》（发改农经【2020】350号）；文件明确提出加大对民营企业发展生猪生产的政策扶持力度，优化民营企业发展生猪产业的市场环境，引导民营企业提升生猪产业发展质量。</w:t>
      </w:r>
    </w:p>
    <w:p>
      <w:pPr>
        <w:pStyle w:val="166"/>
        <w:spacing w:before="0" w:beforeLines="0" w:line="360" w:lineRule="auto"/>
        <w:ind w:firstLine="480" w:firstLineChars="200"/>
        <w:jc w:val="left"/>
        <w:rPr>
          <w:b w:val="0"/>
          <w:bCs/>
          <w:color w:val="auto"/>
          <w:sz w:val="24"/>
        </w:rPr>
      </w:pPr>
      <w:r>
        <w:rPr>
          <w:rFonts w:hint="eastAsia"/>
          <w:b w:val="0"/>
          <w:bCs/>
          <w:color w:val="auto"/>
          <w:sz w:val="24"/>
        </w:rPr>
        <w:t>因此，本项目的建设符合国家现行产业政策。</w:t>
      </w:r>
    </w:p>
    <w:p>
      <w:pPr>
        <w:pStyle w:val="8"/>
        <w:bidi w:val="0"/>
        <w:rPr>
          <w:color w:val="auto"/>
        </w:rPr>
      </w:pPr>
      <w:r>
        <w:rPr>
          <w:rFonts w:hint="eastAsia"/>
          <w:color w:val="auto"/>
        </w:rPr>
        <w:t>相关规划符合性判定</w:t>
      </w:r>
    </w:p>
    <w:p>
      <w:pPr>
        <w:pStyle w:val="166"/>
        <w:spacing w:before="0" w:beforeLines="0" w:line="360" w:lineRule="auto"/>
        <w:ind w:firstLine="480" w:firstLineChars="200"/>
        <w:jc w:val="left"/>
        <w:rPr>
          <w:b w:val="0"/>
          <w:bCs/>
          <w:color w:val="auto"/>
          <w:sz w:val="24"/>
        </w:rPr>
      </w:pPr>
      <w:bookmarkStart w:id="6" w:name="_Hlk47432690"/>
      <w:r>
        <w:rPr>
          <w:rFonts w:hint="eastAsia"/>
          <w:b w:val="0"/>
          <w:bCs/>
          <w:color w:val="auto"/>
          <w:sz w:val="24"/>
        </w:rPr>
        <w:t>本项目建设与《国务院办公厅关于加快推进畜禽养殖废弃物资源化利用的意见》、《畜禽粪污资源化利用行动方案（2017—2020年）》的通知（农牧发[2017]11号）、《四川省畜禽养殖污染防治技术指南（试行）》（川农业函【2017】647号）、《关于印发四川省打赢蓝天保卫战等九个实施方案的通知》、《绵阳市畜禽污染防治规划》、《</w:t>
      </w:r>
      <w:r>
        <w:rPr>
          <w:rFonts w:hint="eastAsia"/>
          <w:b w:val="0"/>
          <w:bCs/>
          <w:color w:val="auto"/>
          <w:sz w:val="24"/>
          <w:lang w:eastAsia="zh-CN"/>
        </w:rPr>
        <w:t>绵阳市游仙区畜禽养殖禁养区划定方案</w:t>
      </w:r>
      <w:r>
        <w:rPr>
          <w:rFonts w:hint="eastAsia"/>
          <w:b w:val="0"/>
          <w:bCs/>
          <w:color w:val="auto"/>
          <w:sz w:val="24"/>
        </w:rPr>
        <w:t>》等相符</w:t>
      </w:r>
      <w:bookmarkEnd w:id="6"/>
      <w:r>
        <w:rPr>
          <w:rFonts w:hint="eastAsia"/>
          <w:b w:val="0"/>
          <w:bCs/>
          <w:color w:val="auto"/>
          <w:sz w:val="24"/>
        </w:rPr>
        <w:t>。</w:t>
      </w:r>
    </w:p>
    <w:p>
      <w:pPr>
        <w:pStyle w:val="8"/>
        <w:bidi w:val="0"/>
        <w:rPr>
          <w:color w:val="auto"/>
        </w:rPr>
      </w:pPr>
      <w:r>
        <w:rPr>
          <w:rFonts w:hint="eastAsia"/>
          <w:color w:val="auto"/>
        </w:rPr>
        <w:t>评价类型判定</w:t>
      </w:r>
    </w:p>
    <w:p>
      <w:pPr>
        <w:pStyle w:val="166"/>
        <w:spacing w:before="0" w:beforeLines="0" w:line="360" w:lineRule="auto"/>
        <w:ind w:firstLine="480" w:firstLineChars="200"/>
        <w:jc w:val="left"/>
        <w:rPr>
          <w:b w:val="0"/>
          <w:bCs/>
          <w:color w:val="auto"/>
          <w:sz w:val="24"/>
        </w:rPr>
      </w:pPr>
      <w:r>
        <w:rPr>
          <w:rFonts w:hint="eastAsia"/>
          <w:b w:val="0"/>
          <w:bCs/>
          <w:color w:val="auto"/>
          <w:sz w:val="24"/>
        </w:rPr>
        <w:t>根据《中华人民共和国环境保护法》、《中华人民共和国环境影响评价法》、《建设项目环境保护管理条例》（国务院2017年第682号令）的有关规定，该项目需进行环境影响评价，从环保角度论证该项目的可行性。对照《国民经济行业分类》（GB/T 4754-2017）</w:t>
      </w:r>
      <w:r>
        <w:rPr>
          <w:rFonts w:hint="eastAsia"/>
          <w:b w:val="0"/>
          <w:bCs/>
          <w:color w:val="auto"/>
          <w:sz w:val="24"/>
          <w:lang w:eastAsia="zh-CN"/>
        </w:rPr>
        <w:t>（</w:t>
      </w:r>
      <w:r>
        <w:rPr>
          <w:rFonts w:hint="eastAsia"/>
          <w:b w:val="0"/>
          <w:bCs/>
          <w:color w:val="auto"/>
          <w:sz w:val="24"/>
          <w:lang w:val="en-US" w:eastAsia="zh-CN"/>
        </w:rPr>
        <w:t>2019年修改</w:t>
      </w:r>
      <w:r>
        <w:rPr>
          <w:rFonts w:hint="eastAsia"/>
          <w:b w:val="0"/>
          <w:bCs/>
          <w:color w:val="auto"/>
          <w:sz w:val="24"/>
          <w:lang w:eastAsia="zh-CN"/>
        </w:rPr>
        <w:t>）</w:t>
      </w:r>
      <w:r>
        <w:rPr>
          <w:rFonts w:hint="eastAsia"/>
          <w:b w:val="0"/>
          <w:bCs/>
          <w:color w:val="auto"/>
          <w:sz w:val="24"/>
        </w:rPr>
        <w:t>，项目属于畜牧业中的猪的饲养（A0313）；对照《建设项目环境影响评价分类管理名录》（2021年版），项目属于“</w:t>
      </w:r>
      <w:r>
        <w:rPr>
          <w:rFonts w:hint="eastAsia"/>
          <w:b w:val="0"/>
          <w:bCs/>
          <w:color w:val="auto"/>
          <w:sz w:val="24"/>
          <w:lang w:val="en-US" w:eastAsia="zh-CN"/>
        </w:rPr>
        <w:t>二、畜牧业03</w:t>
      </w:r>
      <w:r>
        <w:rPr>
          <w:rFonts w:hint="eastAsia"/>
          <w:b w:val="0"/>
          <w:bCs/>
          <w:color w:val="auto"/>
          <w:sz w:val="24"/>
        </w:rPr>
        <w:t>，</w:t>
      </w:r>
      <w:r>
        <w:rPr>
          <w:rFonts w:hint="eastAsia"/>
          <w:b w:val="0"/>
          <w:bCs/>
          <w:color w:val="auto"/>
          <w:sz w:val="24"/>
          <w:lang w:val="en-US" w:eastAsia="zh-CN"/>
        </w:rPr>
        <w:t>3牲畜饲养 031；家禽饲养 032；其他畜牧业 039</w:t>
      </w:r>
      <w:r>
        <w:rPr>
          <w:rFonts w:hint="eastAsia"/>
          <w:b w:val="0"/>
          <w:bCs/>
          <w:color w:val="auto"/>
          <w:sz w:val="24"/>
        </w:rPr>
        <w:t>”中的“</w:t>
      </w:r>
      <w:r>
        <w:rPr>
          <w:rFonts w:hint="eastAsia"/>
          <w:b w:val="0"/>
          <w:bCs/>
          <w:color w:val="auto"/>
          <w:sz w:val="24"/>
          <w:lang w:val="en-US" w:eastAsia="zh-CN"/>
        </w:rPr>
        <w:t>年出栏生猪5000头（其他畜禽种类折合猪的养殖量）及以上的规模化畜禽养殖</w:t>
      </w:r>
      <w:r>
        <w:rPr>
          <w:rFonts w:hint="eastAsia"/>
          <w:b w:val="0"/>
          <w:bCs/>
          <w:color w:val="auto"/>
          <w:sz w:val="24"/>
        </w:rPr>
        <w:t>”项目，因此项目需编制环境影响报告书。</w:t>
      </w:r>
    </w:p>
    <w:p>
      <w:pPr>
        <w:pStyle w:val="8"/>
        <w:bidi w:val="0"/>
        <w:rPr>
          <w:color w:val="auto"/>
        </w:rPr>
      </w:pPr>
      <w:r>
        <w:rPr>
          <w:rFonts w:hint="eastAsia"/>
          <w:color w:val="auto"/>
        </w:rPr>
        <w:t>三线一单符合性判定</w:t>
      </w:r>
    </w:p>
    <w:p>
      <w:pPr>
        <w:pStyle w:val="253"/>
        <w:ind w:firstLine="480"/>
        <w:contextualSpacing/>
        <w:jc w:val="left"/>
        <w:rPr>
          <w:rFonts w:hint="eastAsia"/>
          <w:bCs/>
          <w:color w:val="auto"/>
        </w:rPr>
      </w:pPr>
      <w:r>
        <w:rPr>
          <w:rFonts w:hint="eastAsia"/>
          <w:bCs/>
          <w:color w:val="auto"/>
        </w:rPr>
        <w:t>本项目位于四川省</w:t>
      </w:r>
      <w:r>
        <w:rPr>
          <w:rFonts w:hint="eastAsia"/>
          <w:bCs/>
          <w:color w:val="auto"/>
          <w:lang w:eastAsia="zh-CN"/>
        </w:rPr>
        <w:t>绵阳市游仙区盐泉镇通远村（原葫芦村4社）</w:t>
      </w:r>
      <w:r>
        <w:rPr>
          <w:rFonts w:hint="eastAsia"/>
          <w:bCs/>
          <w:color w:val="auto"/>
        </w:rPr>
        <w:t>，项目选址不在划定的生态保护红线范围内，项目建设符合四川省生态保护红线方案的相关要求。项目用地不占用基本农田，不涉及土地资源利用上线；项目需要的原辅材料量较小，均在当地市场购买；项目对当地的资源需求量很少，未涉及资源利用上线。本项目不属于《四川省国家重点生态功能区产业准入负面清单（第一批）（试行）》和《四川省国家重点生态功能区产业准入负面清单（第二批）（试行）》其中的限制类和禁止类，本项目所在地不属于国家重点生态功能区，不在环境准入负面清单内。</w:t>
      </w:r>
    </w:p>
    <w:p>
      <w:pPr>
        <w:pStyle w:val="253"/>
        <w:ind w:firstLine="480"/>
        <w:contextualSpacing/>
        <w:jc w:val="left"/>
        <w:rPr>
          <w:rFonts w:hint="eastAsia"/>
          <w:b/>
          <w:bCs/>
          <w:color w:val="auto"/>
        </w:rPr>
      </w:pPr>
      <w:r>
        <w:rPr>
          <w:rFonts w:hint="eastAsia"/>
          <w:bCs/>
          <w:color w:val="auto"/>
        </w:rPr>
        <w:t>因此，项目不在生态保护红线内、未超出环境质量底线及资源利用上线、未列入环境准入负面清单内。本项目的建设与生态环境部发布的《关于以改善环境质量为核心加强环境影响评价管理的通知》中“三线一单”的要求相符。</w:t>
      </w:r>
    </w:p>
    <w:p>
      <w:pPr>
        <w:pStyle w:val="7"/>
        <w:bidi w:val="0"/>
        <w:rPr>
          <w:color w:val="auto"/>
        </w:rPr>
      </w:pPr>
      <w:bookmarkStart w:id="7" w:name="_Toc32615"/>
      <w:r>
        <w:rPr>
          <w:color w:val="auto"/>
        </w:rPr>
        <w:t>关注的主要环境问题</w:t>
      </w:r>
      <w:bookmarkEnd w:id="7"/>
    </w:p>
    <w:p>
      <w:pPr>
        <w:ind w:firstLine="480"/>
        <w:rPr>
          <w:color w:val="auto"/>
        </w:rPr>
      </w:pPr>
      <w:r>
        <w:rPr>
          <w:color w:val="auto"/>
        </w:rPr>
        <w:t>根据本项目的特点和环境条件，本次评价关注的主要环境问题为项目运营后废水、废气等污染物排放以及固休废物处置对区域环境及敏感点的影响程度，分析项目选址是否合理，同时论证项目拟采取的环保设施和污染防治措施的可行性和可靠性。</w:t>
      </w:r>
    </w:p>
    <w:p>
      <w:pPr>
        <w:pStyle w:val="8"/>
        <w:bidi w:val="0"/>
        <w:rPr>
          <w:color w:val="auto"/>
        </w:rPr>
      </w:pPr>
      <w:r>
        <w:rPr>
          <w:color w:val="auto"/>
        </w:rPr>
        <w:t>废水</w:t>
      </w:r>
    </w:p>
    <w:p>
      <w:pPr>
        <w:pStyle w:val="16"/>
        <w:spacing w:line="360" w:lineRule="auto"/>
        <w:ind w:firstLine="480"/>
        <w:rPr>
          <w:rFonts w:ascii="Times New Roman" w:hAnsi="Times New Roman"/>
          <w:color w:val="auto"/>
        </w:rPr>
      </w:pPr>
      <w:r>
        <w:rPr>
          <w:rFonts w:hint="eastAsia" w:ascii="Times New Roman" w:hAnsi="Times New Roman"/>
          <w:color w:val="auto"/>
        </w:rPr>
        <w:t>主要关注运营期养殖废水和生活污水，废水污染因子为COD、BOD</w:t>
      </w:r>
      <w:r>
        <w:rPr>
          <w:rFonts w:hint="eastAsia" w:ascii="Times New Roman" w:hAnsi="Times New Roman"/>
          <w:color w:val="auto"/>
          <w:vertAlign w:val="subscript"/>
        </w:rPr>
        <w:t>5</w:t>
      </w:r>
      <w:r>
        <w:rPr>
          <w:rFonts w:hint="eastAsia" w:ascii="Times New Roman" w:hAnsi="Times New Roman"/>
          <w:color w:val="auto"/>
        </w:rPr>
        <w:t>、NH</w:t>
      </w:r>
      <w:r>
        <w:rPr>
          <w:rFonts w:hint="eastAsia" w:ascii="Times New Roman" w:hAnsi="Times New Roman"/>
          <w:color w:val="auto"/>
          <w:vertAlign w:val="subscript"/>
        </w:rPr>
        <w:t>3</w:t>
      </w:r>
      <w:r>
        <w:rPr>
          <w:rFonts w:hint="eastAsia" w:ascii="Times New Roman" w:hAnsi="Times New Roman"/>
          <w:color w:val="auto"/>
        </w:rPr>
        <w:t>-N、总磷、SS和粪大肠菌群。重点分析废水水量、水质及处理工艺的可行性；废水不外排的可行性。</w:t>
      </w:r>
    </w:p>
    <w:p>
      <w:pPr>
        <w:pStyle w:val="8"/>
        <w:bidi w:val="0"/>
        <w:rPr>
          <w:color w:val="auto"/>
        </w:rPr>
      </w:pPr>
      <w:r>
        <w:rPr>
          <w:color w:val="auto"/>
        </w:rPr>
        <w:t>废气</w:t>
      </w:r>
    </w:p>
    <w:p>
      <w:pPr>
        <w:pStyle w:val="16"/>
        <w:spacing w:line="360" w:lineRule="auto"/>
        <w:ind w:firstLine="480"/>
        <w:rPr>
          <w:rFonts w:ascii="Times New Roman" w:hAnsi="Times New Roman"/>
          <w:color w:val="auto"/>
        </w:rPr>
      </w:pPr>
      <w:r>
        <w:rPr>
          <w:rFonts w:hint="eastAsia" w:ascii="Times New Roman" w:hAnsi="Times New Roman"/>
          <w:color w:val="auto"/>
        </w:rPr>
        <w:t>主要关注运营期养殖区、污水处理区、干粪堆场恶臭。重点分析废气源强、治理措施的可行性及对周边大气环境的影响。</w:t>
      </w:r>
    </w:p>
    <w:p>
      <w:pPr>
        <w:pStyle w:val="8"/>
        <w:bidi w:val="0"/>
        <w:rPr>
          <w:color w:val="auto"/>
        </w:rPr>
      </w:pPr>
      <w:r>
        <w:rPr>
          <w:color w:val="auto"/>
        </w:rPr>
        <w:t>噪声</w:t>
      </w:r>
    </w:p>
    <w:p>
      <w:pPr>
        <w:pStyle w:val="16"/>
        <w:spacing w:line="360" w:lineRule="auto"/>
        <w:ind w:firstLine="480"/>
        <w:rPr>
          <w:rFonts w:ascii="Times New Roman" w:hAnsi="Times New Roman"/>
          <w:color w:val="auto"/>
        </w:rPr>
      </w:pPr>
      <w:r>
        <w:rPr>
          <w:rFonts w:hint="eastAsia" w:ascii="Times New Roman" w:hAnsi="Times New Roman"/>
          <w:color w:val="auto"/>
        </w:rPr>
        <w:t>主要关注运营期场界噪声是否可以达到相应的标准要求。重点分析噪声控制措施及场界达标的可行性。</w:t>
      </w:r>
    </w:p>
    <w:p>
      <w:pPr>
        <w:pStyle w:val="8"/>
        <w:bidi w:val="0"/>
        <w:rPr>
          <w:color w:val="auto"/>
        </w:rPr>
      </w:pPr>
      <w:r>
        <w:rPr>
          <w:color w:val="auto"/>
        </w:rPr>
        <w:t>固体废物</w:t>
      </w:r>
    </w:p>
    <w:p>
      <w:pPr>
        <w:pStyle w:val="16"/>
        <w:spacing w:line="360" w:lineRule="auto"/>
        <w:ind w:firstLine="480"/>
        <w:rPr>
          <w:rFonts w:ascii="Times New Roman" w:hAnsi="Times New Roman"/>
          <w:color w:val="auto"/>
        </w:rPr>
      </w:pPr>
      <w:r>
        <w:rPr>
          <w:rFonts w:hint="eastAsia" w:ascii="Times New Roman" w:hAnsi="Times New Roman"/>
          <w:color w:val="auto"/>
        </w:rPr>
        <w:t>主要关注</w:t>
      </w:r>
      <w:r>
        <w:rPr>
          <w:rFonts w:ascii="Times New Roman" w:hAnsi="Times New Roman"/>
          <w:color w:val="auto"/>
        </w:rPr>
        <w:t>猪粪、沼渣、病死猪、畜禽医疗废物、生活垃圾</w:t>
      </w:r>
      <w:r>
        <w:rPr>
          <w:rFonts w:hint="eastAsia" w:ascii="Times New Roman" w:hAnsi="Times New Roman"/>
          <w:color w:val="auto"/>
        </w:rPr>
        <w:t>等的处置及去向。重点分析固废的产生情况、暂存设施设置的规范要求及处置措施是否符合环保要求。</w:t>
      </w:r>
    </w:p>
    <w:p>
      <w:pPr>
        <w:pStyle w:val="7"/>
        <w:bidi w:val="0"/>
        <w:rPr>
          <w:color w:val="auto"/>
        </w:rPr>
      </w:pPr>
      <w:bookmarkStart w:id="8" w:name="_Toc6200"/>
      <w:r>
        <w:rPr>
          <w:color w:val="auto"/>
        </w:rPr>
        <w:t>环境影响报告书主要结论</w:t>
      </w:r>
      <w:bookmarkEnd w:id="8"/>
    </w:p>
    <w:p>
      <w:pPr>
        <w:adjustRightInd w:val="0"/>
        <w:snapToGrid w:val="0"/>
        <w:ind w:firstLine="480"/>
        <w:rPr>
          <w:bCs/>
          <w:color w:val="auto"/>
          <w:szCs w:val="20"/>
        </w:rPr>
      </w:pPr>
      <w:r>
        <w:rPr>
          <w:color w:val="auto"/>
        </w:rPr>
        <w:t>本项目的建设符合国家</w:t>
      </w:r>
      <w:r>
        <w:rPr>
          <w:rFonts w:hint="eastAsia"/>
          <w:color w:val="auto"/>
        </w:rPr>
        <w:t>现</w:t>
      </w:r>
      <w:r>
        <w:rPr>
          <w:color w:val="auto"/>
        </w:rPr>
        <w:t>行产业政策，</w:t>
      </w:r>
      <w:r>
        <w:rPr>
          <w:rFonts w:hint="eastAsia"/>
          <w:color w:val="auto"/>
        </w:rPr>
        <w:t>满足</w:t>
      </w:r>
      <w:r>
        <w:rPr>
          <w:color w:val="auto"/>
        </w:rPr>
        <w:t>相关规划要求</w:t>
      </w:r>
      <w:r>
        <w:rPr>
          <w:rFonts w:hint="eastAsia"/>
          <w:color w:val="auto"/>
        </w:rPr>
        <w:t>。</w:t>
      </w:r>
      <w:r>
        <w:rPr>
          <w:color w:val="auto"/>
        </w:rPr>
        <w:t>项目采取的污染防治措施技术经济可行，</w:t>
      </w:r>
      <w:r>
        <w:rPr>
          <w:rFonts w:hint="eastAsia"/>
          <w:color w:val="auto"/>
        </w:rPr>
        <w:t>可实现污染</w:t>
      </w:r>
      <w:r>
        <w:rPr>
          <w:color w:val="auto"/>
        </w:rPr>
        <w:t>物</w:t>
      </w:r>
      <w:r>
        <w:rPr>
          <w:rFonts w:hint="eastAsia"/>
          <w:color w:val="auto"/>
        </w:rPr>
        <w:t>达标排放，满足总量控制要求，</w:t>
      </w:r>
      <w:r>
        <w:rPr>
          <w:color w:val="auto"/>
        </w:rPr>
        <w:t>项目的实施不会改变区域的环境功能。</w:t>
      </w:r>
      <w:r>
        <w:rPr>
          <w:rFonts w:hint="eastAsia"/>
          <w:color w:val="auto"/>
        </w:rPr>
        <w:t>项目风险防范措施可靠有效，认真落实环境风险防范措施后，项目环境风险为可接受水平，从环境风险角度分析项目是可行的。</w:t>
      </w:r>
      <w:r>
        <w:rPr>
          <w:color w:val="auto"/>
        </w:rPr>
        <w:t>在严格执行</w:t>
      </w:r>
      <w:r>
        <w:rPr>
          <w:rFonts w:hint="eastAsia"/>
          <w:color w:val="auto"/>
        </w:rPr>
        <w:t>“</w:t>
      </w:r>
      <w:r>
        <w:rPr>
          <w:color w:val="auto"/>
        </w:rPr>
        <w:t>三同时</w:t>
      </w:r>
      <w:r>
        <w:rPr>
          <w:rFonts w:hint="eastAsia"/>
          <w:color w:val="auto"/>
        </w:rPr>
        <w:t>”</w:t>
      </w:r>
      <w:r>
        <w:rPr>
          <w:color w:val="auto"/>
        </w:rPr>
        <w:t>制度</w:t>
      </w:r>
      <w:r>
        <w:rPr>
          <w:rFonts w:hint="eastAsia"/>
          <w:color w:val="auto"/>
        </w:rPr>
        <w:t>、</w:t>
      </w:r>
      <w:r>
        <w:rPr>
          <w:color w:val="auto"/>
        </w:rPr>
        <w:t>全面落实本评价提出的</w:t>
      </w:r>
      <w:r>
        <w:rPr>
          <w:rFonts w:hint="eastAsia"/>
          <w:color w:val="auto"/>
        </w:rPr>
        <w:t>环保</w:t>
      </w:r>
      <w:r>
        <w:rPr>
          <w:color w:val="auto"/>
        </w:rPr>
        <w:t>措施和风险防范措施的</w:t>
      </w:r>
      <w:r>
        <w:rPr>
          <w:rFonts w:hint="eastAsia"/>
          <w:color w:val="auto"/>
        </w:rPr>
        <w:t>前提</w:t>
      </w:r>
      <w:r>
        <w:rPr>
          <w:color w:val="auto"/>
        </w:rPr>
        <w:t>下，项目的建设不会改变当地的环境质量及生态环境现状</w:t>
      </w:r>
      <w:r>
        <w:rPr>
          <w:rFonts w:hint="eastAsia"/>
          <w:color w:val="auto"/>
        </w:rPr>
        <w:t>；</w:t>
      </w:r>
      <w:r>
        <w:rPr>
          <w:color w:val="auto"/>
        </w:rPr>
        <w:t>项目建设得到了公众的广泛认同和支持。因此，从环境保护的角度分析，本项目的建设可行。</w:t>
      </w:r>
    </w:p>
    <w:p>
      <w:pPr>
        <w:ind w:firstLine="480"/>
        <w:rPr>
          <w:color w:val="auto"/>
        </w:rPr>
      </w:pPr>
      <w:r>
        <w:rPr>
          <w:rFonts w:hint="eastAsia"/>
          <w:color w:val="auto"/>
        </w:rPr>
        <w:t>在报告书的编制过程中得到了绵阳市生态环境局、</w:t>
      </w:r>
      <w:r>
        <w:rPr>
          <w:rFonts w:hint="eastAsia"/>
          <w:color w:val="auto"/>
          <w:lang w:eastAsia="zh-CN"/>
        </w:rPr>
        <w:t>绵阳市游仙生态环境局</w:t>
      </w:r>
      <w:r>
        <w:rPr>
          <w:rFonts w:hint="eastAsia"/>
          <w:color w:val="auto"/>
        </w:rPr>
        <w:t>、</w:t>
      </w:r>
      <w:r>
        <w:rPr>
          <w:rFonts w:hint="eastAsia"/>
          <w:color w:val="auto"/>
          <w:lang w:eastAsia="zh-CN"/>
        </w:rPr>
        <w:t>绵阳市硕牧云康畜牧养殖有限责任公司</w:t>
      </w:r>
      <w:r>
        <w:rPr>
          <w:rFonts w:hint="eastAsia"/>
          <w:color w:val="auto"/>
        </w:rPr>
        <w:t>等单位、专家及项目所在地周边居民和社会团体的支持和帮助，在此一并致以诚挚的谢意！</w:t>
      </w:r>
    </w:p>
    <w:p>
      <w:pPr>
        <w:ind w:firstLine="480"/>
        <w:rPr>
          <w:color w:val="auto"/>
        </w:rPr>
        <w:sectPr>
          <w:headerReference r:id="rId13" w:type="default"/>
          <w:pgSz w:w="11906" w:h="16838"/>
          <w:pgMar w:top="1418" w:right="1418" w:bottom="1418" w:left="1701" w:header="851" w:footer="992" w:gutter="0"/>
          <w:pgNumType w:start="1"/>
          <w:cols w:space="720" w:num="1"/>
          <w:docGrid w:linePitch="312" w:charSpace="0"/>
        </w:sectPr>
      </w:pPr>
    </w:p>
    <w:p>
      <w:pPr>
        <w:pStyle w:val="6"/>
        <w:bidi w:val="0"/>
        <w:rPr>
          <w:color w:val="auto"/>
        </w:rPr>
      </w:pPr>
      <w:bookmarkStart w:id="9" w:name="_Toc29129"/>
      <w:r>
        <w:rPr>
          <w:color w:val="auto"/>
        </w:rPr>
        <w:t>总则</w:t>
      </w:r>
      <w:bookmarkEnd w:id="9"/>
    </w:p>
    <w:p>
      <w:pPr>
        <w:pStyle w:val="7"/>
        <w:bidi w:val="0"/>
        <w:rPr>
          <w:color w:val="auto"/>
        </w:rPr>
      </w:pPr>
      <w:bookmarkStart w:id="10" w:name="_Toc10361"/>
      <w:bookmarkStart w:id="11" w:name="_Toc498610062"/>
      <w:r>
        <w:rPr>
          <w:color w:val="auto"/>
        </w:rPr>
        <w:t>评价目的</w:t>
      </w:r>
      <w:bookmarkEnd w:id="10"/>
      <w:bookmarkEnd w:id="11"/>
    </w:p>
    <w:p>
      <w:pPr>
        <w:ind w:firstLine="480"/>
        <w:rPr>
          <w:rFonts w:hint="eastAsia"/>
          <w:color w:val="auto"/>
        </w:rPr>
      </w:pPr>
      <w:r>
        <w:rPr>
          <w:rFonts w:hint="eastAsia"/>
          <w:color w:val="auto"/>
        </w:rPr>
        <w:t>本项目是</w:t>
      </w:r>
      <w:r>
        <w:rPr>
          <w:rFonts w:hint="eastAsia"/>
          <w:color w:val="auto"/>
          <w:lang w:val="en-US" w:eastAsia="zh-CN"/>
        </w:rPr>
        <w:t>生猪养殖项目</w:t>
      </w:r>
      <w:r>
        <w:rPr>
          <w:rFonts w:hint="eastAsia"/>
          <w:color w:val="auto"/>
        </w:rPr>
        <w:t>，对环境的影响主要体现在空气、土壤、地下水、地表水及声环境方面。因此确定本次环境评价工作的具体的目的及要求是：</w:t>
      </w:r>
    </w:p>
    <w:p>
      <w:pPr>
        <w:ind w:firstLine="480"/>
        <w:rPr>
          <w:rFonts w:hint="eastAsia"/>
          <w:color w:val="auto"/>
        </w:rPr>
      </w:pPr>
      <w:r>
        <w:rPr>
          <w:rFonts w:hint="eastAsia"/>
          <w:color w:val="auto"/>
        </w:rPr>
        <w:t>（1）通过资料收集、现场踏勘及对项目建设地空气等周围环境的调查，掌握建设地常规环境质量现状，确定主要保护目标；</w:t>
      </w:r>
    </w:p>
    <w:p>
      <w:pPr>
        <w:ind w:firstLine="480"/>
        <w:rPr>
          <w:rFonts w:hint="eastAsia"/>
          <w:color w:val="auto"/>
        </w:rPr>
      </w:pPr>
      <w:r>
        <w:rPr>
          <w:rFonts w:hint="eastAsia"/>
          <w:color w:val="auto"/>
        </w:rPr>
        <w:t>（2）调查对该建设项目的工程内容和工艺路线进行分析，确定项目可能产生的污染源、污染物种类、排放特征及污染物变化情况，计算项目废水、废气、噪声及固废等污染物发生、排放情况，并预测分析项目对周围环境的影响；</w:t>
      </w:r>
    </w:p>
    <w:p>
      <w:pPr>
        <w:ind w:firstLine="480"/>
        <w:rPr>
          <w:rFonts w:hint="eastAsia"/>
          <w:color w:val="auto"/>
        </w:rPr>
      </w:pPr>
      <w:r>
        <w:rPr>
          <w:rFonts w:hint="eastAsia"/>
          <w:color w:val="auto"/>
        </w:rPr>
        <w:t>（3）根据工程分析和影响预测评价的结果，对建设单位选用的污染治理措施作出评价，提出有关治理措施及建议，为管理部门及建设单位的环境管理提供参考；</w:t>
      </w:r>
    </w:p>
    <w:p>
      <w:pPr>
        <w:ind w:firstLine="480"/>
        <w:rPr>
          <w:rFonts w:hint="eastAsia"/>
          <w:color w:val="auto"/>
        </w:rPr>
      </w:pPr>
      <w:r>
        <w:rPr>
          <w:rFonts w:hint="eastAsia"/>
          <w:color w:val="auto"/>
        </w:rPr>
        <w:t>（4）核算本项目的污染物排放总量，同时对本项目提出环境管理和环境监测制度建议；</w:t>
      </w:r>
    </w:p>
    <w:p>
      <w:pPr>
        <w:ind w:firstLine="480"/>
        <w:rPr>
          <w:rFonts w:hint="eastAsia"/>
          <w:color w:val="auto"/>
        </w:rPr>
      </w:pPr>
      <w:r>
        <w:rPr>
          <w:rFonts w:hint="eastAsia"/>
          <w:color w:val="auto"/>
        </w:rPr>
        <w:t>（5）从环境保护的角度，明确给出项目建设的可行性结论。</w:t>
      </w:r>
    </w:p>
    <w:p>
      <w:pPr>
        <w:pStyle w:val="7"/>
        <w:bidi w:val="0"/>
        <w:rPr>
          <w:color w:val="auto"/>
        </w:rPr>
      </w:pPr>
      <w:bookmarkStart w:id="12" w:name="_Toc498610063"/>
      <w:bookmarkStart w:id="13" w:name="_Toc27638"/>
      <w:r>
        <w:rPr>
          <w:color w:val="auto"/>
        </w:rPr>
        <w:t>评价原则</w:t>
      </w:r>
      <w:bookmarkEnd w:id="12"/>
      <w:bookmarkEnd w:id="13"/>
    </w:p>
    <w:p>
      <w:pPr>
        <w:ind w:firstLine="480"/>
        <w:rPr>
          <w:color w:val="auto"/>
        </w:rPr>
      </w:pPr>
      <w:r>
        <w:rPr>
          <w:color w:val="auto"/>
        </w:rPr>
        <w:t>突出环境影响评价的源头预防作用，坚持保护和改善环境质量。</w:t>
      </w:r>
    </w:p>
    <w:p>
      <w:pPr>
        <w:ind w:firstLine="480"/>
        <w:rPr>
          <w:color w:val="auto"/>
        </w:rPr>
      </w:pPr>
      <w:r>
        <w:rPr>
          <w:color w:val="auto"/>
        </w:rPr>
        <w:t>（1）依法评价</w:t>
      </w:r>
    </w:p>
    <w:p>
      <w:pPr>
        <w:ind w:firstLine="480"/>
        <w:rPr>
          <w:color w:val="auto"/>
        </w:rPr>
      </w:pPr>
      <w:r>
        <w:rPr>
          <w:color w:val="auto"/>
        </w:rPr>
        <w:t>贯彻执行我国环境保护相关法律法规、标准、政策和规划等，优化项目建设，服务环境管理。</w:t>
      </w:r>
    </w:p>
    <w:p>
      <w:pPr>
        <w:ind w:firstLine="480"/>
        <w:rPr>
          <w:color w:val="auto"/>
        </w:rPr>
      </w:pPr>
      <w:r>
        <w:rPr>
          <w:color w:val="auto"/>
        </w:rPr>
        <w:t>（2）科学评价</w:t>
      </w:r>
    </w:p>
    <w:p>
      <w:pPr>
        <w:ind w:firstLine="480"/>
        <w:rPr>
          <w:color w:val="auto"/>
        </w:rPr>
      </w:pPr>
      <w:r>
        <w:rPr>
          <w:color w:val="auto"/>
        </w:rPr>
        <w:t>规范环境影响评价方法，科学分析项目建设对环境质量的影响。</w:t>
      </w:r>
    </w:p>
    <w:p>
      <w:pPr>
        <w:ind w:firstLine="480"/>
        <w:rPr>
          <w:color w:val="auto"/>
        </w:rPr>
      </w:pPr>
      <w:r>
        <w:rPr>
          <w:color w:val="auto"/>
        </w:rPr>
        <w:t>（3）突出重点</w:t>
      </w:r>
    </w:p>
    <w:p>
      <w:pPr>
        <w:ind w:firstLine="480"/>
        <w:rPr>
          <w:color w:val="auto"/>
        </w:rPr>
      </w:pPr>
      <w:r>
        <w:rPr>
          <w:color w:val="auto"/>
        </w:rPr>
        <w:t>根据项目工程内容及其特点，明确与环境要素间的作用效应关系，根据规划环境影响评价结论和审查意见，充分利用符合时效的数据资料及成果，对建设项目主要环境影响予以重点分析和评价。</w:t>
      </w:r>
    </w:p>
    <w:p>
      <w:pPr>
        <w:pStyle w:val="7"/>
        <w:bidi w:val="0"/>
        <w:rPr>
          <w:color w:val="auto"/>
        </w:rPr>
      </w:pPr>
      <w:bookmarkStart w:id="14" w:name="_Toc5572"/>
      <w:bookmarkStart w:id="15" w:name="_Toc498610064"/>
      <w:r>
        <w:rPr>
          <w:color w:val="auto"/>
        </w:rPr>
        <w:t>编制依据</w:t>
      </w:r>
      <w:bookmarkEnd w:id="14"/>
      <w:bookmarkEnd w:id="15"/>
    </w:p>
    <w:p>
      <w:pPr>
        <w:pStyle w:val="8"/>
        <w:bidi w:val="0"/>
        <w:rPr>
          <w:color w:val="auto"/>
        </w:rPr>
      </w:pPr>
      <w:r>
        <w:rPr>
          <w:color w:val="auto"/>
        </w:rPr>
        <w:t>法律、法规、规章及规范性文件</w:t>
      </w:r>
    </w:p>
    <w:p>
      <w:pPr>
        <w:pStyle w:val="16"/>
        <w:ind w:firstLine="480"/>
        <w:rPr>
          <w:rFonts w:ascii="Times New Roman" w:hAnsi="Times New Roman"/>
          <w:color w:val="auto"/>
        </w:rPr>
      </w:pPr>
      <w:r>
        <w:rPr>
          <w:rFonts w:ascii="Times New Roman" w:hAnsi="Times New Roman"/>
          <w:color w:val="auto"/>
        </w:rPr>
        <w:t>1、《中华人民共和国环境保护法》（2014年4月24日修订，2015年1月1日起施行）；</w:t>
      </w:r>
    </w:p>
    <w:p>
      <w:pPr>
        <w:pStyle w:val="16"/>
        <w:ind w:firstLine="480"/>
        <w:rPr>
          <w:rFonts w:ascii="Times New Roman" w:hAnsi="Times New Roman"/>
          <w:color w:val="auto"/>
        </w:rPr>
      </w:pPr>
      <w:r>
        <w:rPr>
          <w:rFonts w:ascii="Times New Roman" w:hAnsi="Times New Roman"/>
          <w:color w:val="auto"/>
        </w:rPr>
        <w:t>2、《中华人民共和国环境影响评价法》（2018年12月29日修订）；</w:t>
      </w:r>
    </w:p>
    <w:p>
      <w:pPr>
        <w:pStyle w:val="16"/>
        <w:ind w:firstLine="480"/>
        <w:rPr>
          <w:rFonts w:ascii="Times New Roman" w:hAnsi="Times New Roman"/>
          <w:color w:val="auto"/>
        </w:rPr>
      </w:pPr>
      <w:r>
        <w:rPr>
          <w:rFonts w:ascii="Times New Roman" w:hAnsi="Times New Roman"/>
          <w:color w:val="auto"/>
        </w:rPr>
        <w:t>3、《中华人民共和国水污染防治法》（2017年6月27日</w:t>
      </w:r>
      <w:r>
        <w:rPr>
          <w:rFonts w:hint="eastAsia" w:ascii="Times New Roman" w:hAnsi="Times New Roman"/>
          <w:color w:val="auto"/>
        </w:rPr>
        <w:t>修订</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4、《中华人民共和国大气污染防治法》（2018年11月13日修订）；</w:t>
      </w:r>
    </w:p>
    <w:p>
      <w:pPr>
        <w:pStyle w:val="16"/>
        <w:ind w:firstLine="480"/>
        <w:rPr>
          <w:rFonts w:ascii="Times New Roman" w:hAnsi="Times New Roman"/>
          <w:color w:val="auto"/>
        </w:rPr>
      </w:pPr>
      <w:r>
        <w:rPr>
          <w:rFonts w:ascii="Times New Roman" w:hAnsi="Times New Roman"/>
          <w:color w:val="auto"/>
        </w:rPr>
        <w:t>5、《中华人民共和国环境噪声污染防治法》（2018年12月29日修订）；</w:t>
      </w:r>
    </w:p>
    <w:p>
      <w:pPr>
        <w:pStyle w:val="16"/>
        <w:ind w:firstLine="480"/>
        <w:rPr>
          <w:rFonts w:ascii="Times New Roman" w:hAnsi="Times New Roman"/>
          <w:color w:val="auto"/>
        </w:rPr>
      </w:pPr>
      <w:r>
        <w:rPr>
          <w:rFonts w:ascii="Times New Roman" w:hAnsi="Times New Roman"/>
          <w:color w:val="auto"/>
        </w:rPr>
        <w:t>6、《中华人民共和国固体废物污染环境防治法》（2020年4月29日修订）；</w:t>
      </w:r>
    </w:p>
    <w:p>
      <w:pPr>
        <w:pStyle w:val="16"/>
        <w:ind w:firstLine="480"/>
        <w:rPr>
          <w:rFonts w:ascii="Times New Roman" w:hAnsi="Times New Roman"/>
          <w:color w:val="auto"/>
        </w:rPr>
      </w:pPr>
      <w:r>
        <w:rPr>
          <w:rFonts w:ascii="Times New Roman" w:hAnsi="Times New Roman"/>
          <w:color w:val="auto"/>
        </w:rPr>
        <w:t>7、《中华人民共和国土地管理法》（2004</w:t>
      </w:r>
      <w:r>
        <w:rPr>
          <w:rFonts w:hint="eastAsia" w:ascii="Times New Roman" w:hAnsi="Times New Roman"/>
          <w:color w:val="auto"/>
        </w:rPr>
        <w:t>年</w:t>
      </w:r>
      <w:r>
        <w:rPr>
          <w:rFonts w:ascii="Times New Roman" w:hAnsi="Times New Roman"/>
          <w:color w:val="auto"/>
        </w:rPr>
        <w:t>8</w:t>
      </w:r>
      <w:r>
        <w:rPr>
          <w:rFonts w:hint="eastAsia" w:ascii="Times New Roman" w:hAnsi="Times New Roman"/>
          <w:color w:val="auto"/>
        </w:rPr>
        <w:t>月</w:t>
      </w:r>
      <w:r>
        <w:rPr>
          <w:rFonts w:ascii="Times New Roman" w:hAnsi="Times New Roman"/>
          <w:color w:val="auto"/>
        </w:rPr>
        <w:t>28</w:t>
      </w:r>
      <w:r>
        <w:rPr>
          <w:rFonts w:hint="eastAsia" w:ascii="Times New Roman" w:hAnsi="Times New Roman"/>
          <w:color w:val="auto"/>
        </w:rPr>
        <w:t>日修订</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8、《中华人民共和国水土保持法》（2011</w:t>
      </w:r>
      <w:r>
        <w:rPr>
          <w:rFonts w:hint="eastAsia" w:ascii="Times New Roman" w:hAnsi="Times New Roman"/>
          <w:color w:val="auto"/>
        </w:rPr>
        <w:t>年</w:t>
      </w:r>
      <w:r>
        <w:rPr>
          <w:rFonts w:ascii="Times New Roman" w:hAnsi="Times New Roman"/>
          <w:color w:val="auto"/>
        </w:rPr>
        <w:t>3</w:t>
      </w:r>
      <w:r>
        <w:rPr>
          <w:rFonts w:hint="eastAsia" w:ascii="Times New Roman" w:hAnsi="Times New Roman"/>
          <w:color w:val="auto"/>
        </w:rPr>
        <w:t>月1日修订施行</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9、《中华人民共和国水法》（2016年7月</w:t>
      </w:r>
      <w:r>
        <w:rPr>
          <w:rFonts w:hint="eastAsia" w:ascii="Times New Roman" w:hAnsi="Times New Roman"/>
          <w:color w:val="auto"/>
        </w:rPr>
        <w:t>2日</w:t>
      </w:r>
      <w:r>
        <w:rPr>
          <w:rFonts w:ascii="Times New Roman" w:hAnsi="Times New Roman"/>
          <w:color w:val="auto"/>
        </w:rPr>
        <w:t>修订</w:t>
      </w:r>
      <w:r>
        <w:rPr>
          <w:rFonts w:hint="eastAsia" w:ascii="Times New Roman" w:hAnsi="Times New Roman"/>
          <w:color w:val="auto"/>
        </w:rPr>
        <w:t>实施</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10《中华人民共和国动物防疫法》（2015</w:t>
      </w:r>
      <w:r>
        <w:rPr>
          <w:rFonts w:hint="eastAsia" w:ascii="Times New Roman" w:hAnsi="Times New Roman"/>
          <w:color w:val="auto"/>
        </w:rPr>
        <w:t>年</w:t>
      </w:r>
      <w:r>
        <w:rPr>
          <w:rFonts w:ascii="Times New Roman" w:hAnsi="Times New Roman"/>
          <w:color w:val="auto"/>
        </w:rPr>
        <w:t>4</w:t>
      </w:r>
      <w:r>
        <w:rPr>
          <w:rFonts w:hint="eastAsia" w:ascii="Times New Roman" w:hAnsi="Times New Roman"/>
          <w:color w:val="auto"/>
        </w:rPr>
        <w:t>月</w:t>
      </w:r>
      <w:r>
        <w:rPr>
          <w:rFonts w:ascii="Times New Roman" w:hAnsi="Times New Roman"/>
          <w:color w:val="auto"/>
        </w:rPr>
        <w:t>24</w:t>
      </w:r>
      <w:r>
        <w:rPr>
          <w:rFonts w:hint="eastAsia" w:ascii="Times New Roman" w:hAnsi="Times New Roman"/>
          <w:color w:val="auto"/>
        </w:rPr>
        <w:t>日修订</w:t>
      </w:r>
      <w:r>
        <w:rPr>
          <w:rFonts w:ascii="Times New Roman" w:hAnsi="Times New Roman"/>
          <w:color w:val="auto"/>
        </w:rPr>
        <w:t>施行）；</w:t>
      </w:r>
    </w:p>
    <w:p>
      <w:pPr>
        <w:pStyle w:val="16"/>
        <w:ind w:firstLine="480"/>
        <w:rPr>
          <w:rFonts w:ascii="Times New Roman" w:hAnsi="Times New Roman"/>
          <w:color w:val="auto"/>
        </w:rPr>
      </w:pPr>
      <w:r>
        <w:rPr>
          <w:rFonts w:ascii="Times New Roman" w:hAnsi="Times New Roman"/>
          <w:color w:val="auto"/>
        </w:rPr>
        <w:t>11、《中华人民共和国畜牧法》（2015</w:t>
      </w:r>
      <w:r>
        <w:rPr>
          <w:rFonts w:hint="eastAsia" w:ascii="Times New Roman" w:hAnsi="Times New Roman"/>
          <w:color w:val="auto"/>
        </w:rPr>
        <w:t>年</w:t>
      </w:r>
      <w:r>
        <w:rPr>
          <w:rFonts w:ascii="Times New Roman" w:hAnsi="Times New Roman"/>
          <w:color w:val="auto"/>
        </w:rPr>
        <w:t>4</w:t>
      </w:r>
      <w:r>
        <w:rPr>
          <w:rFonts w:hint="eastAsia" w:ascii="Times New Roman" w:hAnsi="Times New Roman"/>
          <w:color w:val="auto"/>
        </w:rPr>
        <w:t>月</w:t>
      </w:r>
      <w:r>
        <w:rPr>
          <w:rFonts w:ascii="Times New Roman" w:hAnsi="Times New Roman"/>
          <w:color w:val="auto"/>
        </w:rPr>
        <w:t>24</w:t>
      </w:r>
      <w:r>
        <w:rPr>
          <w:rFonts w:hint="eastAsia" w:ascii="Times New Roman" w:hAnsi="Times New Roman"/>
          <w:color w:val="auto"/>
        </w:rPr>
        <w:t>日修订施行</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12、</w:t>
      </w:r>
      <w:r>
        <w:rPr>
          <w:rFonts w:hint="eastAsia" w:ascii="Times New Roman" w:hAnsi="Times New Roman"/>
          <w:color w:val="auto"/>
        </w:rPr>
        <w:t>《中华人民共和国清洁生产促进法》，2012年7月1日修订施行；</w:t>
      </w:r>
    </w:p>
    <w:p>
      <w:pPr>
        <w:pStyle w:val="16"/>
        <w:ind w:firstLine="480"/>
        <w:rPr>
          <w:rFonts w:ascii="Times New Roman" w:hAnsi="Times New Roman"/>
          <w:color w:val="auto"/>
        </w:rPr>
      </w:pPr>
      <w:r>
        <w:rPr>
          <w:rFonts w:ascii="Times New Roman" w:hAnsi="Times New Roman"/>
          <w:color w:val="auto"/>
        </w:rPr>
        <w:t>13、《中华人民共和国循环经济促进法》（</w:t>
      </w:r>
      <w:r>
        <w:rPr>
          <w:rFonts w:hint="eastAsia" w:ascii="Times New Roman" w:hAnsi="Times New Roman"/>
          <w:color w:val="auto"/>
        </w:rPr>
        <w:t>2018年10月26日修订实施</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14、《建设项目环境保护管理条例》（</w:t>
      </w:r>
      <w:r>
        <w:rPr>
          <w:rFonts w:hint="eastAsia" w:ascii="Times New Roman" w:hAnsi="Times New Roman"/>
          <w:color w:val="auto"/>
        </w:rPr>
        <w:t>中华人民共和国国务院令第683号</w:t>
      </w:r>
      <w:r>
        <w:rPr>
          <w:rFonts w:ascii="Times New Roman" w:hAnsi="Times New Roman"/>
          <w:color w:val="auto"/>
        </w:rPr>
        <w:t>，</w:t>
      </w:r>
      <w:r>
        <w:rPr>
          <w:rFonts w:hint="eastAsia" w:ascii="Times New Roman" w:hAnsi="Times New Roman"/>
          <w:color w:val="auto"/>
        </w:rPr>
        <w:t>2017年10月1日起施行</w:t>
      </w:r>
      <w:r>
        <w:rPr>
          <w:rFonts w:ascii="Times New Roman" w:hAnsi="Times New Roman"/>
          <w:color w:val="auto"/>
        </w:rPr>
        <w:t>）；</w:t>
      </w:r>
    </w:p>
    <w:p>
      <w:pPr>
        <w:pStyle w:val="16"/>
        <w:ind w:firstLine="480"/>
        <w:rPr>
          <w:rFonts w:hint="eastAsia" w:ascii="Times New Roman" w:hAnsi="Times New Roman"/>
          <w:color w:val="auto"/>
        </w:rPr>
      </w:pPr>
      <w:r>
        <w:rPr>
          <w:rFonts w:ascii="Times New Roman" w:hAnsi="Times New Roman"/>
          <w:color w:val="auto"/>
        </w:rPr>
        <w:t>15</w:t>
      </w:r>
      <w:r>
        <w:rPr>
          <w:rFonts w:hint="eastAsia" w:ascii="Times New Roman" w:hAnsi="Times New Roman"/>
          <w:color w:val="auto"/>
        </w:rPr>
        <w:t>、《建设项目环境影响评价分类管理名录》（华人民共和国环境保护部令第44号，2017年9月1日起实施，中华人民共和国生态环境部令第1号，2018年4月28 日修改）；</w:t>
      </w:r>
    </w:p>
    <w:p>
      <w:pPr>
        <w:pStyle w:val="16"/>
        <w:ind w:firstLine="480"/>
        <w:rPr>
          <w:rFonts w:ascii="Times New Roman" w:hAnsi="Times New Roman"/>
          <w:color w:val="auto"/>
        </w:rPr>
      </w:pPr>
      <w:r>
        <w:rPr>
          <w:rFonts w:ascii="Times New Roman" w:hAnsi="Times New Roman"/>
          <w:color w:val="auto"/>
        </w:rPr>
        <w:t>16、《国家危险废物名录》（</w:t>
      </w:r>
      <w:r>
        <w:rPr>
          <w:rFonts w:hint="eastAsia" w:ascii="Times New Roman" w:hAnsi="Times New Roman"/>
          <w:color w:val="auto"/>
        </w:rPr>
        <w:t xml:space="preserve"> 202</w:t>
      </w:r>
      <w:r>
        <w:rPr>
          <w:rFonts w:hint="eastAsia" w:ascii="Times New Roman" w:hAnsi="Times New Roman"/>
          <w:color w:val="auto"/>
          <w:lang w:val="en-US" w:eastAsia="zh-CN"/>
        </w:rPr>
        <w:t>1</w:t>
      </w:r>
      <w:r>
        <w:rPr>
          <w:rFonts w:hint="eastAsia" w:ascii="Times New Roman" w:hAnsi="Times New Roman"/>
          <w:color w:val="auto"/>
        </w:rPr>
        <w:t>年1月1日起施行</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17、《关于进一步加强环境影响评价管理防范环境风险的通知》（环发[2012]77号）；</w:t>
      </w:r>
    </w:p>
    <w:p>
      <w:pPr>
        <w:pStyle w:val="16"/>
        <w:ind w:firstLine="480"/>
        <w:rPr>
          <w:rFonts w:ascii="Times New Roman" w:hAnsi="Times New Roman"/>
          <w:color w:val="auto"/>
        </w:rPr>
      </w:pPr>
      <w:r>
        <w:rPr>
          <w:rFonts w:ascii="Times New Roman" w:hAnsi="Times New Roman"/>
          <w:color w:val="auto"/>
        </w:rPr>
        <w:t>18、《环境影响评价公众参与办法》（</w:t>
      </w:r>
      <w:r>
        <w:rPr>
          <w:rFonts w:hint="eastAsia" w:ascii="Times New Roman" w:hAnsi="Times New Roman"/>
          <w:color w:val="auto"/>
        </w:rPr>
        <w:t>2019年1月1日起施行</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19、《关于切实加强风险防范严格环境影响评价管理的通知》（环发[2012]98号）；</w:t>
      </w:r>
    </w:p>
    <w:p>
      <w:pPr>
        <w:pStyle w:val="16"/>
        <w:ind w:firstLine="480"/>
        <w:rPr>
          <w:rFonts w:ascii="Times New Roman" w:hAnsi="Times New Roman"/>
          <w:color w:val="auto"/>
        </w:rPr>
      </w:pPr>
      <w:r>
        <w:rPr>
          <w:rFonts w:ascii="Times New Roman" w:hAnsi="Times New Roman"/>
          <w:color w:val="auto"/>
        </w:rPr>
        <w:t>20、《产业结构调整指导目录（2019年本）》；</w:t>
      </w:r>
    </w:p>
    <w:p>
      <w:pPr>
        <w:pStyle w:val="16"/>
        <w:ind w:firstLine="480"/>
        <w:rPr>
          <w:rFonts w:ascii="Times New Roman" w:hAnsi="Times New Roman"/>
          <w:color w:val="auto"/>
        </w:rPr>
      </w:pPr>
      <w:r>
        <w:rPr>
          <w:rFonts w:ascii="Times New Roman" w:hAnsi="Times New Roman"/>
          <w:color w:val="auto"/>
        </w:rPr>
        <w:t>21、《建设项目环境影响评价政府信息公开指南（试行）》（环办[2013]103号）；</w:t>
      </w:r>
    </w:p>
    <w:p>
      <w:pPr>
        <w:pStyle w:val="16"/>
        <w:ind w:firstLine="480"/>
        <w:rPr>
          <w:rFonts w:ascii="Times New Roman" w:hAnsi="Times New Roman"/>
          <w:color w:val="auto"/>
        </w:rPr>
      </w:pPr>
      <w:r>
        <w:rPr>
          <w:rFonts w:ascii="Times New Roman" w:hAnsi="Times New Roman"/>
          <w:color w:val="auto"/>
        </w:rPr>
        <w:t>22、《畜禽养殖污染防治管理办法》（国家环保总局9号令，2001年5月）；</w:t>
      </w:r>
    </w:p>
    <w:p>
      <w:pPr>
        <w:pStyle w:val="16"/>
        <w:ind w:firstLine="480"/>
        <w:rPr>
          <w:rFonts w:ascii="Times New Roman" w:hAnsi="Times New Roman"/>
          <w:color w:val="auto"/>
        </w:rPr>
      </w:pPr>
      <w:r>
        <w:rPr>
          <w:rFonts w:ascii="Times New Roman" w:hAnsi="Times New Roman"/>
          <w:color w:val="auto"/>
        </w:rPr>
        <w:t>23、《畜禽规模养殖污染防治条例》（中华人民共和国国务院第643号令，2013年11月11日）；</w:t>
      </w:r>
    </w:p>
    <w:p>
      <w:pPr>
        <w:pStyle w:val="16"/>
        <w:ind w:firstLine="480"/>
        <w:rPr>
          <w:rFonts w:ascii="Times New Roman" w:hAnsi="Times New Roman"/>
          <w:color w:val="auto"/>
        </w:rPr>
      </w:pPr>
      <w:r>
        <w:rPr>
          <w:rFonts w:ascii="Times New Roman" w:hAnsi="Times New Roman"/>
          <w:color w:val="auto"/>
        </w:rPr>
        <w:t>24、国务院办公厅关于加快推进畜禽养殖废弃物资源化利用的意见国办发〔2017〕48号；</w:t>
      </w:r>
    </w:p>
    <w:p>
      <w:pPr>
        <w:pStyle w:val="16"/>
        <w:ind w:firstLine="480"/>
        <w:rPr>
          <w:rFonts w:ascii="Times New Roman" w:hAnsi="Times New Roman"/>
          <w:color w:val="auto"/>
        </w:rPr>
      </w:pPr>
      <w:r>
        <w:rPr>
          <w:rFonts w:ascii="Times New Roman" w:hAnsi="Times New Roman"/>
          <w:color w:val="auto"/>
        </w:rPr>
        <w:t>25、生态环境部部长信箱关于畜禽养殖业选址问题的回复，2018年02年26日；</w:t>
      </w:r>
    </w:p>
    <w:p>
      <w:pPr>
        <w:pStyle w:val="16"/>
        <w:ind w:firstLine="480"/>
        <w:rPr>
          <w:rFonts w:ascii="Times New Roman" w:hAnsi="Times New Roman"/>
          <w:color w:val="auto"/>
        </w:rPr>
      </w:pPr>
      <w:r>
        <w:rPr>
          <w:rFonts w:ascii="Times New Roman" w:hAnsi="Times New Roman"/>
          <w:color w:val="auto"/>
        </w:rPr>
        <w:t>26、</w:t>
      </w:r>
      <w:r>
        <w:rPr>
          <w:rFonts w:hint="eastAsia" w:ascii="Times New Roman" w:hAnsi="Times New Roman"/>
          <w:color w:val="auto"/>
        </w:rPr>
        <w:t>中华人民共和国环境保护部办公厅关于病害动物无害化处理有关意见的复函</w:t>
      </w:r>
      <w:r>
        <w:rPr>
          <w:rFonts w:ascii="Times New Roman" w:hAnsi="Times New Roman"/>
          <w:color w:val="auto"/>
        </w:rPr>
        <w:t>，</w:t>
      </w:r>
      <w:r>
        <w:rPr>
          <w:rFonts w:hint="eastAsia" w:ascii="Times New Roman" w:hAnsi="Times New Roman"/>
          <w:color w:val="auto"/>
        </w:rPr>
        <w:t>环办函[</w:t>
      </w:r>
      <w:r>
        <w:rPr>
          <w:rFonts w:ascii="Times New Roman" w:hAnsi="Times New Roman"/>
          <w:color w:val="auto"/>
        </w:rPr>
        <w:t>2014]789</w:t>
      </w:r>
      <w:r>
        <w:rPr>
          <w:rFonts w:hint="eastAsia" w:ascii="Times New Roman" w:hAnsi="Times New Roman"/>
          <w:color w:val="auto"/>
        </w:rPr>
        <w:t>号，</w:t>
      </w:r>
      <w:r>
        <w:rPr>
          <w:rFonts w:ascii="Times New Roman" w:hAnsi="Times New Roman"/>
          <w:color w:val="auto"/>
        </w:rPr>
        <w:t>2014年6月26日；</w:t>
      </w:r>
    </w:p>
    <w:p>
      <w:pPr>
        <w:pStyle w:val="16"/>
        <w:ind w:firstLine="480"/>
        <w:rPr>
          <w:rFonts w:hint="eastAsia" w:ascii="Times New Roman" w:hAnsi="Times New Roman"/>
          <w:color w:val="auto"/>
        </w:rPr>
      </w:pPr>
      <w:r>
        <w:rPr>
          <w:rFonts w:hint="eastAsia" w:ascii="Times New Roman" w:hAnsi="Times New Roman"/>
          <w:color w:val="auto"/>
        </w:rPr>
        <w:t>2</w:t>
      </w:r>
      <w:r>
        <w:rPr>
          <w:rFonts w:ascii="Times New Roman" w:hAnsi="Times New Roman"/>
          <w:color w:val="auto"/>
        </w:rPr>
        <w:t>7</w:t>
      </w:r>
      <w:r>
        <w:rPr>
          <w:rFonts w:hint="eastAsia" w:ascii="Times New Roman" w:hAnsi="Times New Roman"/>
          <w:color w:val="auto"/>
        </w:rPr>
        <w:t>、中华人民共和国环境保护部办公厅关于牧原食品股份有限公司部分养殖场清粪工艺问题的复函</w:t>
      </w:r>
      <w:r>
        <w:rPr>
          <w:rFonts w:ascii="Times New Roman" w:hAnsi="Times New Roman"/>
          <w:color w:val="auto"/>
        </w:rPr>
        <w:t>，</w:t>
      </w:r>
      <w:r>
        <w:rPr>
          <w:rFonts w:hint="eastAsia" w:ascii="Times New Roman" w:hAnsi="Times New Roman"/>
          <w:color w:val="auto"/>
        </w:rPr>
        <w:t>环办函〔2015〕425号，2015年3月24日</w:t>
      </w:r>
      <w:r>
        <w:rPr>
          <w:rFonts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28、生态环境部办公厅农业农村部办公厅关于进一步规范畜禽养殖禁养区划定和管理促进生猪生产发展的通知，环办土壤〔2019〕55号，2019年9月3日；</w:t>
      </w:r>
    </w:p>
    <w:p>
      <w:pPr>
        <w:pStyle w:val="16"/>
        <w:ind w:firstLine="480"/>
        <w:rPr>
          <w:rFonts w:ascii="Times New Roman" w:hAnsi="Times New Roman"/>
          <w:color w:val="auto"/>
        </w:rPr>
      </w:pPr>
      <w:r>
        <w:rPr>
          <w:rFonts w:ascii="Times New Roman" w:hAnsi="Times New Roman"/>
          <w:color w:val="auto"/>
        </w:rPr>
        <w:t>29、自然资源部办公厅关于保障生猪养殖用地有关问题的通知，2019年9月5日；</w:t>
      </w:r>
    </w:p>
    <w:p>
      <w:pPr>
        <w:pStyle w:val="16"/>
        <w:ind w:firstLine="480"/>
        <w:rPr>
          <w:rFonts w:ascii="Times New Roman" w:hAnsi="Times New Roman"/>
          <w:color w:val="auto"/>
        </w:rPr>
      </w:pPr>
      <w:r>
        <w:rPr>
          <w:rFonts w:ascii="Times New Roman" w:hAnsi="Times New Roman"/>
          <w:color w:val="auto"/>
        </w:rPr>
        <w:t>30、国务院办公厅关于稳定生猪生产促进转型升级的意见，国办发〔2019〕44号，2019年9月10日；</w:t>
      </w:r>
    </w:p>
    <w:p>
      <w:pPr>
        <w:pStyle w:val="16"/>
        <w:ind w:firstLine="480"/>
        <w:rPr>
          <w:rFonts w:ascii="Times New Roman" w:hAnsi="Times New Roman"/>
          <w:color w:val="auto"/>
        </w:rPr>
      </w:pPr>
      <w:r>
        <w:rPr>
          <w:rFonts w:ascii="Times New Roman" w:hAnsi="Times New Roman"/>
          <w:color w:val="auto"/>
        </w:rPr>
        <w:t>31、生态环境部办公厅关于进一步做好当前生猪规模养殖环评管理相关工作的通知，环办环评函〔2019〕872号，2019年11月29日；</w:t>
      </w:r>
    </w:p>
    <w:p>
      <w:pPr>
        <w:pStyle w:val="16"/>
        <w:ind w:firstLine="480"/>
        <w:rPr>
          <w:rFonts w:ascii="Times New Roman" w:hAnsi="Times New Roman"/>
          <w:color w:val="auto"/>
        </w:rPr>
      </w:pPr>
      <w:r>
        <w:rPr>
          <w:rFonts w:ascii="Times New Roman" w:hAnsi="Times New Roman"/>
          <w:color w:val="auto"/>
        </w:rPr>
        <w:t>32、农业农村部关于印发《加快生猪生产恢复发展三年行动方案》的通知，2019年12月4日；</w:t>
      </w:r>
    </w:p>
    <w:p>
      <w:pPr>
        <w:pStyle w:val="16"/>
        <w:ind w:firstLine="480"/>
        <w:rPr>
          <w:rFonts w:ascii="Times New Roman" w:hAnsi="Times New Roman"/>
          <w:color w:val="auto"/>
        </w:rPr>
      </w:pPr>
      <w:r>
        <w:rPr>
          <w:rFonts w:ascii="Times New Roman" w:hAnsi="Times New Roman"/>
          <w:color w:val="auto"/>
        </w:rPr>
        <w:t>33、国家发展改革委 农业农村部关于支持民营企业发展生猪生产及相关产业的实施意见，发改农经〔2020〕350号，2020年3月10日；</w:t>
      </w:r>
    </w:p>
    <w:p>
      <w:pPr>
        <w:pStyle w:val="16"/>
        <w:ind w:firstLine="480"/>
        <w:rPr>
          <w:rFonts w:ascii="Times New Roman" w:hAnsi="Times New Roman"/>
          <w:color w:val="auto"/>
        </w:rPr>
      </w:pPr>
      <w:r>
        <w:rPr>
          <w:rFonts w:ascii="Times New Roman" w:hAnsi="Times New Roman"/>
          <w:color w:val="auto"/>
        </w:rPr>
        <w:t>34、农业农村部办公厅 生态环境部办公厅关于进一步明确畜禽粪污还田利用要求强化养殖污染监管的通知，农办牧〔2020〕23号，2020年6月4日；</w:t>
      </w:r>
    </w:p>
    <w:p>
      <w:pPr>
        <w:pStyle w:val="16"/>
        <w:ind w:firstLine="480"/>
        <w:rPr>
          <w:rFonts w:ascii="Times New Roman" w:hAnsi="Times New Roman"/>
          <w:color w:val="auto"/>
        </w:rPr>
      </w:pPr>
      <w:r>
        <w:rPr>
          <w:rFonts w:ascii="Times New Roman" w:hAnsi="Times New Roman"/>
          <w:color w:val="auto"/>
        </w:rPr>
        <w:t>35、四川省自然资源厅 四川省农业农村厅关于进一步完善设施农业用地管理有关问题的通知，川自然资规〔2020〕3号，2020年2月28日；</w:t>
      </w:r>
    </w:p>
    <w:p>
      <w:pPr>
        <w:pStyle w:val="16"/>
        <w:ind w:firstLine="480"/>
        <w:rPr>
          <w:rFonts w:ascii="Times New Roman" w:hAnsi="Times New Roman"/>
          <w:color w:val="auto"/>
        </w:rPr>
      </w:pPr>
      <w:r>
        <w:rPr>
          <w:rFonts w:ascii="Times New Roman" w:hAnsi="Times New Roman"/>
          <w:color w:val="auto"/>
        </w:rPr>
        <w:t>36、四川省农业农村厅关于做好新（改扩）建生猪养殖场规模认定的通知，川农函〔2020〕211号，2020年3月13日；</w:t>
      </w:r>
    </w:p>
    <w:p>
      <w:pPr>
        <w:pStyle w:val="16"/>
        <w:ind w:firstLine="480"/>
        <w:rPr>
          <w:rFonts w:ascii="Times New Roman" w:hAnsi="Times New Roman"/>
          <w:color w:val="auto"/>
        </w:rPr>
      </w:pPr>
      <w:r>
        <w:rPr>
          <w:rFonts w:ascii="Times New Roman" w:hAnsi="Times New Roman"/>
          <w:color w:val="auto"/>
        </w:rPr>
        <w:t>37、绵阳市生态环境局 绵阳市农业农村局关于印发绵阳市畜禽养殖污染防治规划的通知，绵环发〔2019〕34 号，2019年2月19日；</w:t>
      </w:r>
    </w:p>
    <w:p>
      <w:pPr>
        <w:pStyle w:val="16"/>
        <w:ind w:firstLine="480"/>
        <w:rPr>
          <w:rFonts w:hint="eastAsia" w:ascii="Times New Roman" w:hAnsi="Times New Roman"/>
          <w:color w:val="auto"/>
        </w:rPr>
      </w:pPr>
      <w:r>
        <w:rPr>
          <w:rFonts w:ascii="Times New Roman" w:hAnsi="Times New Roman"/>
          <w:color w:val="auto"/>
        </w:rPr>
        <w:t>38、绵阳市生态环境局关于试行建设项目环境影响评价文件承诺审批的告知函，2020年4月22日</w:t>
      </w:r>
      <w:r>
        <w:rPr>
          <w:rFonts w:hint="eastAsia" w:ascii="Times New Roman" w:hAnsi="Times New Roman"/>
          <w:color w:val="auto"/>
        </w:rPr>
        <w:t>；</w:t>
      </w:r>
    </w:p>
    <w:p>
      <w:pPr>
        <w:pStyle w:val="16"/>
        <w:ind w:firstLine="480"/>
        <w:rPr>
          <w:rFonts w:ascii="Times New Roman" w:hAnsi="Times New Roman"/>
          <w:color w:val="auto"/>
        </w:rPr>
      </w:pPr>
      <w:r>
        <w:rPr>
          <w:rFonts w:ascii="Times New Roman" w:hAnsi="Times New Roman"/>
          <w:color w:val="auto"/>
        </w:rPr>
        <w:t>39、</w:t>
      </w:r>
      <w:r>
        <w:rPr>
          <w:rFonts w:hint="eastAsia" w:ascii="Times New Roman" w:hAnsi="Times New Roman"/>
          <w:color w:val="auto"/>
        </w:rPr>
        <w:t>绵阳市游仙区人民政府</w:t>
      </w:r>
      <w:r>
        <w:rPr>
          <w:rFonts w:ascii="Times New Roman" w:hAnsi="Times New Roman"/>
          <w:color w:val="auto"/>
        </w:rPr>
        <w:t>关于印发</w:t>
      </w:r>
      <w:r>
        <w:rPr>
          <w:rFonts w:hint="eastAsia" w:ascii="Times New Roman" w:hAnsi="Times New Roman"/>
          <w:color w:val="auto"/>
          <w:lang w:eastAsia="zh-CN"/>
        </w:rPr>
        <w:t>绵阳市游仙区畜禽养殖禁养区划定方案</w:t>
      </w:r>
      <w:r>
        <w:rPr>
          <w:rFonts w:ascii="Times New Roman" w:hAnsi="Times New Roman"/>
          <w:color w:val="auto"/>
        </w:rPr>
        <w:t>的通知，</w:t>
      </w:r>
      <w:r>
        <w:rPr>
          <w:rFonts w:hint="eastAsia" w:ascii="Times New Roman" w:hAnsi="Times New Roman"/>
          <w:color w:val="auto"/>
          <w:lang w:eastAsia="zh-CN"/>
        </w:rPr>
        <w:t>绵游府发〔2019〕12 号</w:t>
      </w:r>
      <w:r>
        <w:rPr>
          <w:rFonts w:ascii="Times New Roman" w:hAnsi="Times New Roman"/>
          <w:color w:val="auto"/>
        </w:rPr>
        <w:t>，2019年10月2</w:t>
      </w:r>
      <w:r>
        <w:rPr>
          <w:rFonts w:hint="eastAsia" w:ascii="Times New Roman" w:hAnsi="Times New Roman"/>
          <w:color w:val="auto"/>
          <w:lang w:val="en-US" w:eastAsia="zh-CN"/>
        </w:rPr>
        <w:t>4</w:t>
      </w:r>
      <w:r>
        <w:rPr>
          <w:rFonts w:ascii="Times New Roman" w:hAnsi="Times New Roman"/>
          <w:color w:val="auto"/>
        </w:rPr>
        <w:t>日</w:t>
      </w:r>
      <w:r>
        <w:rPr>
          <w:rFonts w:hint="eastAsia" w:ascii="Times New Roman" w:hAnsi="Times New Roman"/>
          <w:color w:val="auto"/>
        </w:rPr>
        <w:t>。</w:t>
      </w:r>
    </w:p>
    <w:p>
      <w:pPr>
        <w:pStyle w:val="8"/>
        <w:bidi w:val="0"/>
        <w:rPr>
          <w:color w:val="auto"/>
        </w:rPr>
      </w:pPr>
      <w:r>
        <w:rPr>
          <w:color w:val="auto"/>
        </w:rPr>
        <w:t>养殖行业相关规范</w:t>
      </w:r>
    </w:p>
    <w:p>
      <w:pPr>
        <w:ind w:firstLine="480"/>
        <w:rPr>
          <w:color w:val="auto"/>
        </w:rPr>
      </w:pPr>
      <w:r>
        <w:rPr>
          <w:color w:val="auto"/>
        </w:rPr>
        <w:t>1、《畜禽养殖业污染治理工程技术规范》（HJ497-2009）；</w:t>
      </w:r>
    </w:p>
    <w:p>
      <w:pPr>
        <w:ind w:firstLine="480"/>
        <w:rPr>
          <w:color w:val="auto"/>
        </w:rPr>
      </w:pPr>
      <w:r>
        <w:rPr>
          <w:color w:val="auto"/>
        </w:rPr>
        <w:t>2、《畜禽养殖业污染防治技术规范》（HJ/T81-2001）；</w:t>
      </w:r>
    </w:p>
    <w:p>
      <w:pPr>
        <w:ind w:firstLine="480"/>
        <w:rPr>
          <w:color w:val="auto"/>
        </w:rPr>
      </w:pPr>
      <w:r>
        <w:rPr>
          <w:color w:val="auto"/>
        </w:rPr>
        <w:t>3、《畜禽养殖业污染物排放标准》（GB 18596-2001）；</w:t>
      </w:r>
    </w:p>
    <w:p>
      <w:pPr>
        <w:ind w:firstLine="480"/>
        <w:rPr>
          <w:color w:val="auto"/>
        </w:rPr>
      </w:pPr>
      <w:r>
        <w:rPr>
          <w:color w:val="auto"/>
        </w:rPr>
        <w:t>4、《畜禽养殖产地环境评价规范》（HJ568-2010）；</w:t>
      </w:r>
    </w:p>
    <w:p>
      <w:pPr>
        <w:ind w:firstLine="480"/>
        <w:rPr>
          <w:color w:val="auto"/>
        </w:rPr>
      </w:pPr>
      <w:r>
        <w:rPr>
          <w:color w:val="auto"/>
        </w:rPr>
        <w:t>5、《畜禽粪便无害化处理技术规范》（NY/T1168-2006）；</w:t>
      </w:r>
    </w:p>
    <w:p>
      <w:pPr>
        <w:ind w:firstLine="480"/>
        <w:rPr>
          <w:color w:val="auto"/>
        </w:rPr>
      </w:pPr>
      <w:r>
        <w:rPr>
          <w:color w:val="auto"/>
        </w:rPr>
        <w:t>6、《畜禽粪污资源化利用行动方案（2017-2020）》（农牧发【2017】11号文）；</w:t>
      </w:r>
    </w:p>
    <w:p>
      <w:pPr>
        <w:ind w:firstLine="480"/>
        <w:rPr>
          <w:color w:val="auto"/>
        </w:rPr>
      </w:pPr>
      <w:r>
        <w:rPr>
          <w:color w:val="auto"/>
        </w:rPr>
        <w:t>7、《畜禽粪便还田技术规范》（GB/T 25246-2010）；</w:t>
      </w:r>
    </w:p>
    <w:p>
      <w:pPr>
        <w:ind w:firstLine="480"/>
        <w:rPr>
          <w:color w:val="auto"/>
        </w:rPr>
      </w:pPr>
      <w:r>
        <w:rPr>
          <w:color w:val="auto"/>
        </w:rPr>
        <w:t>8、《畜禽养殖业产污系数与排污系数手册》；</w:t>
      </w:r>
    </w:p>
    <w:p>
      <w:pPr>
        <w:ind w:firstLine="480"/>
        <w:rPr>
          <w:color w:val="auto"/>
        </w:rPr>
      </w:pPr>
      <w:r>
        <w:rPr>
          <w:color w:val="auto"/>
        </w:rPr>
        <w:t>9、《</w:t>
      </w:r>
      <w:r>
        <w:rPr>
          <w:rFonts w:hint="eastAsia"/>
          <w:color w:val="auto"/>
        </w:rPr>
        <w:t>猪饲养标准</w:t>
      </w:r>
      <w:r>
        <w:rPr>
          <w:color w:val="auto"/>
        </w:rPr>
        <w:t>》（NY/T 65-2004）；</w:t>
      </w:r>
    </w:p>
    <w:p>
      <w:pPr>
        <w:ind w:firstLine="480"/>
        <w:rPr>
          <w:color w:val="auto"/>
        </w:rPr>
      </w:pPr>
      <w:r>
        <w:rPr>
          <w:color w:val="auto"/>
        </w:rPr>
        <w:t>10、《规模猪场生产技术规程》（GB/T 17824.2-2008）；</w:t>
      </w:r>
    </w:p>
    <w:p>
      <w:pPr>
        <w:ind w:firstLine="480"/>
        <w:rPr>
          <w:color w:val="auto"/>
        </w:rPr>
      </w:pPr>
      <w:r>
        <w:rPr>
          <w:color w:val="auto"/>
        </w:rPr>
        <w:t>11、《</w:t>
      </w:r>
      <w:r>
        <w:rPr>
          <w:rFonts w:hint="eastAsia"/>
          <w:color w:val="auto"/>
        </w:rPr>
        <w:t>无公害食品 生猪饲养管理准则</w:t>
      </w:r>
      <w:r>
        <w:rPr>
          <w:color w:val="auto"/>
        </w:rPr>
        <w:t>》（NY/T 5033-2001）；</w:t>
      </w:r>
    </w:p>
    <w:p>
      <w:pPr>
        <w:ind w:firstLine="480"/>
        <w:rPr>
          <w:color w:val="auto"/>
        </w:rPr>
      </w:pPr>
      <w:r>
        <w:rPr>
          <w:color w:val="auto"/>
        </w:rPr>
        <w:t>12、《村镇规划卫生规范》（GB18055-2012）；</w:t>
      </w:r>
    </w:p>
    <w:p>
      <w:pPr>
        <w:ind w:firstLine="480"/>
        <w:rPr>
          <w:rFonts w:hint="eastAsia"/>
          <w:color w:val="auto"/>
        </w:rPr>
      </w:pPr>
      <w:r>
        <w:rPr>
          <w:rFonts w:hint="eastAsia"/>
          <w:color w:val="auto"/>
        </w:rPr>
        <w:t>1</w:t>
      </w:r>
      <w:r>
        <w:rPr>
          <w:color w:val="auto"/>
        </w:rPr>
        <w:t>3</w:t>
      </w:r>
      <w:r>
        <w:rPr>
          <w:rFonts w:hint="eastAsia"/>
          <w:color w:val="auto"/>
        </w:rPr>
        <w:t>、四川省地方标准《规模猪场建设技术规范》（DB51/ T1073-2010）；</w:t>
      </w:r>
    </w:p>
    <w:p>
      <w:pPr>
        <w:ind w:firstLine="480"/>
        <w:rPr>
          <w:color w:val="auto"/>
        </w:rPr>
      </w:pPr>
      <w:r>
        <w:rPr>
          <w:color w:val="auto"/>
        </w:rPr>
        <w:t>14、《四川省畜禽养殖污染防治技术指南（试行）》（川农业函【2017】647号）；</w:t>
      </w:r>
    </w:p>
    <w:p>
      <w:pPr>
        <w:ind w:firstLine="480"/>
        <w:rPr>
          <w:color w:val="auto"/>
        </w:rPr>
      </w:pPr>
      <w:r>
        <w:rPr>
          <w:color w:val="auto"/>
        </w:rPr>
        <w:t>15、《病死及病害动物无害化技术规范》（农医发【2017】25号）；</w:t>
      </w:r>
    </w:p>
    <w:p>
      <w:pPr>
        <w:ind w:firstLine="480"/>
        <w:rPr>
          <w:color w:val="auto"/>
        </w:rPr>
      </w:pPr>
      <w:r>
        <w:rPr>
          <w:color w:val="auto"/>
        </w:rPr>
        <w:t>16、《畜禽粪污土地承载能力测算技术指南》（农办牧【2018】1号）；</w:t>
      </w:r>
    </w:p>
    <w:p>
      <w:pPr>
        <w:ind w:firstLine="480"/>
        <w:rPr>
          <w:color w:val="auto"/>
        </w:rPr>
      </w:pPr>
      <w:r>
        <w:rPr>
          <w:color w:val="auto"/>
        </w:rPr>
        <w:t>17、</w:t>
      </w:r>
      <w:r>
        <w:rPr>
          <w:rFonts w:hint="eastAsia"/>
          <w:color w:val="auto"/>
        </w:rPr>
        <w:t>生态环境部部长信箱《关于畜禽养殖业选址问题的回复》，2018年02年26日。</w:t>
      </w:r>
    </w:p>
    <w:p>
      <w:pPr>
        <w:pStyle w:val="8"/>
        <w:bidi w:val="0"/>
        <w:rPr>
          <w:color w:val="auto"/>
        </w:rPr>
      </w:pPr>
      <w:r>
        <w:rPr>
          <w:color w:val="auto"/>
        </w:rPr>
        <w:t>环境影响评价技术规范</w:t>
      </w:r>
    </w:p>
    <w:p>
      <w:pPr>
        <w:ind w:firstLine="480"/>
        <w:rPr>
          <w:color w:val="auto"/>
        </w:rPr>
      </w:pPr>
      <w:r>
        <w:rPr>
          <w:color w:val="auto"/>
        </w:rPr>
        <w:t>1、《建设项目环境影响评价技术导则 总纲》（HJ2.1-2016）；</w:t>
      </w:r>
    </w:p>
    <w:p>
      <w:pPr>
        <w:ind w:firstLine="480"/>
        <w:rPr>
          <w:color w:val="auto"/>
        </w:rPr>
      </w:pPr>
      <w:r>
        <w:rPr>
          <w:color w:val="auto"/>
        </w:rPr>
        <w:t>2、《环境影响评价技术导则 大气环境》（HJ2.2-2018）；</w:t>
      </w:r>
    </w:p>
    <w:p>
      <w:pPr>
        <w:ind w:firstLine="480"/>
        <w:rPr>
          <w:color w:val="auto"/>
        </w:rPr>
      </w:pPr>
      <w:r>
        <w:rPr>
          <w:color w:val="auto"/>
        </w:rPr>
        <w:t>3、《环境影响评价技术导则 地表水环境》（HJ2.3-2018）；</w:t>
      </w:r>
    </w:p>
    <w:p>
      <w:pPr>
        <w:ind w:firstLine="480"/>
        <w:rPr>
          <w:color w:val="auto"/>
        </w:rPr>
      </w:pPr>
      <w:r>
        <w:rPr>
          <w:color w:val="auto"/>
        </w:rPr>
        <w:t>4、《环境影响评价技术导则 地下水环境》（HJ610-2016）；</w:t>
      </w:r>
    </w:p>
    <w:p>
      <w:pPr>
        <w:ind w:firstLine="480"/>
        <w:rPr>
          <w:color w:val="auto"/>
        </w:rPr>
      </w:pPr>
      <w:r>
        <w:rPr>
          <w:color w:val="auto"/>
        </w:rPr>
        <w:t>5、《环境影响评价技术导则 声环境》（HJ2.4-2009）；</w:t>
      </w:r>
    </w:p>
    <w:p>
      <w:pPr>
        <w:ind w:firstLine="480"/>
        <w:rPr>
          <w:color w:val="auto"/>
        </w:rPr>
      </w:pPr>
      <w:r>
        <w:rPr>
          <w:color w:val="auto"/>
        </w:rPr>
        <w:t>6、《环境影响评价技术导则 生态影响》（HJ19-2011）；</w:t>
      </w:r>
    </w:p>
    <w:p>
      <w:pPr>
        <w:ind w:firstLine="480"/>
        <w:rPr>
          <w:color w:val="auto"/>
        </w:rPr>
      </w:pPr>
      <w:r>
        <w:rPr>
          <w:color w:val="auto"/>
        </w:rPr>
        <w:t>7、《建设项目环境风险评价技术导则》（HJ169-2018）；</w:t>
      </w:r>
    </w:p>
    <w:p>
      <w:pPr>
        <w:ind w:firstLine="480"/>
        <w:rPr>
          <w:color w:val="auto"/>
        </w:rPr>
      </w:pPr>
      <w:r>
        <w:rPr>
          <w:color w:val="auto"/>
        </w:rPr>
        <w:t>8、《环境影响评价技术导则 土壤环境》（HJ964-2018）</w:t>
      </w:r>
      <w:r>
        <w:rPr>
          <w:rFonts w:hint="eastAsia"/>
          <w:color w:val="auto"/>
        </w:rPr>
        <w:t>；</w:t>
      </w:r>
    </w:p>
    <w:p>
      <w:pPr>
        <w:ind w:firstLine="480"/>
        <w:rPr>
          <w:color w:val="auto"/>
          <w:szCs w:val="28"/>
        </w:rPr>
      </w:pPr>
      <w:r>
        <w:rPr>
          <w:rFonts w:hint="eastAsia"/>
          <w:color w:val="auto"/>
        </w:rPr>
        <w:t>9、</w:t>
      </w:r>
      <w:r>
        <w:rPr>
          <w:color w:val="auto"/>
          <w:szCs w:val="28"/>
        </w:rPr>
        <w:t>《水土保持综合治理技术规范》（GB/T16453.1~6-2008）</w:t>
      </w:r>
      <w:r>
        <w:rPr>
          <w:rFonts w:hint="eastAsia"/>
          <w:color w:val="auto"/>
          <w:szCs w:val="28"/>
        </w:rPr>
        <w:t>；</w:t>
      </w:r>
    </w:p>
    <w:p>
      <w:pPr>
        <w:ind w:firstLine="480"/>
        <w:rPr>
          <w:color w:val="auto"/>
        </w:rPr>
      </w:pPr>
      <w:r>
        <w:rPr>
          <w:rFonts w:hint="eastAsia"/>
          <w:color w:val="auto"/>
        </w:rPr>
        <w:t>1</w:t>
      </w:r>
      <w:r>
        <w:rPr>
          <w:color w:val="auto"/>
        </w:rPr>
        <w:t>0</w:t>
      </w:r>
      <w:r>
        <w:rPr>
          <w:rFonts w:hint="eastAsia"/>
          <w:color w:val="auto"/>
        </w:rPr>
        <w:t>、《固体废物鉴别标准 通则》（GB34330-2017）；</w:t>
      </w:r>
    </w:p>
    <w:p>
      <w:pPr>
        <w:ind w:firstLine="480"/>
        <w:rPr>
          <w:rFonts w:hint="eastAsia"/>
          <w:color w:val="auto"/>
        </w:rPr>
      </w:pPr>
      <w:r>
        <w:rPr>
          <w:rFonts w:hint="eastAsia"/>
          <w:color w:val="auto"/>
        </w:rPr>
        <w:t>1</w:t>
      </w:r>
      <w:r>
        <w:rPr>
          <w:color w:val="auto"/>
        </w:rPr>
        <w:t>1</w:t>
      </w:r>
      <w:r>
        <w:rPr>
          <w:rFonts w:hint="eastAsia"/>
          <w:color w:val="auto"/>
        </w:rPr>
        <w:t>、环境保护部《关于发布</w:t>
      </w:r>
      <w:r>
        <w:rPr>
          <w:color w:val="auto"/>
        </w:rPr>
        <w:t>&lt;</w:t>
      </w:r>
      <w:r>
        <w:rPr>
          <w:rFonts w:hint="eastAsia"/>
          <w:color w:val="auto"/>
        </w:rPr>
        <w:t>建设项目危险废物环境影响评价指南&gt;的公告》（公告 2017年 第43号）；</w:t>
      </w:r>
    </w:p>
    <w:p>
      <w:pPr>
        <w:ind w:firstLine="480"/>
        <w:rPr>
          <w:rFonts w:hint="eastAsia"/>
          <w:color w:val="auto"/>
        </w:rPr>
      </w:pPr>
      <w:r>
        <w:rPr>
          <w:rFonts w:hint="eastAsia"/>
          <w:color w:val="auto"/>
        </w:rPr>
        <w:t>1</w:t>
      </w:r>
      <w:r>
        <w:rPr>
          <w:color w:val="auto"/>
        </w:rPr>
        <w:t>2</w:t>
      </w:r>
      <w:r>
        <w:rPr>
          <w:rFonts w:hint="eastAsia"/>
          <w:color w:val="auto"/>
        </w:rPr>
        <w:t>、《污染源源强核算技术指南 准则》（HJ884—2018）。</w:t>
      </w:r>
    </w:p>
    <w:p>
      <w:pPr>
        <w:pStyle w:val="8"/>
        <w:bidi w:val="0"/>
        <w:rPr>
          <w:color w:val="auto"/>
        </w:rPr>
      </w:pPr>
      <w:r>
        <w:rPr>
          <w:color w:val="auto"/>
        </w:rPr>
        <w:t>建设项目相关资料</w:t>
      </w:r>
    </w:p>
    <w:p>
      <w:pPr>
        <w:ind w:firstLine="480"/>
        <w:rPr>
          <w:color w:val="auto"/>
        </w:rPr>
      </w:pPr>
      <w:r>
        <w:rPr>
          <w:color w:val="auto"/>
        </w:rPr>
        <w:t>1、建设项目环境影响评价委托书；</w:t>
      </w:r>
    </w:p>
    <w:p>
      <w:pPr>
        <w:wordWrap w:val="0"/>
        <w:ind w:firstLine="480"/>
        <w:rPr>
          <w:color w:val="auto"/>
        </w:rPr>
      </w:pPr>
      <w:r>
        <w:rPr>
          <w:color w:val="auto"/>
        </w:rPr>
        <w:t>2、</w:t>
      </w:r>
      <w:r>
        <w:rPr>
          <w:rFonts w:hint="eastAsia"/>
          <w:color w:val="auto"/>
          <w:lang w:eastAsia="zh-CN"/>
        </w:rPr>
        <w:t>游仙区发展和改革局</w:t>
      </w:r>
      <w:r>
        <w:rPr>
          <w:color w:val="auto"/>
        </w:rPr>
        <w:t>《四川省固定资产投资项目备案表》（</w:t>
      </w:r>
      <w:r>
        <w:rPr>
          <w:rFonts w:hint="eastAsia"/>
          <w:color w:val="auto"/>
          <w:lang w:eastAsia="zh-CN"/>
        </w:rPr>
        <w:t>川投资备【2101-510704-04-01-608184】FGQB-0006号</w:t>
      </w:r>
      <w:r>
        <w:rPr>
          <w:color w:val="auto"/>
        </w:rPr>
        <w:t>），</w:t>
      </w:r>
      <w:r>
        <w:rPr>
          <w:rFonts w:hint="eastAsia"/>
          <w:color w:val="auto"/>
        </w:rPr>
        <w:t>2021年01月07日</w:t>
      </w:r>
      <w:r>
        <w:rPr>
          <w:color w:val="auto"/>
        </w:rPr>
        <w:t>；</w:t>
      </w:r>
    </w:p>
    <w:p>
      <w:pPr>
        <w:ind w:firstLine="480"/>
        <w:rPr>
          <w:color w:val="auto"/>
        </w:rPr>
      </w:pPr>
      <w:r>
        <w:rPr>
          <w:color w:val="auto"/>
        </w:rPr>
        <w:t>3、</w:t>
      </w:r>
      <w:r>
        <w:rPr>
          <w:rFonts w:hint="eastAsia"/>
          <w:color w:val="auto"/>
          <w:lang w:eastAsia="zh-CN"/>
        </w:rPr>
        <w:t>绵阳市硕牧云康畜牧养殖有限责任公司</w:t>
      </w:r>
      <w:r>
        <w:rPr>
          <w:rFonts w:hint="eastAsia"/>
          <w:color w:val="auto"/>
        </w:rPr>
        <w:t>提供的关于本项目的其他资料。</w:t>
      </w:r>
    </w:p>
    <w:p>
      <w:pPr>
        <w:pStyle w:val="7"/>
        <w:bidi w:val="0"/>
        <w:rPr>
          <w:color w:val="auto"/>
        </w:rPr>
      </w:pPr>
      <w:bookmarkStart w:id="16" w:name="_Toc498610065"/>
      <w:bookmarkStart w:id="17" w:name="_Toc31416"/>
      <w:r>
        <w:rPr>
          <w:rFonts w:hint="eastAsia"/>
          <w:color w:val="auto"/>
        </w:rPr>
        <w:t>评价因子与评价标准</w:t>
      </w:r>
      <w:bookmarkEnd w:id="16"/>
      <w:bookmarkEnd w:id="17"/>
    </w:p>
    <w:p>
      <w:pPr>
        <w:pStyle w:val="8"/>
        <w:bidi w:val="0"/>
        <w:rPr>
          <w:color w:val="auto"/>
        </w:rPr>
      </w:pPr>
      <w:r>
        <w:rPr>
          <w:rFonts w:hint="eastAsia"/>
          <w:color w:val="auto"/>
        </w:rPr>
        <w:t>环境影响因素识别</w:t>
      </w:r>
    </w:p>
    <w:p>
      <w:pPr>
        <w:ind w:firstLine="480"/>
        <w:rPr>
          <w:color w:val="auto"/>
        </w:rPr>
      </w:pPr>
      <w:r>
        <w:rPr>
          <w:color w:val="auto"/>
        </w:rPr>
        <w:t>根据项目运行阶段工艺流程和污染物排放特征，以及项目所处地区环境状况，采用矩阵法对该项目可能产生的环境影响活动、其受该工程影响的环境要素进行识别，其结果见表2.4-1。</w:t>
      </w:r>
    </w:p>
    <w:p>
      <w:pPr>
        <w:pStyle w:val="166"/>
        <w:spacing w:before="120" w:beforeLines="0"/>
        <w:rPr>
          <w:color w:val="auto"/>
        </w:rPr>
      </w:pPr>
      <w:r>
        <w:rPr>
          <w:color w:val="auto"/>
        </w:rPr>
        <w:t>表2.4-1</w:t>
      </w:r>
      <w:r>
        <w:rPr>
          <w:rFonts w:hint="eastAsia"/>
          <w:color w:val="auto"/>
          <w:lang w:val="en-US" w:eastAsia="zh-CN"/>
        </w:rPr>
        <w:t xml:space="preserve"> </w:t>
      </w:r>
      <w:r>
        <w:rPr>
          <w:color w:val="auto"/>
        </w:rPr>
        <w:t>环境影响因素识别表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504"/>
        <w:gridCol w:w="2062"/>
        <w:gridCol w:w="480"/>
        <w:gridCol w:w="427"/>
        <w:gridCol w:w="425"/>
        <w:gridCol w:w="425"/>
        <w:gridCol w:w="427"/>
        <w:gridCol w:w="536"/>
        <w:gridCol w:w="529"/>
        <w:gridCol w:w="497"/>
        <w:gridCol w:w="497"/>
        <w:gridCol w:w="497"/>
        <w:gridCol w:w="497"/>
        <w:gridCol w:w="497"/>
        <w:gridCol w:w="487"/>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blHeader/>
          <w:jc w:val="center"/>
        </w:trPr>
        <w:tc>
          <w:tcPr>
            <w:tcW w:w="2566" w:type="dxa"/>
            <w:gridSpan w:val="2"/>
            <w:vMerge w:val="restart"/>
            <w:noWrap w:val="0"/>
            <w:vAlign w:val="center"/>
          </w:tcPr>
          <w:p>
            <w:pPr>
              <w:pStyle w:val="332"/>
              <w:kinsoku w:val="0"/>
              <w:overflowPunct w:val="0"/>
              <w:snapToGrid w:val="0"/>
              <w:ind w:left="1"/>
              <w:jc w:val="center"/>
              <w:rPr>
                <w:b/>
                <w:bCs/>
                <w:color w:val="auto"/>
                <w:sz w:val="20"/>
                <w:szCs w:val="20"/>
              </w:rPr>
            </w:pPr>
            <w:r>
              <w:rPr>
                <w:b/>
                <w:bCs/>
                <w:color w:val="auto"/>
                <w:sz w:val="20"/>
                <w:szCs w:val="20"/>
              </w:rPr>
              <w:t>环境影响资源程度开发活动</w:t>
            </w:r>
          </w:p>
        </w:tc>
        <w:tc>
          <w:tcPr>
            <w:tcW w:w="2184" w:type="dxa"/>
            <w:gridSpan w:val="5"/>
            <w:noWrap w:val="0"/>
            <w:vAlign w:val="center"/>
          </w:tcPr>
          <w:p>
            <w:pPr>
              <w:pStyle w:val="332"/>
              <w:kinsoku w:val="0"/>
              <w:overflowPunct w:val="0"/>
              <w:snapToGrid w:val="0"/>
              <w:jc w:val="center"/>
              <w:rPr>
                <w:b/>
                <w:bCs/>
                <w:color w:val="auto"/>
                <w:sz w:val="20"/>
                <w:szCs w:val="20"/>
              </w:rPr>
            </w:pPr>
            <w:r>
              <w:rPr>
                <w:b/>
                <w:bCs/>
                <w:color w:val="auto"/>
                <w:sz w:val="20"/>
                <w:szCs w:val="20"/>
              </w:rPr>
              <w:t>自然环境</w:t>
            </w:r>
          </w:p>
        </w:tc>
        <w:tc>
          <w:tcPr>
            <w:tcW w:w="1065" w:type="dxa"/>
            <w:gridSpan w:val="2"/>
            <w:noWrap w:val="0"/>
            <w:vAlign w:val="center"/>
          </w:tcPr>
          <w:p>
            <w:pPr>
              <w:pStyle w:val="332"/>
              <w:kinsoku w:val="0"/>
              <w:overflowPunct w:val="0"/>
              <w:snapToGrid w:val="0"/>
              <w:jc w:val="center"/>
              <w:rPr>
                <w:b/>
                <w:bCs/>
                <w:color w:val="auto"/>
                <w:sz w:val="20"/>
                <w:szCs w:val="20"/>
              </w:rPr>
            </w:pPr>
            <w:r>
              <w:rPr>
                <w:b/>
                <w:bCs/>
                <w:color w:val="auto"/>
                <w:sz w:val="20"/>
                <w:szCs w:val="20"/>
              </w:rPr>
              <w:t>生态环境</w:t>
            </w:r>
          </w:p>
        </w:tc>
        <w:tc>
          <w:tcPr>
            <w:tcW w:w="2972" w:type="dxa"/>
            <w:gridSpan w:val="6"/>
            <w:noWrap w:val="0"/>
            <w:vAlign w:val="center"/>
          </w:tcPr>
          <w:p>
            <w:pPr>
              <w:pStyle w:val="332"/>
              <w:kinsoku w:val="0"/>
              <w:overflowPunct w:val="0"/>
              <w:snapToGrid w:val="0"/>
              <w:ind w:left="838"/>
              <w:jc w:val="center"/>
              <w:rPr>
                <w:b/>
                <w:bCs/>
                <w:color w:val="auto"/>
                <w:sz w:val="20"/>
                <w:szCs w:val="20"/>
              </w:rPr>
            </w:pPr>
            <w:r>
              <w:rPr>
                <w:b/>
                <w:bCs/>
                <w:color w:val="auto"/>
                <w:sz w:val="20"/>
                <w:szCs w:val="20"/>
              </w:rPr>
              <w:t>社会经济环境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blHeader/>
          <w:jc w:val="center"/>
        </w:trPr>
        <w:tc>
          <w:tcPr>
            <w:tcW w:w="2566" w:type="dxa"/>
            <w:gridSpan w:val="2"/>
            <w:vMerge w:val="continue"/>
            <w:noWrap w:val="0"/>
            <w:vAlign w:val="center"/>
          </w:tcPr>
          <w:p>
            <w:pPr>
              <w:pStyle w:val="332"/>
              <w:kinsoku w:val="0"/>
              <w:overflowPunct w:val="0"/>
              <w:snapToGrid w:val="0"/>
              <w:ind w:left="838"/>
              <w:jc w:val="center"/>
              <w:rPr>
                <w:b/>
                <w:bCs/>
                <w:color w:val="auto"/>
                <w:sz w:val="20"/>
                <w:szCs w:val="20"/>
              </w:rPr>
            </w:pPr>
          </w:p>
        </w:tc>
        <w:tc>
          <w:tcPr>
            <w:tcW w:w="480" w:type="dxa"/>
            <w:noWrap w:val="0"/>
            <w:vAlign w:val="center"/>
          </w:tcPr>
          <w:p>
            <w:pPr>
              <w:pStyle w:val="332"/>
              <w:kinsoku w:val="0"/>
              <w:overflowPunct w:val="0"/>
              <w:snapToGrid w:val="0"/>
              <w:ind w:left="124" w:right="124"/>
              <w:jc w:val="center"/>
              <w:rPr>
                <w:b/>
                <w:bCs/>
                <w:color w:val="auto"/>
                <w:sz w:val="20"/>
                <w:szCs w:val="20"/>
              </w:rPr>
            </w:pPr>
            <w:r>
              <w:rPr>
                <w:b/>
                <w:bCs/>
                <w:color w:val="auto"/>
                <w:sz w:val="20"/>
                <w:szCs w:val="20"/>
              </w:rPr>
              <w:t>环境境</w:t>
            </w:r>
            <w:r>
              <w:rPr>
                <w:b/>
                <w:bCs/>
                <w:color w:val="auto"/>
                <w:w w:val="99"/>
                <w:sz w:val="20"/>
                <w:szCs w:val="20"/>
              </w:rPr>
              <w:t xml:space="preserve"> </w:t>
            </w:r>
            <w:r>
              <w:rPr>
                <w:b/>
                <w:bCs/>
                <w:color w:val="auto"/>
                <w:sz w:val="20"/>
                <w:szCs w:val="20"/>
              </w:rPr>
              <w:t>空</w:t>
            </w:r>
            <w:r>
              <w:rPr>
                <w:b/>
                <w:bCs/>
                <w:color w:val="auto"/>
                <w:w w:val="99"/>
                <w:sz w:val="20"/>
                <w:szCs w:val="20"/>
              </w:rPr>
              <w:t xml:space="preserve"> </w:t>
            </w:r>
            <w:r>
              <w:rPr>
                <w:b/>
                <w:bCs/>
                <w:color w:val="auto"/>
                <w:sz w:val="20"/>
                <w:szCs w:val="20"/>
              </w:rPr>
              <w:t>气</w:t>
            </w:r>
          </w:p>
        </w:tc>
        <w:tc>
          <w:tcPr>
            <w:tcW w:w="427" w:type="dxa"/>
            <w:noWrap w:val="0"/>
            <w:vAlign w:val="center"/>
          </w:tcPr>
          <w:p>
            <w:pPr>
              <w:pStyle w:val="332"/>
              <w:kinsoku w:val="0"/>
              <w:overflowPunct w:val="0"/>
              <w:snapToGrid w:val="0"/>
              <w:ind w:left="98" w:right="98"/>
              <w:jc w:val="center"/>
              <w:rPr>
                <w:b/>
                <w:bCs/>
                <w:color w:val="auto"/>
                <w:sz w:val="20"/>
                <w:szCs w:val="20"/>
              </w:rPr>
            </w:pPr>
            <w:r>
              <w:rPr>
                <w:b/>
                <w:bCs/>
                <w:color w:val="auto"/>
                <w:sz w:val="20"/>
                <w:szCs w:val="20"/>
              </w:rPr>
              <w:t>地</w:t>
            </w:r>
            <w:r>
              <w:rPr>
                <w:b/>
                <w:bCs/>
                <w:color w:val="auto"/>
                <w:w w:val="99"/>
                <w:sz w:val="20"/>
                <w:szCs w:val="20"/>
              </w:rPr>
              <w:t xml:space="preserve"> </w:t>
            </w:r>
            <w:r>
              <w:rPr>
                <w:b/>
                <w:bCs/>
                <w:color w:val="auto"/>
                <w:sz w:val="20"/>
                <w:szCs w:val="20"/>
              </w:rPr>
              <w:t>表</w:t>
            </w:r>
            <w:r>
              <w:rPr>
                <w:b/>
                <w:bCs/>
                <w:color w:val="auto"/>
                <w:w w:val="99"/>
                <w:sz w:val="20"/>
                <w:szCs w:val="20"/>
              </w:rPr>
              <w:t xml:space="preserve"> </w:t>
            </w:r>
            <w:r>
              <w:rPr>
                <w:b/>
                <w:bCs/>
                <w:color w:val="auto"/>
                <w:sz w:val="20"/>
                <w:szCs w:val="20"/>
              </w:rPr>
              <w:t>水</w:t>
            </w:r>
          </w:p>
        </w:tc>
        <w:tc>
          <w:tcPr>
            <w:tcW w:w="425" w:type="dxa"/>
            <w:noWrap w:val="0"/>
            <w:vAlign w:val="center"/>
          </w:tcPr>
          <w:p>
            <w:pPr>
              <w:pStyle w:val="332"/>
              <w:kinsoku w:val="0"/>
              <w:overflowPunct w:val="0"/>
              <w:snapToGrid w:val="0"/>
              <w:ind w:left="98" w:right="97"/>
              <w:jc w:val="center"/>
              <w:rPr>
                <w:b/>
                <w:bCs/>
                <w:color w:val="auto"/>
                <w:sz w:val="20"/>
                <w:szCs w:val="20"/>
              </w:rPr>
            </w:pPr>
            <w:r>
              <w:rPr>
                <w:b/>
                <w:bCs/>
                <w:color w:val="auto"/>
                <w:sz w:val="20"/>
                <w:szCs w:val="20"/>
              </w:rPr>
              <w:t>地</w:t>
            </w:r>
            <w:r>
              <w:rPr>
                <w:b/>
                <w:bCs/>
                <w:color w:val="auto"/>
                <w:w w:val="99"/>
                <w:sz w:val="20"/>
                <w:szCs w:val="20"/>
              </w:rPr>
              <w:t xml:space="preserve"> </w:t>
            </w:r>
            <w:r>
              <w:rPr>
                <w:b/>
                <w:bCs/>
                <w:color w:val="auto"/>
                <w:sz w:val="20"/>
                <w:szCs w:val="20"/>
              </w:rPr>
              <w:t>下</w:t>
            </w:r>
            <w:r>
              <w:rPr>
                <w:b/>
                <w:bCs/>
                <w:color w:val="auto"/>
                <w:w w:val="99"/>
                <w:sz w:val="20"/>
                <w:szCs w:val="20"/>
              </w:rPr>
              <w:t xml:space="preserve"> </w:t>
            </w:r>
            <w:r>
              <w:rPr>
                <w:b/>
                <w:bCs/>
                <w:color w:val="auto"/>
                <w:sz w:val="20"/>
                <w:szCs w:val="20"/>
              </w:rPr>
              <w:t>水</w:t>
            </w:r>
          </w:p>
        </w:tc>
        <w:tc>
          <w:tcPr>
            <w:tcW w:w="425" w:type="dxa"/>
            <w:noWrap w:val="0"/>
            <w:vAlign w:val="center"/>
          </w:tcPr>
          <w:p>
            <w:pPr>
              <w:pStyle w:val="332"/>
              <w:kinsoku w:val="0"/>
              <w:overflowPunct w:val="0"/>
              <w:snapToGrid w:val="0"/>
              <w:ind w:left="97" w:right="98"/>
              <w:jc w:val="center"/>
              <w:rPr>
                <w:b/>
                <w:bCs/>
                <w:color w:val="auto"/>
                <w:sz w:val="20"/>
                <w:szCs w:val="20"/>
              </w:rPr>
            </w:pPr>
            <w:r>
              <w:rPr>
                <w:b/>
                <w:bCs/>
                <w:color w:val="auto"/>
                <w:sz w:val="20"/>
                <w:szCs w:val="20"/>
              </w:rPr>
              <w:t>土</w:t>
            </w:r>
            <w:r>
              <w:rPr>
                <w:b/>
                <w:bCs/>
                <w:color w:val="auto"/>
                <w:w w:val="99"/>
                <w:sz w:val="20"/>
                <w:szCs w:val="20"/>
              </w:rPr>
              <w:t xml:space="preserve"> </w:t>
            </w:r>
            <w:r>
              <w:rPr>
                <w:b/>
                <w:bCs/>
                <w:color w:val="auto"/>
                <w:sz w:val="20"/>
                <w:szCs w:val="20"/>
              </w:rPr>
              <w:t>壤</w:t>
            </w:r>
          </w:p>
        </w:tc>
        <w:tc>
          <w:tcPr>
            <w:tcW w:w="427" w:type="dxa"/>
            <w:noWrap w:val="0"/>
            <w:vAlign w:val="center"/>
          </w:tcPr>
          <w:p>
            <w:pPr>
              <w:pStyle w:val="332"/>
              <w:kinsoku w:val="0"/>
              <w:overflowPunct w:val="0"/>
              <w:snapToGrid w:val="0"/>
              <w:ind w:left="98" w:right="100"/>
              <w:jc w:val="center"/>
              <w:rPr>
                <w:b/>
                <w:bCs/>
                <w:color w:val="auto"/>
                <w:sz w:val="20"/>
                <w:szCs w:val="20"/>
              </w:rPr>
            </w:pPr>
            <w:r>
              <w:rPr>
                <w:b/>
                <w:bCs/>
                <w:color w:val="auto"/>
                <w:sz w:val="20"/>
                <w:szCs w:val="20"/>
              </w:rPr>
              <w:t>声</w:t>
            </w:r>
            <w:r>
              <w:rPr>
                <w:b/>
                <w:bCs/>
                <w:color w:val="auto"/>
                <w:w w:val="99"/>
                <w:sz w:val="20"/>
                <w:szCs w:val="20"/>
              </w:rPr>
              <w:t xml:space="preserve"> </w:t>
            </w:r>
            <w:r>
              <w:rPr>
                <w:b/>
                <w:bCs/>
                <w:color w:val="auto"/>
                <w:sz w:val="20"/>
                <w:szCs w:val="20"/>
              </w:rPr>
              <w:t>环</w:t>
            </w:r>
            <w:r>
              <w:rPr>
                <w:b/>
                <w:bCs/>
                <w:color w:val="auto"/>
                <w:w w:val="99"/>
                <w:sz w:val="20"/>
                <w:szCs w:val="20"/>
              </w:rPr>
              <w:t xml:space="preserve"> </w:t>
            </w:r>
            <w:r>
              <w:rPr>
                <w:b/>
                <w:bCs/>
                <w:color w:val="auto"/>
                <w:sz w:val="20"/>
                <w:szCs w:val="20"/>
              </w:rPr>
              <w:t>境</w:t>
            </w:r>
          </w:p>
        </w:tc>
        <w:tc>
          <w:tcPr>
            <w:tcW w:w="536" w:type="dxa"/>
            <w:noWrap w:val="0"/>
            <w:vAlign w:val="center"/>
          </w:tcPr>
          <w:p>
            <w:pPr>
              <w:pStyle w:val="332"/>
              <w:kinsoku w:val="0"/>
              <w:overflowPunct w:val="0"/>
              <w:snapToGrid w:val="0"/>
              <w:ind w:left="153" w:right="152"/>
              <w:jc w:val="center"/>
              <w:rPr>
                <w:b/>
                <w:bCs/>
                <w:color w:val="auto"/>
                <w:sz w:val="20"/>
                <w:szCs w:val="20"/>
              </w:rPr>
            </w:pPr>
            <w:r>
              <w:rPr>
                <w:b/>
                <w:bCs/>
                <w:color w:val="auto"/>
                <w:sz w:val="20"/>
                <w:szCs w:val="20"/>
              </w:rPr>
              <w:t>陆域</w:t>
            </w:r>
            <w:r>
              <w:rPr>
                <w:b/>
                <w:bCs/>
                <w:color w:val="auto"/>
                <w:w w:val="99"/>
                <w:sz w:val="20"/>
                <w:szCs w:val="20"/>
              </w:rPr>
              <w:t xml:space="preserve"> </w:t>
            </w:r>
            <w:r>
              <w:rPr>
                <w:b/>
                <w:bCs/>
                <w:color w:val="auto"/>
                <w:sz w:val="20"/>
                <w:szCs w:val="20"/>
              </w:rPr>
              <w:t>生</w:t>
            </w:r>
            <w:r>
              <w:rPr>
                <w:b/>
                <w:bCs/>
                <w:color w:val="auto"/>
                <w:w w:val="99"/>
                <w:sz w:val="20"/>
                <w:szCs w:val="20"/>
              </w:rPr>
              <w:t xml:space="preserve"> </w:t>
            </w:r>
            <w:r>
              <w:rPr>
                <w:b/>
                <w:bCs/>
                <w:color w:val="auto"/>
                <w:sz w:val="20"/>
                <w:szCs w:val="20"/>
              </w:rPr>
              <w:t>物</w:t>
            </w:r>
          </w:p>
        </w:tc>
        <w:tc>
          <w:tcPr>
            <w:tcW w:w="529" w:type="dxa"/>
            <w:noWrap w:val="0"/>
            <w:vAlign w:val="center"/>
          </w:tcPr>
          <w:p>
            <w:pPr>
              <w:pStyle w:val="332"/>
              <w:kinsoku w:val="0"/>
              <w:overflowPunct w:val="0"/>
              <w:snapToGrid w:val="0"/>
              <w:ind w:left="150" w:right="148"/>
              <w:jc w:val="center"/>
              <w:rPr>
                <w:b/>
                <w:bCs/>
                <w:color w:val="auto"/>
                <w:sz w:val="20"/>
                <w:szCs w:val="20"/>
              </w:rPr>
            </w:pPr>
            <w:r>
              <w:rPr>
                <w:b/>
                <w:bCs/>
                <w:color w:val="auto"/>
                <w:sz w:val="20"/>
                <w:szCs w:val="20"/>
              </w:rPr>
              <w:t>水生</w:t>
            </w:r>
            <w:r>
              <w:rPr>
                <w:b/>
                <w:bCs/>
                <w:color w:val="auto"/>
                <w:w w:val="99"/>
                <w:sz w:val="20"/>
                <w:szCs w:val="20"/>
              </w:rPr>
              <w:t xml:space="preserve"> </w:t>
            </w:r>
            <w:r>
              <w:rPr>
                <w:b/>
                <w:bCs/>
                <w:color w:val="auto"/>
                <w:sz w:val="20"/>
                <w:szCs w:val="20"/>
              </w:rPr>
              <w:t>生</w:t>
            </w:r>
            <w:r>
              <w:rPr>
                <w:b/>
                <w:bCs/>
                <w:color w:val="auto"/>
                <w:w w:val="99"/>
                <w:sz w:val="20"/>
                <w:szCs w:val="20"/>
              </w:rPr>
              <w:t xml:space="preserve"> </w:t>
            </w:r>
            <w:r>
              <w:rPr>
                <w:b/>
                <w:bCs/>
                <w:color w:val="auto"/>
                <w:sz w:val="20"/>
                <w:szCs w:val="20"/>
              </w:rPr>
              <w:t>物</w:t>
            </w:r>
          </w:p>
        </w:tc>
        <w:tc>
          <w:tcPr>
            <w:tcW w:w="497" w:type="dxa"/>
            <w:noWrap w:val="0"/>
            <w:vAlign w:val="center"/>
          </w:tcPr>
          <w:p>
            <w:pPr>
              <w:pStyle w:val="332"/>
              <w:kinsoku w:val="0"/>
              <w:overflowPunct w:val="0"/>
              <w:snapToGrid w:val="0"/>
              <w:ind w:left="132" w:right="136"/>
              <w:jc w:val="center"/>
              <w:rPr>
                <w:b/>
                <w:bCs/>
                <w:color w:val="auto"/>
                <w:sz w:val="20"/>
                <w:szCs w:val="20"/>
              </w:rPr>
            </w:pPr>
            <w:r>
              <w:rPr>
                <w:b/>
                <w:bCs/>
                <w:color w:val="auto"/>
                <w:sz w:val="20"/>
                <w:szCs w:val="20"/>
              </w:rPr>
              <w:t>经济</w:t>
            </w:r>
            <w:r>
              <w:rPr>
                <w:b/>
                <w:bCs/>
                <w:color w:val="auto"/>
                <w:w w:val="99"/>
                <w:sz w:val="20"/>
                <w:szCs w:val="20"/>
              </w:rPr>
              <w:t xml:space="preserve"> </w:t>
            </w:r>
            <w:r>
              <w:rPr>
                <w:b/>
                <w:bCs/>
                <w:color w:val="auto"/>
                <w:sz w:val="20"/>
                <w:szCs w:val="20"/>
              </w:rPr>
              <w:t>发</w:t>
            </w:r>
            <w:r>
              <w:rPr>
                <w:b/>
                <w:bCs/>
                <w:color w:val="auto"/>
                <w:w w:val="99"/>
                <w:sz w:val="20"/>
                <w:szCs w:val="20"/>
              </w:rPr>
              <w:t xml:space="preserve"> </w:t>
            </w:r>
            <w:r>
              <w:rPr>
                <w:b/>
                <w:bCs/>
                <w:color w:val="auto"/>
                <w:sz w:val="20"/>
                <w:szCs w:val="20"/>
              </w:rPr>
              <w:t>展</w:t>
            </w:r>
          </w:p>
        </w:tc>
        <w:tc>
          <w:tcPr>
            <w:tcW w:w="497" w:type="dxa"/>
            <w:noWrap w:val="0"/>
            <w:vAlign w:val="center"/>
          </w:tcPr>
          <w:p>
            <w:pPr>
              <w:pStyle w:val="332"/>
              <w:kinsoku w:val="0"/>
              <w:overflowPunct w:val="0"/>
              <w:snapToGrid w:val="0"/>
              <w:ind w:left="133" w:right="133"/>
              <w:jc w:val="center"/>
              <w:rPr>
                <w:b/>
                <w:bCs/>
                <w:color w:val="auto"/>
                <w:sz w:val="20"/>
                <w:szCs w:val="20"/>
              </w:rPr>
            </w:pPr>
            <w:r>
              <w:rPr>
                <w:b/>
                <w:bCs/>
                <w:color w:val="auto"/>
                <w:sz w:val="20"/>
                <w:szCs w:val="20"/>
              </w:rPr>
              <w:t>能源</w:t>
            </w:r>
            <w:r>
              <w:rPr>
                <w:b/>
                <w:bCs/>
                <w:color w:val="auto"/>
                <w:w w:val="99"/>
                <w:sz w:val="20"/>
                <w:szCs w:val="20"/>
              </w:rPr>
              <w:t xml:space="preserve"> </w:t>
            </w:r>
            <w:r>
              <w:rPr>
                <w:b/>
                <w:bCs/>
                <w:color w:val="auto"/>
                <w:sz w:val="20"/>
                <w:szCs w:val="20"/>
              </w:rPr>
              <w:t>利</w:t>
            </w:r>
            <w:r>
              <w:rPr>
                <w:b/>
                <w:bCs/>
                <w:color w:val="auto"/>
                <w:w w:val="99"/>
                <w:sz w:val="20"/>
                <w:szCs w:val="20"/>
              </w:rPr>
              <w:t xml:space="preserve"> </w:t>
            </w:r>
            <w:r>
              <w:rPr>
                <w:b/>
                <w:bCs/>
                <w:color w:val="auto"/>
                <w:sz w:val="20"/>
                <w:szCs w:val="20"/>
              </w:rPr>
              <w:t>用</w:t>
            </w:r>
          </w:p>
        </w:tc>
        <w:tc>
          <w:tcPr>
            <w:tcW w:w="497" w:type="dxa"/>
            <w:noWrap w:val="0"/>
            <w:vAlign w:val="center"/>
          </w:tcPr>
          <w:p>
            <w:pPr>
              <w:pStyle w:val="332"/>
              <w:kinsoku w:val="0"/>
              <w:overflowPunct w:val="0"/>
              <w:snapToGrid w:val="0"/>
              <w:ind w:left="132" w:right="134"/>
              <w:jc w:val="center"/>
              <w:rPr>
                <w:b/>
                <w:bCs/>
                <w:color w:val="auto"/>
                <w:sz w:val="20"/>
                <w:szCs w:val="20"/>
              </w:rPr>
            </w:pPr>
            <w:r>
              <w:rPr>
                <w:b/>
                <w:bCs/>
                <w:color w:val="auto"/>
                <w:sz w:val="20"/>
                <w:szCs w:val="20"/>
              </w:rPr>
              <w:t>交通</w:t>
            </w:r>
            <w:r>
              <w:rPr>
                <w:b/>
                <w:bCs/>
                <w:color w:val="auto"/>
                <w:w w:val="99"/>
                <w:sz w:val="20"/>
                <w:szCs w:val="20"/>
              </w:rPr>
              <w:t xml:space="preserve"> </w:t>
            </w:r>
            <w:r>
              <w:rPr>
                <w:b/>
                <w:bCs/>
                <w:color w:val="auto"/>
                <w:sz w:val="20"/>
                <w:szCs w:val="20"/>
              </w:rPr>
              <w:t>运</w:t>
            </w:r>
            <w:r>
              <w:rPr>
                <w:b/>
                <w:bCs/>
                <w:color w:val="auto"/>
                <w:w w:val="99"/>
                <w:sz w:val="20"/>
                <w:szCs w:val="20"/>
              </w:rPr>
              <w:t xml:space="preserve"> </w:t>
            </w:r>
            <w:r>
              <w:rPr>
                <w:b/>
                <w:bCs/>
                <w:color w:val="auto"/>
                <w:sz w:val="20"/>
                <w:szCs w:val="20"/>
              </w:rPr>
              <w:t>输</w:t>
            </w:r>
          </w:p>
        </w:tc>
        <w:tc>
          <w:tcPr>
            <w:tcW w:w="497" w:type="dxa"/>
            <w:noWrap w:val="0"/>
            <w:vAlign w:val="center"/>
          </w:tcPr>
          <w:p>
            <w:pPr>
              <w:pStyle w:val="332"/>
              <w:kinsoku w:val="0"/>
              <w:overflowPunct w:val="0"/>
              <w:snapToGrid w:val="0"/>
              <w:ind w:left="134" w:right="133"/>
              <w:jc w:val="center"/>
              <w:rPr>
                <w:b/>
                <w:bCs/>
                <w:color w:val="auto"/>
                <w:sz w:val="20"/>
                <w:szCs w:val="20"/>
              </w:rPr>
            </w:pPr>
            <w:r>
              <w:rPr>
                <w:b/>
                <w:bCs/>
                <w:color w:val="auto"/>
                <w:sz w:val="20"/>
                <w:szCs w:val="20"/>
              </w:rPr>
              <w:t>生活</w:t>
            </w:r>
            <w:r>
              <w:rPr>
                <w:b/>
                <w:bCs/>
                <w:color w:val="auto"/>
                <w:w w:val="99"/>
                <w:sz w:val="20"/>
                <w:szCs w:val="20"/>
              </w:rPr>
              <w:t xml:space="preserve"> </w:t>
            </w:r>
            <w:r>
              <w:rPr>
                <w:b/>
                <w:bCs/>
                <w:color w:val="auto"/>
                <w:sz w:val="20"/>
                <w:szCs w:val="20"/>
              </w:rPr>
              <w:t>水</w:t>
            </w:r>
            <w:r>
              <w:rPr>
                <w:b/>
                <w:bCs/>
                <w:color w:val="auto"/>
                <w:w w:val="99"/>
                <w:sz w:val="20"/>
                <w:szCs w:val="20"/>
              </w:rPr>
              <w:t xml:space="preserve"> </w:t>
            </w:r>
            <w:r>
              <w:rPr>
                <w:b/>
                <w:bCs/>
                <w:color w:val="auto"/>
                <w:sz w:val="20"/>
                <w:szCs w:val="20"/>
              </w:rPr>
              <w:t>平</w:t>
            </w:r>
          </w:p>
        </w:tc>
        <w:tc>
          <w:tcPr>
            <w:tcW w:w="497" w:type="dxa"/>
            <w:noWrap w:val="0"/>
            <w:vAlign w:val="center"/>
          </w:tcPr>
          <w:p>
            <w:pPr>
              <w:pStyle w:val="332"/>
              <w:kinsoku w:val="0"/>
              <w:overflowPunct w:val="0"/>
              <w:snapToGrid w:val="0"/>
              <w:ind w:left="133" w:right="134"/>
              <w:jc w:val="center"/>
              <w:rPr>
                <w:b/>
                <w:bCs/>
                <w:color w:val="auto"/>
                <w:sz w:val="20"/>
                <w:szCs w:val="20"/>
              </w:rPr>
            </w:pPr>
            <w:r>
              <w:rPr>
                <w:b/>
                <w:bCs/>
                <w:color w:val="auto"/>
                <w:sz w:val="20"/>
                <w:szCs w:val="20"/>
              </w:rPr>
              <w:t>劳动</w:t>
            </w:r>
            <w:r>
              <w:rPr>
                <w:b/>
                <w:bCs/>
                <w:color w:val="auto"/>
                <w:w w:val="99"/>
                <w:sz w:val="20"/>
                <w:szCs w:val="20"/>
              </w:rPr>
              <w:t xml:space="preserve"> </w:t>
            </w:r>
            <w:r>
              <w:rPr>
                <w:b/>
                <w:bCs/>
                <w:color w:val="auto"/>
                <w:sz w:val="20"/>
                <w:szCs w:val="20"/>
              </w:rPr>
              <w:t>就</w:t>
            </w:r>
            <w:r>
              <w:rPr>
                <w:b/>
                <w:bCs/>
                <w:color w:val="auto"/>
                <w:w w:val="99"/>
                <w:sz w:val="20"/>
                <w:szCs w:val="20"/>
              </w:rPr>
              <w:t xml:space="preserve"> </w:t>
            </w:r>
            <w:r>
              <w:rPr>
                <w:b/>
                <w:bCs/>
                <w:color w:val="auto"/>
                <w:sz w:val="20"/>
                <w:szCs w:val="20"/>
              </w:rPr>
              <w:t>业</w:t>
            </w:r>
          </w:p>
        </w:tc>
        <w:tc>
          <w:tcPr>
            <w:tcW w:w="487" w:type="dxa"/>
            <w:noWrap w:val="0"/>
            <w:vAlign w:val="center"/>
          </w:tcPr>
          <w:p>
            <w:pPr>
              <w:pStyle w:val="332"/>
              <w:kinsoku w:val="0"/>
              <w:overflowPunct w:val="0"/>
              <w:snapToGrid w:val="0"/>
              <w:ind w:left="132" w:right="130"/>
              <w:jc w:val="center"/>
              <w:rPr>
                <w:b/>
                <w:bCs/>
                <w:color w:val="auto"/>
                <w:sz w:val="20"/>
                <w:szCs w:val="20"/>
              </w:rPr>
            </w:pPr>
            <w:r>
              <w:rPr>
                <w:b/>
                <w:bCs/>
                <w:color w:val="auto"/>
                <w:sz w:val="20"/>
                <w:szCs w:val="20"/>
              </w:rPr>
              <w:t>人群</w:t>
            </w:r>
            <w:r>
              <w:rPr>
                <w:b/>
                <w:bCs/>
                <w:color w:val="auto"/>
                <w:w w:val="99"/>
                <w:sz w:val="20"/>
                <w:szCs w:val="20"/>
              </w:rPr>
              <w:t xml:space="preserve"> </w:t>
            </w:r>
            <w:r>
              <w:rPr>
                <w:b/>
                <w:bCs/>
                <w:color w:val="auto"/>
                <w:sz w:val="20"/>
                <w:szCs w:val="20"/>
              </w:rPr>
              <w:t>健</w:t>
            </w:r>
            <w:r>
              <w:rPr>
                <w:b/>
                <w:bCs/>
                <w:color w:val="auto"/>
                <w:w w:val="99"/>
                <w:sz w:val="20"/>
                <w:szCs w:val="20"/>
              </w:rPr>
              <w:t xml:space="preserve"> </w:t>
            </w:r>
            <w:r>
              <w:rPr>
                <w:b/>
                <w:bCs/>
                <w:color w:val="auto"/>
                <w:sz w:val="20"/>
                <w:szCs w:val="20"/>
              </w:rPr>
              <w:t>康</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restart"/>
            <w:noWrap w:val="0"/>
            <w:vAlign w:val="center"/>
          </w:tcPr>
          <w:p>
            <w:pPr>
              <w:pStyle w:val="332"/>
              <w:kinsoku w:val="0"/>
              <w:overflowPunct w:val="0"/>
              <w:snapToGrid w:val="0"/>
              <w:ind w:left="30" w:right="30"/>
              <w:jc w:val="center"/>
              <w:rPr>
                <w:color w:val="auto"/>
                <w:sz w:val="20"/>
                <w:szCs w:val="20"/>
              </w:rPr>
            </w:pPr>
            <w:r>
              <w:rPr>
                <w:color w:val="auto"/>
                <w:sz w:val="20"/>
                <w:szCs w:val="20"/>
              </w:rPr>
              <w:t>建设</w:t>
            </w:r>
            <w:r>
              <w:rPr>
                <w:color w:val="auto"/>
                <w:w w:val="99"/>
                <w:sz w:val="20"/>
                <w:szCs w:val="20"/>
              </w:rPr>
              <w:t xml:space="preserve"> </w:t>
            </w:r>
            <w:r>
              <w:rPr>
                <w:color w:val="auto"/>
                <w:sz w:val="20"/>
                <w:szCs w:val="20"/>
              </w:rPr>
              <w:t>前期</w:t>
            </w: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土地平整</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pStyle w:val="332"/>
              <w:kinsoku w:val="0"/>
              <w:overflowPunct w:val="0"/>
              <w:snapToGrid w:val="0"/>
              <w:ind w:left="39"/>
              <w:jc w:val="center"/>
              <w:rPr>
                <w:color w:val="auto"/>
                <w:sz w:val="20"/>
                <w:szCs w:val="20"/>
              </w:rPr>
            </w:pPr>
            <w:r>
              <w:rPr>
                <w:color w:val="auto"/>
                <w:sz w:val="20"/>
                <w:szCs w:val="20"/>
              </w:rPr>
              <w:t>-1D</w:t>
            </w:r>
          </w:p>
        </w:tc>
        <w:tc>
          <w:tcPr>
            <w:tcW w:w="427" w:type="dxa"/>
            <w:noWrap w:val="0"/>
            <w:vAlign w:val="center"/>
          </w:tcPr>
          <w:p>
            <w:pPr>
              <w:pStyle w:val="332"/>
              <w:kinsoku w:val="0"/>
              <w:overflowPunct w:val="0"/>
              <w:snapToGrid w:val="0"/>
              <w:ind w:left="40"/>
              <w:jc w:val="center"/>
              <w:rPr>
                <w:color w:val="auto"/>
                <w:sz w:val="20"/>
                <w:szCs w:val="20"/>
              </w:rPr>
            </w:pPr>
            <w:r>
              <w:rPr>
                <w:color w:val="auto"/>
                <w:sz w:val="20"/>
                <w:szCs w:val="20"/>
              </w:rPr>
              <w:t>-1D</w:t>
            </w:r>
          </w:p>
        </w:tc>
        <w:tc>
          <w:tcPr>
            <w:tcW w:w="536" w:type="dxa"/>
            <w:noWrap w:val="0"/>
            <w:vAlign w:val="center"/>
          </w:tcPr>
          <w:p>
            <w:pPr>
              <w:pStyle w:val="332"/>
              <w:kinsoku w:val="0"/>
              <w:overflowPunct w:val="0"/>
              <w:snapToGrid w:val="0"/>
              <w:ind w:left="95"/>
              <w:jc w:val="center"/>
              <w:rPr>
                <w:color w:val="auto"/>
                <w:sz w:val="20"/>
                <w:szCs w:val="20"/>
              </w:rPr>
            </w:pPr>
            <w:r>
              <w:rPr>
                <w:color w:val="auto"/>
                <w:sz w:val="20"/>
                <w:szCs w:val="20"/>
              </w:rPr>
              <w:t>-1D</w:t>
            </w: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4"/>
              <w:jc w:val="center"/>
              <w:rPr>
                <w:color w:val="auto"/>
                <w:sz w:val="20"/>
                <w:szCs w:val="20"/>
              </w:rPr>
            </w:pPr>
            <w:r>
              <w:rPr>
                <w:color w:val="auto"/>
                <w:sz w:val="20"/>
                <w:szCs w:val="20"/>
              </w:rPr>
              <w:t>-1D</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4"/>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旧料、渣土运输</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0"/>
              <w:jc w:val="center"/>
              <w:rPr>
                <w:color w:val="auto"/>
                <w:sz w:val="20"/>
                <w:szCs w:val="20"/>
              </w:rPr>
            </w:pPr>
            <w:r>
              <w:rPr>
                <w:color w:val="auto"/>
                <w:sz w:val="20"/>
                <w:szCs w:val="20"/>
              </w:rPr>
              <w:t>-1D</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1"/>
              <w:jc w:val="center"/>
              <w:rPr>
                <w:color w:val="auto"/>
                <w:sz w:val="20"/>
                <w:szCs w:val="20"/>
              </w:rPr>
            </w:pPr>
            <w:r>
              <w:rPr>
                <w:color w:val="auto"/>
                <w:sz w:val="20"/>
                <w:szCs w:val="20"/>
              </w:rPr>
              <w:t>+1D</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4"/>
              <w:jc w:val="center"/>
              <w:rPr>
                <w:color w:val="auto"/>
                <w:sz w:val="20"/>
                <w:szCs w:val="20"/>
              </w:rPr>
            </w:pPr>
            <w:r>
              <w:rPr>
                <w:color w:val="auto"/>
                <w:sz w:val="20"/>
                <w:szCs w:val="20"/>
              </w:rPr>
              <w:t>-1D</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restart"/>
            <w:noWrap w:val="0"/>
            <w:vAlign w:val="center"/>
          </w:tcPr>
          <w:p>
            <w:pPr>
              <w:pStyle w:val="332"/>
              <w:kinsoku w:val="0"/>
              <w:overflowPunct w:val="0"/>
              <w:snapToGrid w:val="0"/>
              <w:ind w:left="133" w:right="135"/>
              <w:jc w:val="center"/>
              <w:rPr>
                <w:color w:val="auto"/>
                <w:sz w:val="20"/>
                <w:szCs w:val="20"/>
              </w:rPr>
            </w:pPr>
            <w:r>
              <w:rPr>
                <w:color w:val="auto"/>
                <w:sz w:val="20"/>
                <w:szCs w:val="20"/>
              </w:rPr>
              <w:t>施</w:t>
            </w:r>
            <w:r>
              <w:rPr>
                <w:color w:val="auto"/>
                <w:w w:val="99"/>
                <w:sz w:val="20"/>
                <w:szCs w:val="20"/>
              </w:rPr>
              <w:t xml:space="preserve"> </w:t>
            </w:r>
            <w:r>
              <w:rPr>
                <w:color w:val="auto"/>
                <w:sz w:val="20"/>
                <w:szCs w:val="20"/>
              </w:rPr>
              <w:t>工</w:t>
            </w:r>
            <w:r>
              <w:rPr>
                <w:color w:val="auto"/>
                <w:w w:val="99"/>
                <w:sz w:val="20"/>
                <w:szCs w:val="20"/>
              </w:rPr>
              <w:t xml:space="preserve"> </w:t>
            </w:r>
            <w:r>
              <w:rPr>
                <w:color w:val="auto"/>
                <w:sz w:val="20"/>
                <w:szCs w:val="20"/>
              </w:rPr>
              <w:t>期</w:t>
            </w: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施工图设计</w:t>
            </w:r>
          </w:p>
        </w:tc>
        <w:tc>
          <w:tcPr>
            <w:tcW w:w="480"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0"/>
              <w:jc w:val="center"/>
              <w:rPr>
                <w:color w:val="auto"/>
                <w:sz w:val="20"/>
                <w:szCs w:val="20"/>
              </w:rPr>
            </w:pPr>
            <w:r>
              <w:rPr>
                <w:color w:val="auto"/>
                <w:sz w:val="20"/>
                <w:szCs w:val="20"/>
              </w:rPr>
              <w:t>+1D</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1"/>
              <w:jc w:val="center"/>
              <w:rPr>
                <w:color w:val="auto"/>
                <w:sz w:val="20"/>
                <w:szCs w:val="20"/>
              </w:rPr>
            </w:pPr>
            <w:r>
              <w:rPr>
                <w:color w:val="auto"/>
                <w:sz w:val="20"/>
                <w:szCs w:val="20"/>
              </w:rPr>
              <w:t>+1D</w:t>
            </w:r>
          </w:p>
        </w:tc>
        <w:tc>
          <w:tcPr>
            <w:tcW w:w="487" w:type="dxa"/>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adjustRightInd w:val="0"/>
              <w:snapToGrid w:val="0"/>
              <w:spacing w:line="240" w:lineRule="auto"/>
              <w:ind w:firstLine="0" w:firstLineChars="0"/>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土方挖掘</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pStyle w:val="332"/>
              <w:kinsoku w:val="0"/>
              <w:overflowPunct w:val="0"/>
              <w:snapToGrid w:val="0"/>
              <w:ind w:left="41"/>
              <w:jc w:val="center"/>
              <w:rPr>
                <w:color w:val="auto"/>
                <w:sz w:val="20"/>
                <w:szCs w:val="20"/>
              </w:rPr>
            </w:pPr>
            <w:r>
              <w:rPr>
                <w:color w:val="auto"/>
                <w:sz w:val="20"/>
                <w:szCs w:val="20"/>
              </w:rPr>
              <w:t>-1D</w:t>
            </w: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pStyle w:val="332"/>
              <w:kinsoku w:val="0"/>
              <w:overflowPunct w:val="0"/>
              <w:snapToGrid w:val="0"/>
              <w:ind w:left="39"/>
              <w:jc w:val="center"/>
              <w:rPr>
                <w:color w:val="auto"/>
                <w:sz w:val="20"/>
                <w:szCs w:val="20"/>
              </w:rPr>
            </w:pPr>
            <w:r>
              <w:rPr>
                <w:color w:val="auto"/>
                <w:sz w:val="20"/>
                <w:szCs w:val="20"/>
              </w:rPr>
              <w:t>-1D</w:t>
            </w:r>
          </w:p>
        </w:tc>
        <w:tc>
          <w:tcPr>
            <w:tcW w:w="427" w:type="dxa"/>
            <w:noWrap w:val="0"/>
            <w:vAlign w:val="center"/>
          </w:tcPr>
          <w:p>
            <w:pPr>
              <w:pStyle w:val="332"/>
              <w:kinsoku w:val="0"/>
              <w:overflowPunct w:val="0"/>
              <w:snapToGrid w:val="0"/>
              <w:ind w:left="40"/>
              <w:jc w:val="center"/>
              <w:rPr>
                <w:color w:val="auto"/>
                <w:sz w:val="20"/>
                <w:szCs w:val="20"/>
              </w:rPr>
            </w:pPr>
            <w:r>
              <w:rPr>
                <w:color w:val="auto"/>
                <w:sz w:val="20"/>
                <w:szCs w:val="20"/>
              </w:rPr>
              <w:t>-1D</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4"/>
              <w:jc w:val="center"/>
              <w:rPr>
                <w:color w:val="auto"/>
                <w:sz w:val="20"/>
                <w:szCs w:val="20"/>
              </w:rPr>
            </w:pPr>
            <w:r>
              <w:rPr>
                <w:color w:val="auto"/>
                <w:sz w:val="20"/>
                <w:szCs w:val="20"/>
              </w:rPr>
              <w:t>-1D</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4"/>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材料堆存</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4"/>
              <w:jc w:val="center"/>
              <w:rPr>
                <w:color w:val="auto"/>
                <w:sz w:val="20"/>
                <w:szCs w:val="20"/>
              </w:rPr>
            </w:pPr>
            <w:r>
              <w:rPr>
                <w:color w:val="auto"/>
                <w:sz w:val="20"/>
                <w:szCs w:val="20"/>
              </w:rPr>
              <w:t>-1D</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4"/>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建筑施工</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pStyle w:val="332"/>
              <w:kinsoku w:val="0"/>
              <w:overflowPunct w:val="0"/>
              <w:snapToGrid w:val="0"/>
              <w:ind w:left="41"/>
              <w:jc w:val="center"/>
              <w:rPr>
                <w:color w:val="auto"/>
                <w:sz w:val="20"/>
                <w:szCs w:val="20"/>
              </w:rPr>
            </w:pPr>
            <w:r>
              <w:rPr>
                <w:color w:val="auto"/>
                <w:sz w:val="20"/>
                <w:szCs w:val="20"/>
              </w:rPr>
              <w:t>-1D</w:t>
            </w: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0"/>
              <w:jc w:val="center"/>
              <w:rPr>
                <w:color w:val="auto"/>
                <w:sz w:val="20"/>
                <w:szCs w:val="20"/>
              </w:rPr>
            </w:pPr>
            <w:r>
              <w:rPr>
                <w:color w:val="auto"/>
                <w:sz w:val="20"/>
                <w:szCs w:val="20"/>
              </w:rPr>
              <w:t>-1D</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1"/>
              <w:jc w:val="center"/>
              <w:rPr>
                <w:color w:val="auto"/>
                <w:sz w:val="20"/>
                <w:szCs w:val="20"/>
              </w:rPr>
            </w:pPr>
            <w:r>
              <w:rPr>
                <w:color w:val="auto"/>
                <w:sz w:val="20"/>
                <w:szCs w:val="20"/>
              </w:rPr>
              <w:t>+1D</w:t>
            </w:r>
          </w:p>
        </w:tc>
        <w:tc>
          <w:tcPr>
            <w:tcW w:w="487" w:type="dxa"/>
            <w:noWrap w:val="0"/>
            <w:vAlign w:val="center"/>
          </w:tcPr>
          <w:p>
            <w:pPr>
              <w:pStyle w:val="332"/>
              <w:kinsoku w:val="0"/>
              <w:overflowPunct w:val="0"/>
              <w:snapToGrid w:val="0"/>
              <w:ind w:left="74"/>
              <w:jc w:val="center"/>
              <w:rPr>
                <w:color w:val="auto"/>
                <w:sz w:val="20"/>
                <w:szCs w:val="20"/>
              </w:rPr>
            </w:pPr>
            <w:r>
              <w:rPr>
                <w:color w:val="auto"/>
                <w:sz w:val="20"/>
                <w:szCs w:val="20"/>
              </w:rPr>
              <w:t>-1D</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adjustRightInd w:val="0"/>
              <w:snapToGrid w:val="0"/>
              <w:spacing w:line="240" w:lineRule="auto"/>
              <w:ind w:firstLine="0" w:firstLineChars="0"/>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pacing w:val="-8"/>
                <w:sz w:val="20"/>
                <w:szCs w:val="20"/>
              </w:rPr>
              <w:t>设备、材料、渣土运输</w:t>
            </w:r>
          </w:p>
        </w:tc>
        <w:tc>
          <w:tcPr>
            <w:tcW w:w="480" w:type="dxa"/>
            <w:noWrap w:val="0"/>
            <w:vAlign w:val="center"/>
          </w:tcPr>
          <w:p>
            <w:pPr>
              <w:pStyle w:val="332"/>
              <w:kinsoku w:val="0"/>
              <w:overflowPunct w:val="0"/>
              <w:snapToGrid w:val="0"/>
              <w:ind w:left="67"/>
              <w:jc w:val="center"/>
              <w:rPr>
                <w:color w:val="auto"/>
                <w:sz w:val="20"/>
                <w:szCs w:val="20"/>
              </w:rPr>
            </w:pPr>
            <w:r>
              <w:rPr>
                <w:color w:val="auto"/>
                <w:sz w:val="20"/>
                <w:szCs w:val="20"/>
              </w:rPr>
              <w:t>-1D</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0"/>
              <w:jc w:val="center"/>
              <w:rPr>
                <w:color w:val="auto"/>
                <w:sz w:val="20"/>
                <w:szCs w:val="20"/>
              </w:rPr>
            </w:pPr>
            <w:r>
              <w:rPr>
                <w:color w:val="auto"/>
                <w:sz w:val="20"/>
                <w:szCs w:val="20"/>
              </w:rPr>
              <w:t>-1D</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1"/>
              <w:jc w:val="center"/>
              <w:rPr>
                <w:color w:val="auto"/>
                <w:sz w:val="20"/>
                <w:szCs w:val="20"/>
              </w:rPr>
            </w:pPr>
            <w:r>
              <w:rPr>
                <w:color w:val="auto"/>
                <w:sz w:val="20"/>
                <w:szCs w:val="20"/>
              </w:rPr>
              <w:t>+1D</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restart"/>
            <w:noWrap w:val="0"/>
            <w:vAlign w:val="center"/>
          </w:tcPr>
          <w:p>
            <w:pPr>
              <w:pStyle w:val="332"/>
              <w:kinsoku w:val="0"/>
              <w:overflowPunct w:val="0"/>
              <w:snapToGrid w:val="0"/>
              <w:ind w:left="133" w:right="135"/>
              <w:jc w:val="center"/>
              <w:rPr>
                <w:color w:val="auto"/>
                <w:sz w:val="20"/>
                <w:szCs w:val="20"/>
              </w:rPr>
            </w:pPr>
            <w:r>
              <w:rPr>
                <w:color w:val="auto"/>
                <w:sz w:val="20"/>
                <w:szCs w:val="20"/>
              </w:rPr>
              <w:t>运</w:t>
            </w:r>
            <w:r>
              <w:rPr>
                <w:color w:val="auto"/>
                <w:w w:val="99"/>
                <w:sz w:val="20"/>
                <w:szCs w:val="20"/>
              </w:rPr>
              <w:t xml:space="preserve"> </w:t>
            </w:r>
            <w:r>
              <w:rPr>
                <w:color w:val="auto"/>
                <w:sz w:val="20"/>
                <w:szCs w:val="20"/>
              </w:rPr>
              <w:t>营</w:t>
            </w:r>
            <w:r>
              <w:rPr>
                <w:color w:val="auto"/>
                <w:w w:val="99"/>
                <w:sz w:val="20"/>
                <w:szCs w:val="20"/>
              </w:rPr>
              <w:t xml:space="preserve"> </w:t>
            </w:r>
            <w:r>
              <w:rPr>
                <w:color w:val="auto"/>
                <w:sz w:val="20"/>
                <w:szCs w:val="20"/>
              </w:rPr>
              <w:t>期</w:t>
            </w:r>
          </w:p>
        </w:tc>
        <w:tc>
          <w:tcPr>
            <w:tcW w:w="2062" w:type="dxa"/>
            <w:noWrap w:val="0"/>
            <w:vAlign w:val="center"/>
          </w:tcPr>
          <w:p>
            <w:pPr>
              <w:pStyle w:val="332"/>
              <w:kinsoku w:val="0"/>
              <w:overflowPunct w:val="0"/>
              <w:snapToGrid w:val="0"/>
              <w:jc w:val="center"/>
              <w:rPr>
                <w:color w:val="auto"/>
                <w:sz w:val="20"/>
                <w:szCs w:val="20"/>
              </w:rPr>
            </w:pPr>
            <w:r>
              <w:rPr>
                <w:color w:val="auto"/>
                <w:spacing w:val="-7"/>
                <w:sz w:val="20"/>
                <w:szCs w:val="20"/>
              </w:rPr>
              <w:t>饲料、</w:t>
            </w:r>
            <w:r>
              <w:rPr>
                <w:rFonts w:hint="eastAsia"/>
                <w:color w:val="auto"/>
                <w:spacing w:val="-7"/>
                <w:sz w:val="20"/>
                <w:szCs w:val="20"/>
                <w:lang w:val="en-US" w:eastAsia="zh-CN"/>
              </w:rPr>
              <w:t>育肥猪</w:t>
            </w:r>
            <w:r>
              <w:rPr>
                <w:color w:val="auto"/>
                <w:spacing w:val="-7"/>
                <w:sz w:val="20"/>
                <w:szCs w:val="20"/>
              </w:rPr>
              <w:t>及废物运输</w:t>
            </w:r>
          </w:p>
        </w:tc>
        <w:tc>
          <w:tcPr>
            <w:tcW w:w="480" w:type="dxa"/>
            <w:noWrap w:val="0"/>
            <w:vAlign w:val="center"/>
          </w:tcPr>
          <w:p>
            <w:pPr>
              <w:pStyle w:val="332"/>
              <w:kinsoku w:val="0"/>
              <w:overflowPunct w:val="0"/>
              <w:snapToGrid w:val="0"/>
              <w:ind w:left="72"/>
              <w:jc w:val="center"/>
              <w:rPr>
                <w:color w:val="auto"/>
                <w:sz w:val="20"/>
                <w:szCs w:val="20"/>
              </w:rPr>
            </w:pPr>
            <w:r>
              <w:rPr>
                <w:color w:val="auto"/>
                <w:sz w:val="20"/>
                <w:szCs w:val="20"/>
              </w:rPr>
              <w:t>-1C</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5"/>
              <w:jc w:val="center"/>
              <w:rPr>
                <w:color w:val="auto"/>
                <w:sz w:val="20"/>
                <w:szCs w:val="20"/>
              </w:rPr>
            </w:pPr>
            <w:r>
              <w:rPr>
                <w:color w:val="auto"/>
                <w:sz w:val="20"/>
                <w:szCs w:val="20"/>
              </w:rPr>
              <w:t>-1C</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8"/>
              <w:jc w:val="center"/>
              <w:rPr>
                <w:color w:val="auto"/>
                <w:sz w:val="20"/>
                <w:szCs w:val="20"/>
              </w:rPr>
            </w:pPr>
            <w:r>
              <w:rPr>
                <w:color w:val="auto"/>
                <w:sz w:val="20"/>
                <w:szCs w:val="20"/>
              </w:rPr>
              <w:t>+1C</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6"/>
              <w:jc w:val="center"/>
              <w:rPr>
                <w:color w:val="auto"/>
                <w:sz w:val="20"/>
                <w:szCs w:val="20"/>
              </w:rPr>
            </w:pPr>
            <w:r>
              <w:rPr>
                <w:color w:val="auto"/>
                <w:sz w:val="20"/>
                <w:szCs w:val="20"/>
              </w:rPr>
              <w:t>+1C</w:t>
            </w: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9"/>
              <w:jc w:val="center"/>
              <w:rPr>
                <w:color w:val="auto"/>
                <w:sz w:val="20"/>
                <w:szCs w:val="20"/>
              </w:rPr>
            </w:pPr>
          </w:p>
        </w:tc>
        <w:tc>
          <w:tcPr>
            <w:tcW w:w="2062" w:type="dxa"/>
            <w:noWrap w:val="0"/>
            <w:vAlign w:val="center"/>
          </w:tcPr>
          <w:p>
            <w:pPr>
              <w:pStyle w:val="332"/>
              <w:kinsoku w:val="0"/>
              <w:overflowPunct w:val="0"/>
              <w:snapToGrid w:val="0"/>
              <w:ind w:right="1"/>
              <w:jc w:val="center"/>
              <w:rPr>
                <w:color w:val="auto"/>
                <w:sz w:val="20"/>
                <w:szCs w:val="20"/>
              </w:rPr>
            </w:pPr>
            <w:r>
              <w:rPr>
                <w:color w:val="auto"/>
                <w:sz w:val="20"/>
                <w:szCs w:val="20"/>
              </w:rPr>
              <w:t>猪养殖</w:t>
            </w:r>
          </w:p>
        </w:tc>
        <w:tc>
          <w:tcPr>
            <w:tcW w:w="480" w:type="dxa"/>
            <w:noWrap w:val="0"/>
            <w:vAlign w:val="center"/>
          </w:tcPr>
          <w:p>
            <w:pPr>
              <w:pStyle w:val="332"/>
              <w:kinsoku w:val="0"/>
              <w:overflowPunct w:val="0"/>
              <w:snapToGrid w:val="0"/>
              <w:ind w:left="72"/>
              <w:jc w:val="center"/>
              <w:rPr>
                <w:color w:val="auto"/>
                <w:sz w:val="20"/>
                <w:szCs w:val="20"/>
              </w:rPr>
            </w:pPr>
            <w:r>
              <w:rPr>
                <w:color w:val="auto"/>
                <w:sz w:val="20"/>
                <w:szCs w:val="20"/>
              </w:rPr>
              <w:t>-2C</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5"/>
              <w:jc w:val="center"/>
              <w:rPr>
                <w:color w:val="auto"/>
                <w:sz w:val="20"/>
                <w:szCs w:val="20"/>
              </w:rPr>
            </w:pPr>
            <w:r>
              <w:rPr>
                <w:color w:val="auto"/>
                <w:sz w:val="20"/>
                <w:szCs w:val="20"/>
              </w:rPr>
              <w:t>-1C</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8"/>
              <w:jc w:val="center"/>
              <w:rPr>
                <w:color w:val="auto"/>
                <w:sz w:val="20"/>
                <w:szCs w:val="20"/>
              </w:rPr>
            </w:pPr>
            <w:r>
              <w:rPr>
                <w:color w:val="auto"/>
                <w:sz w:val="20"/>
                <w:szCs w:val="20"/>
              </w:rPr>
              <w:t>+2C</w:t>
            </w:r>
          </w:p>
        </w:tc>
        <w:tc>
          <w:tcPr>
            <w:tcW w:w="497" w:type="dxa"/>
            <w:noWrap w:val="0"/>
            <w:vAlign w:val="center"/>
          </w:tcPr>
          <w:p>
            <w:pPr>
              <w:pStyle w:val="332"/>
              <w:kinsoku w:val="0"/>
              <w:overflowPunct w:val="0"/>
              <w:snapToGrid w:val="0"/>
              <w:ind w:left="57"/>
              <w:jc w:val="center"/>
              <w:rPr>
                <w:color w:val="auto"/>
                <w:sz w:val="20"/>
                <w:szCs w:val="20"/>
              </w:rPr>
            </w:pPr>
            <w:r>
              <w:rPr>
                <w:color w:val="auto"/>
                <w:sz w:val="20"/>
                <w:szCs w:val="20"/>
              </w:rPr>
              <w:t>+1C</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pStyle w:val="332"/>
              <w:kinsoku w:val="0"/>
              <w:overflowPunct w:val="0"/>
              <w:snapToGrid w:val="0"/>
              <w:ind w:left="57"/>
              <w:jc w:val="center"/>
              <w:rPr>
                <w:color w:val="auto"/>
                <w:sz w:val="20"/>
                <w:szCs w:val="20"/>
              </w:rPr>
            </w:pPr>
            <w:r>
              <w:rPr>
                <w:color w:val="auto"/>
                <w:sz w:val="20"/>
                <w:szCs w:val="20"/>
              </w:rPr>
              <w:t>+1C</w:t>
            </w:r>
          </w:p>
        </w:tc>
        <w:tc>
          <w:tcPr>
            <w:tcW w:w="497" w:type="dxa"/>
            <w:noWrap w:val="0"/>
            <w:vAlign w:val="center"/>
          </w:tcPr>
          <w:p>
            <w:pPr>
              <w:pStyle w:val="332"/>
              <w:kinsoku w:val="0"/>
              <w:overflowPunct w:val="0"/>
              <w:snapToGrid w:val="0"/>
              <w:ind w:left="56"/>
              <w:jc w:val="center"/>
              <w:rPr>
                <w:color w:val="auto"/>
                <w:sz w:val="20"/>
                <w:szCs w:val="20"/>
              </w:rPr>
            </w:pPr>
            <w:r>
              <w:rPr>
                <w:color w:val="auto"/>
                <w:sz w:val="20"/>
                <w:szCs w:val="20"/>
              </w:rPr>
              <w:t>+1C</w:t>
            </w: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9"/>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废气排放</w:t>
            </w:r>
          </w:p>
        </w:tc>
        <w:tc>
          <w:tcPr>
            <w:tcW w:w="480" w:type="dxa"/>
            <w:noWrap w:val="0"/>
            <w:vAlign w:val="center"/>
          </w:tcPr>
          <w:p>
            <w:pPr>
              <w:pStyle w:val="332"/>
              <w:kinsoku w:val="0"/>
              <w:overflowPunct w:val="0"/>
              <w:snapToGrid w:val="0"/>
              <w:ind w:left="72"/>
              <w:jc w:val="center"/>
              <w:rPr>
                <w:color w:val="auto"/>
                <w:sz w:val="20"/>
                <w:szCs w:val="20"/>
              </w:rPr>
            </w:pPr>
            <w:r>
              <w:rPr>
                <w:color w:val="auto"/>
                <w:sz w:val="20"/>
                <w:szCs w:val="20"/>
              </w:rPr>
              <w:t>-2C</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536" w:type="dxa"/>
            <w:noWrap w:val="0"/>
            <w:vAlign w:val="center"/>
          </w:tcPr>
          <w:p>
            <w:pPr>
              <w:pStyle w:val="332"/>
              <w:kinsoku w:val="0"/>
              <w:overflowPunct w:val="0"/>
              <w:snapToGrid w:val="0"/>
              <w:ind w:left="100"/>
              <w:jc w:val="center"/>
              <w:rPr>
                <w:color w:val="auto"/>
                <w:sz w:val="20"/>
                <w:szCs w:val="20"/>
              </w:rPr>
            </w:pPr>
            <w:r>
              <w:rPr>
                <w:color w:val="auto"/>
                <w:sz w:val="20"/>
                <w:szCs w:val="20"/>
              </w:rPr>
              <w:t>-1C</w:t>
            </w: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9"/>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废水排放</w:t>
            </w:r>
          </w:p>
        </w:tc>
        <w:tc>
          <w:tcPr>
            <w:tcW w:w="480" w:type="dxa"/>
            <w:noWrap w:val="0"/>
            <w:vAlign w:val="center"/>
          </w:tcPr>
          <w:p>
            <w:pPr>
              <w:pStyle w:val="332"/>
              <w:kinsoku w:val="0"/>
              <w:overflowPunct w:val="0"/>
              <w:snapToGrid w:val="0"/>
              <w:ind w:left="72"/>
              <w:jc w:val="center"/>
              <w:rPr>
                <w:color w:val="auto"/>
                <w:sz w:val="20"/>
                <w:szCs w:val="20"/>
              </w:rPr>
            </w:pPr>
            <w:r>
              <w:rPr>
                <w:color w:val="auto"/>
                <w:sz w:val="20"/>
                <w:szCs w:val="20"/>
              </w:rPr>
              <w:t>-1C</w:t>
            </w:r>
          </w:p>
        </w:tc>
        <w:tc>
          <w:tcPr>
            <w:tcW w:w="427" w:type="dxa"/>
            <w:noWrap w:val="0"/>
            <w:vAlign w:val="center"/>
          </w:tcPr>
          <w:p>
            <w:pPr>
              <w:pStyle w:val="332"/>
              <w:kinsoku w:val="0"/>
              <w:overflowPunct w:val="0"/>
              <w:snapToGrid w:val="0"/>
              <w:ind w:left="45"/>
              <w:jc w:val="center"/>
              <w:rPr>
                <w:color w:val="auto"/>
                <w:sz w:val="20"/>
                <w:szCs w:val="20"/>
              </w:rPr>
            </w:pPr>
            <w:r>
              <w:rPr>
                <w:color w:val="auto"/>
                <w:sz w:val="20"/>
                <w:szCs w:val="20"/>
              </w:rPr>
              <w:t>-1C</w:t>
            </w: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pStyle w:val="332"/>
              <w:kinsoku w:val="0"/>
              <w:overflowPunct w:val="0"/>
              <w:snapToGrid w:val="0"/>
              <w:ind w:left="97"/>
              <w:jc w:val="center"/>
              <w:rPr>
                <w:color w:val="auto"/>
                <w:sz w:val="20"/>
                <w:szCs w:val="20"/>
              </w:rPr>
            </w:pPr>
            <w:r>
              <w:rPr>
                <w:color w:val="auto"/>
                <w:sz w:val="20"/>
                <w:szCs w:val="20"/>
              </w:rPr>
              <w:t>-1C</w:t>
            </w: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9"/>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噪声排放</w:t>
            </w:r>
          </w:p>
        </w:tc>
        <w:tc>
          <w:tcPr>
            <w:tcW w:w="480"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pStyle w:val="332"/>
              <w:kinsoku w:val="0"/>
              <w:overflowPunct w:val="0"/>
              <w:snapToGrid w:val="0"/>
              <w:ind w:left="45"/>
              <w:jc w:val="center"/>
              <w:rPr>
                <w:color w:val="auto"/>
                <w:sz w:val="20"/>
                <w:szCs w:val="20"/>
              </w:rPr>
            </w:pPr>
            <w:r>
              <w:rPr>
                <w:color w:val="auto"/>
                <w:sz w:val="20"/>
                <w:szCs w:val="20"/>
              </w:rPr>
              <w:t>-1C</w:t>
            </w: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504" w:type="dxa"/>
            <w:vMerge w:val="continue"/>
            <w:noWrap w:val="0"/>
            <w:vAlign w:val="center"/>
          </w:tcPr>
          <w:p>
            <w:pPr>
              <w:pStyle w:val="332"/>
              <w:kinsoku w:val="0"/>
              <w:overflowPunct w:val="0"/>
              <w:snapToGrid w:val="0"/>
              <w:ind w:left="79"/>
              <w:jc w:val="center"/>
              <w:rPr>
                <w:color w:val="auto"/>
                <w:sz w:val="20"/>
                <w:szCs w:val="20"/>
              </w:rPr>
            </w:pPr>
          </w:p>
        </w:tc>
        <w:tc>
          <w:tcPr>
            <w:tcW w:w="2062" w:type="dxa"/>
            <w:noWrap w:val="0"/>
            <w:vAlign w:val="center"/>
          </w:tcPr>
          <w:p>
            <w:pPr>
              <w:pStyle w:val="332"/>
              <w:kinsoku w:val="0"/>
              <w:overflowPunct w:val="0"/>
              <w:snapToGrid w:val="0"/>
              <w:jc w:val="center"/>
              <w:rPr>
                <w:color w:val="auto"/>
                <w:sz w:val="20"/>
                <w:szCs w:val="20"/>
              </w:rPr>
            </w:pPr>
            <w:r>
              <w:rPr>
                <w:color w:val="auto"/>
                <w:sz w:val="20"/>
                <w:szCs w:val="20"/>
              </w:rPr>
              <w:t>固体废物堆放</w:t>
            </w:r>
          </w:p>
        </w:tc>
        <w:tc>
          <w:tcPr>
            <w:tcW w:w="480" w:type="dxa"/>
            <w:noWrap w:val="0"/>
            <w:vAlign w:val="center"/>
          </w:tcPr>
          <w:p>
            <w:pPr>
              <w:pStyle w:val="332"/>
              <w:kinsoku w:val="0"/>
              <w:overflowPunct w:val="0"/>
              <w:snapToGrid w:val="0"/>
              <w:ind w:left="72"/>
              <w:jc w:val="center"/>
              <w:rPr>
                <w:color w:val="auto"/>
                <w:sz w:val="20"/>
                <w:szCs w:val="20"/>
              </w:rPr>
            </w:pPr>
            <w:r>
              <w:rPr>
                <w:color w:val="auto"/>
                <w:sz w:val="20"/>
                <w:szCs w:val="20"/>
              </w:rPr>
              <w:t>-1C</w:t>
            </w: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5" w:type="dxa"/>
            <w:noWrap w:val="0"/>
            <w:vAlign w:val="center"/>
          </w:tcPr>
          <w:p>
            <w:pPr>
              <w:adjustRightInd w:val="0"/>
              <w:snapToGrid w:val="0"/>
              <w:spacing w:line="240" w:lineRule="auto"/>
              <w:ind w:firstLine="0" w:firstLineChars="0"/>
              <w:jc w:val="center"/>
              <w:rPr>
                <w:color w:val="auto"/>
                <w:sz w:val="20"/>
                <w:szCs w:val="20"/>
              </w:rPr>
            </w:pPr>
          </w:p>
        </w:tc>
        <w:tc>
          <w:tcPr>
            <w:tcW w:w="427" w:type="dxa"/>
            <w:noWrap w:val="0"/>
            <w:vAlign w:val="center"/>
          </w:tcPr>
          <w:p>
            <w:pPr>
              <w:adjustRightInd w:val="0"/>
              <w:snapToGrid w:val="0"/>
              <w:spacing w:line="240" w:lineRule="auto"/>
              <w:ind w:firstLine="0" w:firstLineChars="0"/>
              <w:jc w:val="center"/>
              <w:rPr>
                <w:color w:val="auto"/>
                <w:sz w:val="20"/>
                <w:szCs w:val="20"/>
              </w:rPr>
            </w:pPr>
          </w:p>
        </w:tc>
        <w:tc>
          <w:tcPr>
            <w:tcW w:w="536" w:type="dxa"/>
            <w:noWrap w:val="0"/>
            <w:vAlign w:val="center"/>
          </w:tcPr>
          <w:p>
            <w:pPr>
              <w:adjustRightInd w:val="0"/>
              <w:snapToGrid w:val="0"/>
              <w:spacing w:line="240" w:lineRule="auto"/>
              <w:ind w:firstLine="0" w:firstLineChars="0"/>
              <w:jc w:val="center"/>
              <w:rPr>
                <w:color w:val="auto"/>
                <w:sz w:val="20"/>
                <w:szCs w:val="20"/>
              </w:rPr>
            </w:pPr>
          </w:p>
        </w:tc>
        <w:tc>
          <w:tcPr>
            <w:tcW w:w="529"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97" w:type="dxa"/>
            <w:noWrap w:val="0"/>
            <w:vAlign w:val="center"/>
          </w:tcPr>
          <w:p>
            <w:pPr>
              <w:adjustRightInd w:val="0"/>
              <w:snapToGrid w:val="0"/>
              <w:spacing w:line="240" w:lineRule="auto"/>
              <w:ind w:firstLine="0" w:firstLineChars="0"/>
              <w:jc w:val="center"/>
              <w:rPr>
                <w:color w:val="auto"/>
                <w:sz w:val="20"/>
                <w:szCs w:val="20"/>
              </w:rPr>
            </w:pPr>
          </w:p>
        </w:tc>
        <w:tc>
          <w:tcPr>
            <w:tcW w:w="487" w:type="dxa"/>
            <w:noWrap w:val="0"/>
            <w:vAlign w:val="center"/>
          </w:tcPr>
          <w:p>
            <w:pPr>
              <w:pStyle w:val="332"/>
              <w:kinsoku w:val="0"/>
              <w:overflowPunct w:val="0"/>
              <w:snapToGrid w:val="0"/>
              <w:ind w:left="79"/>
              <w:jc w:val="center"/>
              <w:rPr>
                <w:color w:val="auto"/>
                <w:sz w:val="20"/>
                <w:szCs w:val="20"/>
              </w:rPr>
            </w:pPr>
            <w:r>
              <w:rPr>
                <w:color w:val="auto"/>
                <w:sz w:val="20"/>
                <w:szCs w:val="20"/>
              </w:rPr>
              <w:t>-1C</w:t>
            </w:r>
          </w:p>
        </w:tc>
      </w:tr>
    </w:tbl>
    <w:p>
      <w:pPr>
        <w:pStyle w:val="3"/>
        <w:kinsoku w:val="0"/>
        <w:overflowPunct w:val="0"/>
        <w:spacing w:line="269" w:lineRule="exact"/>
        <w:ind w:right="94" w:firstLine="0" w:firstLineChars="0"/>
        <w:rPr>
          <w:rFonts w:ascii="Times New Roman" w:hAnsi="Times New Roman" w:eastAsia="黑体"/>
          <w:color w:val="auto"/>
          <w:sz w:val="21"/>
          <w:szCs w:val="21"/>
        </w:rPr>
      </w:pPr>
      <w:r>
        <w:rPr>
          <w:rFonts w:ascii="Times New Roman" w:hAnsi="Times New Roman" w:eastAsia="黑体"/>
          <w:bCs/>
          <w:color w:val="auto"/>
          <w:sz w:val="21"/>
          <w:szCs w:val="21"/>
        </w:rPr>
        <w:t>注：表中“D</w:t>
      </w:r>
      <w:r>
        <w:rPr>
          <w:rFonts w:ascii="Times New Roman" w:hAnsi="Times New Roman" w:eastAsia="黑体"/>
          <w:bCs/>
          <w:color w:val="auto"/>
          <w:spacing w:val="-22"/>
          <w:sz w:val="21"/>
          <w:szCs w:val="21"/>
        </w:rPr>
        <w:t>”</w:t>
      </w:r>
      <w:r>
        <w:rPr>
          <w:rFonts w:ascii="Times New Roman" w:hAnsi="Times New Roman" w:eastAsia="黑体"/>
          <w:bCs/>
          <w:color w:val="auto"/>
          <w:sz w:val="21"/>
          <w:szCs w:val="21"/>
        </w:rPr>
        <w:t>表示短期，“C”表示长期；“1”表示较小，“2”表示有一定影响，“3”表示较大。“-”表示负影响，“+”表示正影响；空白表示相互作用不明显。</w:t>
      </w:r>
    </w:p>
    <w:p>
      <w:pPr>
        <w:pStyle w:val="16"/>
        <w:spacing w:line="360" w:lineRule="auto"/>
        <w:ind w:firstLine="480"/>
        <w:rPr>
          <w:rFonts w:ascii="Times New Roman" w:hAnsi="Times New Roman"/>
          <w:color w:val="auto"/>
        </w:rPr>
      </w:pPr>
      <w:r>
        <w:rPr>
          <w:rFonts w:ascii="Times New Roman" w:hAnsi="Times New Roman"/>
          <w:color w:val="auto"/>
        </w:rPr>
        <w:t>从表2.4-1中可以看出，有建设前期需要的土地平整、渣土运输等施工活动，对自然环境和社会环境有一定的不利影响。施工期的施工行为（有土方挖掘、材料运输、堆存、建筑施工、渣土运输等），对环境空气、地表水、土壤和声环境有一定的不利影响。运营期对环境的影响是多方面的，其中最主要的是对自然环境中的环境空气、水环境、土壤等产生不同程度的负影响。</w:t>
      </w:r>
    </w:p>
    <w:p>
      <w:pPr>
        <w:pStyle w:val="16"/>
        <w:spacing w:line="360" w:lineRule="auto"/>
        <w:ind w:firstLine="480"/>
        <w:rPr>
          <w:rFonts w:ascii="Times New Roman" w:hAnsi="Times New Roman"/>
          <w:color w:val="auto"/>
        </w:rPr>
      </w:pPr>
      <w:r>
        <w:rPr>
          <w:rFonts w:ascii="Times New Roman" w:hAnsi="Times New Roman"/>
          <w:color w:val="auto"/>
        </w:rPr>
        <w:t>建设前期、施工期的影响是局部且短暂的</w:t>
      </w:r>
      <w:r>
        <w:rPr>
          <w:rFonts w:hint="eastAsia" w:ascii="Times New Roman" w:hAnsi="Times New Roman"/>
          <w:color w:val="auto"/>
        </w:rPr>
        <w:t>，</w:t>
      </w:r>
      <w:r>
        <w:rPr>
          <w:rFonts w:ascii="Times New Roman" w:hAnsi="Times New Roman"/>
          <w:color w:val="auto"/>
        </w:rPr>
        <w:t>而工程运营期的影响则是长期的。</w:t>
      </w:r>
    </w:p>
    <w:p>
      <w:pPr>
        <w:ind w:firstLine="480"/>
        <w:rPr>
          <w:color w:val="auto"/>
        </w:rPr>
      </w:pPr>
      <w:r>
        <w:rPr>
          <w:color w:val="auto"/>
        </w:rPr>
        <w:t>对环境的正影响则主要表现在社会经济环境，项目运营过程中，大量生产原料（主要为猪饲料）的采购、集约化养殖技术的应用有利于经济发展和节能降耗；项目需要工人，有利于劳动就业；项目养殖的</w:t>
      </w:r>
      <w:r>
        <w:rPr>
          <w:rFonts w:hint="eastAsia"/>
          <w:color w:val="auto"/>
          <w:lang w:val="en-US" w:eastAsia="zh-CN"/>
        </w:rPr>
        <w:t>育肥猪</w:t>
      </w:r>
      <w:r>
        <w:rPr>
          <w:color w:val="auto"/>
        </w:rPr>
        <w:t>，有利于优质生猪的供应。</w:t>
      </w:r>
    </w:p>
    <w:p>
      <w:pPr>
        <w:pStyle w:val="8"/>
        <w:bidi w:val="0"/>
        <w:rPr>
          <w:color w:val="auto"/>
        </w:rPr>
      </w:pPr>
      <w:r>
        <w:rPr>
          <w:rFonts w:hint="eastAsia"/>
          <w:color w:val="auto"/>
        </w:rPr>
        <w:t>评价因子筛选</w:t>
      </w:r>
    </w:p>
    <w:p>
      <w:pPr>
        <w:ind w:firstLine="480"/>
        <w:rPr>
          <w:color w:val="auto"/>
        </w:rPr>
      </w:pPr>
      <w:r>
        <w:rPr>
          <w:color w:val="auto"/>
        </w:rPr>
        <w:t>在识别项目主要环境影响因素的基础上，根据工程污染物排放特点和对环境因素影响的程度，同时类比同类项目情况，确定本次评价因子见表2.4-2。</w:t>
      </w:r>
    </w:p>
    <w:p>
      <w:pPr>
        <w:pStyle w:val="166"/>
        <w:spacing w:before="120" w:beforeLines="0"/>
        <w:rPr>
          <w:color w:val="auto"/>
        </w:rPr>
      </w:pPr>
      <w:r>
        <w:rPr>
          <w:color w:val="auto"/>
        </w:rPr>
        <w:t>表2.4-2</w:t>
      </w:r>
      <w:r>
        <w:rPr>
          <w:rFonts w:hint="eastAsia"/>
          <w:color w:val="auto"/>
          <w:lang w:val="en-US" w:eastAsia="zh-CN"/>
        </w:rPr>
        <w:t xml:space="preserve"> </w:t>
      </w:r>
      <w:r>
        <w:rPr>
          <w:color w:val="auto"/>
        </w:rPr>
        <w:t>环境影响评价因子汇总表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237"/>
        <w:gridCol w:w="4522"/>
        <w:gridCol w:w="1497"/>
        <w:gridCol w:w="1531"/>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b/>
                <w:bCs/>
                <w:color w:val="auto"/>
                <w:sz w:val="20"/>
                <w:szCs w:val="20"/>
              </w:rPr>
            </w:pPr>
            <w:r>
              <w:rPr>
                <w:b/>
                <w:bCs/>
                <w:color w:val="auto"/>
                <w:sz w:val="20"/>
                <w:szCs w:val="20"/>
              </w:rPr>
              <w:t>环境</w:t>
            </w:r>
            <w:r>
              <w:rPr>
                <w:rFonts w:hint="eastAsia"/>
                <w:b/>
                <w:bCs/>
                <w:color w:val="auto"/>
                <w:sz w:val="20"/>
                <w:szCs w:val="20"/>
              </w:rPr>
              <w:t>要素</w:t>
            </w:r>
          </w:p>
        </w:tc>
        <w:tc>
          <w:tcPr>
            <w:tcW w:w="4522" w:type="dxa"/>
            <w:noWrap w:val="0"/>
            <w:vAlign w:val="center"/>
          </w:tcPr>
          <w:p>
            <w:pPr>
              <w:pStyle w:val="332"/>
              <w:kinsoku w:val="0"/>
              <w:overflowPunct w:val="0"/>
              <w:jc w:val="center"/>
              <w:rPr>
                <w:b/>
                <w:bCs/>
                <w:color w:val="auto"/>
                <w:sz w:val="20"/>
                <w:szCs w:val="20"/>
              </w:rPr>
            </w:pPr>
            <w:r>
              <w:rPr>
                <w:b/>
                <w:bCs/>
                <w:color w:val="auto"/>
                <w:sz w:val="20"/>
                <w:szCs w:val="20"/>
              </w:rPr>
              <w:t>现状评价因子</w:t>
            </w:r>
          </w:p>
        </w:tc>
        <w:tc>
          <w:tcPr>
            <w:tcW w:w="1497" w:type="dxa"/>
            <w:noWrap w:val="0"/>
            <w:vAlign w:val="center"/>
          </w:tcPr>
          <w:p>
            <w:pPr>
              <w:pStyle w:val="332"/>
              <w:kinsoku w:val="0"/>
              <w:overflowPunct w:val="0"/>
              <w:jc w:val="center"/>
              <w:rPr>
                <w:b/>
                <w:bCs/>
                <w:color w:val="auto"/>
                <w:sz w:val="20"/>
                <w:szCs w:val="20"/>
              </w:rPr>
            </w:pPr>
            <w:r>
              <w:rPr>
                <w:b/>
                <w:bCs/>
                <w:color w:val="auto"/>
                <w:sz w:val="20"/>
                <w:szCs w:val="20"/>
              </w:rPr>
              <w:t>影响评价因子</w:t>
            </w:r>
          </w:p>
        </w:tc>
        <w:tc>
          <w:tcPr>
            <w:tcW w:w="1531" w:type="dxa"/>
            <w:noWrap w:val="0"/>
            <w:vAlign w:val="center"/>
          </w:tcPr>
          <w:p>
            <w:pPr>
              <w:pStyle w:val="332"/>
              <w:kinsoku w:val="0"/>
              <w:overflowPunct w:val="0"/>
              <w:jc w:val="center"/>
              <w:rPr>
                <w:b/>
                <w:bCs/>
                <w:color w:val="auto"/>
                <w:sz w:val="20"/>
                <w:szCs w:val="20"/>
              </w:rPr>
            </w:pPr>
            <w:r>
              <w:rPr>
                <w:b/>
                <w:bCs/>
                <w:color w:val="auto"/>
                <w:sz w:val="20"/>
                <w:szCs w:val="20"/>
              </w:rPr>
              <w:t>总量控制因子</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color w:val="auto"/>
                <w:sz w:val="20"/>
                <w:szCs w:val="20"/>
              </w:rPr>
            </w:pPr>
            <w:r>
              <w:rPr>
                <w:color w:val="auto"/>
                <w:sz w:val="20"/>
                <w:szCs w:val="20"/>
              </w:rPr>
              <w:t>大气环境</w:t>
            </w:r>
          </w:p>
        </w:tc>
        <w:tc>
          <w:tcPr>
            <w:tcW w:w="4522" w:type="dxa"/>
            <w:noWrap w:val="0"/>
            <w:vAlign w:val="center"/>
          </w:tcPr>
          <w:p>
            <w:pPr>
              <w:pStyle w:val="332"/>
              <w:kinsoku w:val="0"/>
              <w:overflowPunct w:val="0"/>
              <w:ind w:left="106"/>
              <w:jc w:val="center"/>
              <w:rPr>
                <w:rFonts w:hint="eastAsia" w:eastAsia="宋体"/>
                <w:color w:val="auto"/>
                <w:sz w:val="20"/>
                <w:szCs w:val="20"/>
                <w:lang w:eastAsia="zh-CN"/>
              </w:rPr>
            </w:pPr>
            <w:r>
              <w:rPr>
                <w:color w:val="auto"/>
                <w:spacing w:val="-4"/>
                <w:position w:val="2"/>
                <w:sz w:val="20"/>
                <w:szCs w:val="20"/>
              </w:rPr>
              <w:t>PM</w:t>
            </w:r>
            <w:r>
              <w:rPr>
                <w:color w:val="auto"/>
                <w:spacing w:val="-4"/>
                <w:sz w:val="20"/>
                <w:szCs w:val="20"/>
                <w:vertAlign w:val="subscript"/>
              </w:rPr>
              <w:t>2.5</w:t>
            </w:r>
            <w:r>
              <w:rPr>
                <w:color w:val="auto"/>
                <w:spacing w:val="-4"/>
                <w:position w:val="2"/>
                <w:sz w:val="20"/>
                <w:szCs w:val="20"/>
              </w:rPr>
              <w:t>、PM</w:t>
            </w:r>
            <w:r>
              <w:rPr>
                <w:color w:val="auto"/>
                <w:spacing w:val="-4"/>
                <w:sz w:val="20"/>
                <w:szCs w:val="20"/>
                <w:vertAlign w:val="subscript"/>
              </w:rPr>
              <w:t>10</w:t>
            </w:r>
            <w:r>
              <w:rPr>
                <w:color w:val="auto"/>
                <w:spacing w:val="-4"/>
                <w:position w:val="2"/>
                <w:sz w:val="20"/>
                <w:szCs w:val="20"/>
              </w:rPr>
              <w:t>、CO、O</w:t>
            </w:r>
            <w:r>
              <w:rPr>
                <w:color w:val="auto"/>
                <w:spacing w:val="-4"/>
                <w:sz w:val="20"/>
                <w:szCs w:val="20"/>
                <w:vertAlign w:val="subscript"/>
              </w:rPr>
              <w:t>3</w:t>
            </w:r>
            <w:r>
              <w:rPr>
                <w:color w:val="auto"/>
                <w:spacing w:val="-4"/>
                <w:position w:val="2"/>
                <w:sz w:val="20"/>
                <w:szCs w:val="20"/>
              </w:rPr>
              <w:t>、SO</w:t>
            </w:r>
            <w:r>
              <w:rPr>
                <w:color w:val="auto"/>
                <w:spacing w:val="-4"/>
                <w:sz w:val="20"/>
                <w:szCs w:val="20"/>
                <w:vertAlign w:val="subscript"/>
              </w:rPr>
              <w:t>2</w:t>
            </w:r>
            <w:r>
              <w:rPr>
                <w:color w:val="auto"/>
                <w:spacing w:val="-4"/>
                <w:position w:val="2"/>
                <w:sz w:val="20"/>
                <w:szCs w:val="20"/>
              </w:rPr>
              <w:t>、NO</w:t>
            </w:r>
            <w:r>
              <w:rPr>
                <w:color w:val="auto"/>
                <w:spacing w:val="-4"/>
                <w:sz w:val="20"/>
                <w:szCs w:val="20"/>
                <w:vertAlign w:val="subscript"/>
              </w:rPr>
              <w:t>2</w:t>
            </w:r>
            <w:r>
              <w:rPr>
                <w:color w:val="auto"/>
                <w:spacing w:val="-4"/>
                <w:position w:val="2"/>
                <w:sz w:val="20"/>
                <w:szCs w:val="20"/>
              </w:rPr>
              <w:t>、NH</w:t>
            </w:r>
            <w:r>
              <w:rPr>
                <w:color w:val="auto"/>
                <w:spacing w:val="-4"/>
                <w:sz w:val="20"/>
                <w:szCs w:val="20"/>
                <w:vertAlign w:val="subscript"/>
              </w:rPr>
              <w:t>3</w:t>
            </w:r>
            <w:r>
              <w:rPr>
                <w:color w:val="auto"/>
                <w:spacing w:val="-4"/>
                <w:position w:val="2"/>
                <w:sz w:val="20"/>
                <w:szCs w:val="20"/>
              </w:rPr>
              <w:t>、H</w:t>
            </w:r>
            <w:r>
              <w:rPr>
                <w:color w:val="auto"/>
                <w:spacing w:val="-4"/>
                <w:sz w:val="20"/>
                <w:szCs w:val="20"/>
                <w:vertAlign w:val="subscript"/>
              </w:rPr>
              <w:t>2</w:t>
            </w:r>
            <w:r>
              <w:rPr>
                <w:color w:val="auto"/>
                <w:spacing w:val="-4"/>
                <w:position w:val="2"/>
                <w:sz w:val="20"/>
                <w:szCs w:val="20"/>
              </w:rPr>
              <w:t>S</w:t>
            </w:r>
            <w:r>
              <w:rPr>
                <w:rFonts w:hint="eastAsia"/>
                <w:color w:val="auto"/>
                <w:spacing w:val="-4"/>
                <w:position w:val="2"/>
                <w:sz w:val="20"/>
                <w:szCs w:val="20"/>
                <w:lang w:eastAsia="zh-CN"/>
              </w:rPr>
              <w:t>、</w:t>
            </w:r>
            <w:r>
              <w:rPr>
                <w:rFonts w:hint="eastAsia" w:cs="Times New Roman"/>
                <w:color w:val="auto"/>
                <w:sz w:val="21"/>
                <w:szCs w:val="21"/>
                <w:lang w:val="en-US" w:eastAsia="zh-CN"/>
              </w:rPr>
              <w:t>臭气浓度</w:t>
            </w:r>
          </w:p>
        </w:tc>
        <w:tc>
          <w:tcPr>
            <w:tcW w:w="1497" w:type="dxa"/>
            <w:noWrap w:val="0"/>
            <w:vAlign w:val="center"/>
          </w:tcPr>
          <w:p>
            <w:pPr>
              <w:pStyle w:val="332"/>
              <w:kinsoku w:val="0"/>
              <w:overflowPunct w:val="0"/>
              <w:jc w:val="center"/>
              <w:rPr>
                <w:color w:val="auto"/>
                <w:sz w:val="20"/>
                <w:szCs w:val="20"/>
              </w:rPr>
            </w:pPr>
            <w:r>
              <w:rPr>
                <w:color w:val="auto"/>
                <w:position w:val="2"/>
                <w:sz w:val="20"/>
                <w:szCs w:val="20"/>
              </w:rPr>
              <w:t>NH</w:t>
            </w:r>
            <w:r>
              <w:rPr>
                <w:color w:val="auto"/>
                <w:sz w:val="20"/>
                <w:szCs w:val="20"/>
                <w:vertAlign w:val="subscript"/>
              </w:rPr>
              <w:t>3</w:t>
            </w:r>
            <w:r>
              <w:rPr>
                <w:color w:val="auto"/>
                <w:position w:val="2"/>
                <w:sz w:val="20"/>
                <w:szCs w:val="20"/>
              </w:rPr>
              <w:t>、H</w:t>
            </w:r>
            <w:r>
              <w:rPr>
                <w:color w:val="auto"/>
                <w:sz w:val="20"/>
                <w:szCs w:val="20"/>
                <w:vertAlign w:val="subscript"/>
              </w:rPr>
              <w:t>2</w:t>
            </w:r>
            <w:r>
              <w:rPr>
                <w:color w:val="auto"/>
                <w:position w:val="2"/>
                <w:sz w:val="20"/>
                <w:szCs w:val="20"/>
              </w:rPr>
              <w:t>S</w:t>
            </w:r>
          </w:p>
        </w:tc>
        <w:tc>
          <w:tcPr>
            <w:tcW w:w="1531" w:type="dxa"/>
            <w:noWrap w:val="0"/>
            <w:vAlign w:val="center"/>
          </w:tcPr>
          <w:p>
            <w:pPr>
              <w:pStyle w:val="332"/>
              <w:kinsoku w:val="0"/>
              <w:overflowPunct w:val="0"/>
              <w:jc w:val="center"/>
              <w:rPr>
                <w:color w:val="auto"/>
                <w:sz w:val="20"/>
                <w:szCs w:val="20"/>
              </w:rPr>
            </w:pPr>
            <w:r>
              <w:rPr>
                <w:color w:val="auto"/>
                <w:w w:val="99"/>
                <w:sz w:val="20"/>
                <w:szCs w:val="20"/>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color w:val="auto"/>
                <w:sz w:val="20"/>
                <w:szCs w:val="20"/>
              </w:rPr>
            </w:pPr>
            <w:r>
              <w:rPr>
                <w:color w:val="auto"/>
                <w:sz w:val="20"/>
                <w:szCs w:val="20"/>
              </w:rPr>
              <w:t>地表水环境</w:t>
            </w:r>
          </w:p>
        </w:tc>
        <w:tc>
          <w:tcPr>
            <w:tcW w:w="4522" w:type="dxa"/>
            <w:noWrap w:val="0"/>
            <w:vAlign w:val="center"/>
          </w:tcPr>
          <w:p>
            <w:pPr>
              <w:pStyle w:val="332"/>
              <w:kinsoku w:val="0"/>
              <w:overflowPunct w:val="0"/>
              <w:ind w:right="132"/>
              <w:jc w:val="center"/>
              <w:rPr>
                <w:color w:val="auto"/>
                <w:sz w:val="20"/>
                <w:szCs w:val="20"/>
              </w:rPr>
            </w:pPr>
            <w:r>
              <w:rPr>
                <w:rFonts w:hint="eastAsia"/>
                <w:color w:val="auto"/>
                <w:position w:val="2"/>
                <w:sz w:val="20"/>
                <w:szCs w:val="20"/>
              </w:rPr>
              <w:t>pH，COD，BOD</w:t>
            </w:r>
            <w:r>
              <w:rPr>
                <w:rFonts w:hint="eastAsia"/>
                <w:color w:val="auto"/>
                <w:position w:val="2"/>
                <w:sz w:val="20"/>
                <w:szCs w:val="20"/>
                <w:vertAlign w:val="subscript"/>
              </w:rPr>
              <w:t>5</w:t>
            </w:r>
            <w:r>
              <w:rPr>
                <w:rFonts w:hint="eastAsia"/>
                <w:color w:val="auto"/>
                <w:position w:val="2"/>
                <w:sz w:val="20"/>
                <w:szCs w:val="20"/>
              </w:rPr>
              <w:t>，NH</w:t>
            </w:r>
            <w:r>
              <w:rPr>
                <w:rFonts w:hint="eastAsia"/>
                <w:color w:val="auto"/>
                <w:position w:val="2"/>
                <w:sz w:val="20"/>
                <w:szCs w:val="20"/>
                <w:vertAlign w:val="subscript"/>
              </w:rPr>
              <w:t>3</w:t>
            </w:r>
            <w:r>
              <w:rPr>
                <w:rFonts w:hint="eastAsia"/>
                <w:color w:val="auto"/>
                <w:position w:val="2"/>
                <w:sz w:val="20"/>
                <w:szCs w:val="20"/>
              </w:rPr>
              <w:t>-N，总磷，总氮，粪大肠杆菌</w:t>
            </w:r>
          </w:p>
        </w:tc>
        <w:tc>
          <w:tcPr>
            <w:tcW w:w="1497" w:type="dxa"/>
            <w:noWrap w:val="0"/>
            <w:vAlign w:val="center"/>
          </w:tcPr>
          <w:p>
            <w:pPr>
              <w:pStyle w:val="332"/>
              <w:kinsoku w:val="0"/>
              <w:overflowPunct w:val="0"/>
              <w:jc w:val="center"/>
              <w:rPr>
                <w:color w:val="auto"/>
                <w:sz w:val="20"/>
                <w:szCs w:val="20"/>
              </w:rPr>
            </w:pPr>
            <w:r>
              <w:rPr>
                <w:color w:val="auto"/>
                <w:w w:val="99"/>
                <w:sz w:val="20"/>
                <w:szCs w:val="20"/>
              </w:rPr>
              <w:t>/</w:t>
            </w:r>
          </w:p>
        </w:tc>
        <w:tc>
          <w:tcPr>
            <w:tcW w:w="1531" w:type="dxa"/>
            <w:noWrap w:val="0"/>
            <w:vAlign w:val="center"/>
          </w:tcPr>
          <w:p>
            <w:pPr>
              <w:pStyle w:val="332"/>
              <w:kinsoku w:val="0"/>
              <w:overflowPunct w:val="0"/>
              <w:jc w:val="center"/>
              <w:rPr>
                <w:color w:val="auto"/>
                <w:sz w:val="20"/>
                <w:szCs w:val="20"/>
              </w:rPr>
            </w:pPr>
            <w:r>
              <w:rPr>
                <w:color w:val="auto"/>
                <w:w w:val="99"/>
                <w:sz w:val="20"/>
                <w:szCs w:val="20"/>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color w:val="auto"/>
                <w:sz w:val="20"/>
                <w:szCs w:val="20"/>
              </w:rPr>
            </w:pPr>
            <w:r>
              <w:rPr>
                <w:color w:val="auto"/>
                <w:sz w:val="20"/>
                <w:szCs w:val="20"/>
              </w:rPr>
              <w:t>地下水</w:t>
            </w:r>
            <w:r>
              <w:rPr>
                <w:rFonts w:hint="eastAsia"/>
                <w:color w:val="auto"/>
                <w:sz w:val="20"/>
                <w:szCs w:val="20"/>
              </w:rPr>
              <w:t>环境</w:t>
            </w:r>
          </w:p>
        </w:tc>
        <w:tc>
          <w:tcPr>
            <w:tcW w:w="4522" w:type="dxa"/>
            <w:noWrap w:val="0"/>
            <w:vAlign w:val="center"/>
          </w:tcPr>
          <w:p>
            <w:pPr>
              <w:pStyle w:val="332"/>
              <w:jc w:val="center"/>
              <w:rPr>
                <w:color w:val="auto"/>
                <w:sz w:val="20"/>
                <w:szCs w:val="20"/>
              </w:rPr>
            </w:pPr>
            <w:r>
              <w:rPr>
                <w:rFonts w:hint="eastAsia"/>
                <w:color w:val="auto"/>
                <w:sz w:val="21"/>
                <w:szCs w:val="21"/>
                <w:vertAlign w:val="baseline"/>
                <w:lang w:val="en-US" w:eastAsia="zh-CN"/>
              </w:rPr>
              <w:t>钾、钠、钙、镁、碳酸盐、重碳酸盐、氯化物、硫酸盐、pH、氨氮、硝酸盐、亚硝酸盐、挥发性酚类、氰化物、砷、汞、铬(六价)、总硬度、铅、氟化物、镉、铁、锰、溶解性总固体、耗氧量、总大肠菌群、细菌总数、水位</w:t>
            </w:r>
          </w:p>
        </w:tc>
        <w:tc>
          <w:tcPr>
            <w:tcW w:w="1497" w:type="dxa"/>
            <w:noWrap w:val="0"/>
            <w:vAlign w:val="center"/>
          </w:tcPr>
          <w:p>
            <w:pPr>
              <w:pStyle w:val="332"/>
              <w:kinsoku w:val="0"/>
              <w:overflowPunct w:val="0"/>
              <w:jc w:val="center"/>
              <w:rPr>
                <w:color w:val="auto"/>
                <w:sz w:val="20"/>
                <w:szCs w:val="20"/>
              </w:rPr>
            </w:pPr>
            <w:r>
              <w:rPr>
                <w:color w:val="auto"/>
                <w:w w:val="99"/>
                <w:sz w:val="20"/>
                <w:szCs w:val="20"/>
              </w:rPr>
              <w:t>/</w:t>
            </w:r>
          </w:p>
        </w:tc>
        <w:tc>
          <w:tcPr>
            <w:tcW w:w="1531" w:type="dxa"/>
            <w:noWrap w:val="0"/>
            <w:vAlign w:val="center"/>
          </w:tcPr>
          <w:p>
            <w:pPr>
              <w:pStyle w:val="332"/>
              <w:kinsoku w:val="0"/>
              <w:overflowPunct w:val="0"/>
              <w:jc w:val="center"/>
              <w:rPr>
                <w:color w:val="auto"/>
                <w:sz w:val="20"/>
                <w:szCs w:val="20"/>
              </w:rPr>
            </w:pPr>
            <w:r>
              <w:rPr>
                <w:color w:val="auto"/>
                <w:w w:val="99"/>
                <w:sz w:val="20"/>
                <w:szCs w:val="20"/>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color w:val="auto"/>
                <w:sz w:val="20"/>
                <w:szCs w:val="20"/>
              </w:rPr>
            </w:pPr>
            <w:r>
              <w:rPr>
                <w:color w:val="auto"/>
                <w:sz w:val="20"/>
                <w:szCs w:val="20"/>
              </w:rPr>
              <w:t>声环境</w:t>
            </w:r>
          </w:p>
        </w:tc>
        <w:tc>
          <w:tcPr>
            <w:tcW w:w="4522" w:type="dxa"/>
            <w:noWrap w:val="0"/>
            <w:vAlign w:val="center"/>
          </w:tcPr>
          <w:p>
            <w:pPr>
              <w:pStyle w:val="332"/>
              <w:kinsoku w:val="0"/>
              <w:overflowPunct w:val="0"/>
              <w:jc w:val="center"/>
              <w:rPr>
                <w:color w:val="auto"/>
                <w:sz w:val="20"/>
                <w:szCs w:val="20"/>
              </w:rPr>
            </w:pPr>
            <w:r>
              <w:rPr>
                <w:color w:val="auto"/>
                <w:sz w:val="20"/>
                <w:szCs w:val="20"/>
              </w:rPr>
              <w:t>LAeq</w:t>
            </w:r>
          </w:p>
        </w:tc>
        <w:tc>
          <w:tcPr>
            <w:tcW w:w="1497" w:type="dxa"/>
            <w:noWrap w:val="0"/>
            <w:vAlign w:val="center"/>
          </w:tcPr>
          <w:p>
            <w:pPr>
              <w:pStyle w:val="332"/>
              <w:kinsoku w:val="0"/>
              <w:overflowPunct w:val="0"/>
              <w:jc w:val="center"/>
              <w:rPr>
                <w:color w:val="auto"/>
                <w:sz w:val="20"/>
                <w:szCs w:val="20"/>
              </w:rPr>
            </w:pPr>
            <w:r>
              <w:rPr>
                <w:color w:val="auto"/>
                <w:sz w:val="20"/>
                <w:szCs w:val="20"/>
              </w:rPr>
              <w:t>LAeq</w:t>
            </w:r>
          </w:p>
        </w:tc>
        <w:tc>
          <w:tcPr>
            <w:tcW w:w="1531" w:type="dxa"/>
            <w:noWrap w:val="0"/>
            <w:vAlign w:val="center"/>
          </w:tcPr>
          <w:p>
            <w:pPr>
              <w:pStyle w:val="332"/>
              <w:kinsoku w:val="0"/>
              <w:overflowPunct w:val="0"/>
              <w:jc w:val="center"/>
              <w:rPr>
                <w:color w:val="auto"/>
                <w:sz w:val="20"/>
                <w:szCs w:val="20"/>
              </w:rPr>
            </w:pPr>
            <w:r>
              <w:rPr>
                <w:color w:val="auto"/>
                <w:w w:val="99"/>
                <w:sz w:val="20"/>
                <w:szCs w:val="20"/>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1237" w:type="dxa"/>
            <w:noWrap w:val="0"/>
            <w:vAlign w:val="center"/>
          </w:tcPr>
          <w:p>
            <w:pPr>
              <w:pStyle w:val="332"/>
              <w:kinsoku w:val="0"/>
              <w:overflowPunct w:val="0"/>
              <w:jc w:val="center"/>
              <w:rPr>
                <w:color w:val="auto"/>
                <w:sz w:val="20"/>
                <w:szCs w:val="20"/>
              </w:rPr>
            </w:pPr>
            <w:r>
              <w:rPr>
                <w:color w:val="auto"/>
                <w:sz w:val="20"/>
                <w:szCs w:val="20"/>
              </w:rPr>
              <w:t>土壤环境</w:t>
            </w:r>
          </w:p>
        </w:tc>
        <w:tc>
          <w:tcPr>
            <w:tcW w:w="4522" w:type="dxa"/>
            <w:noWrap w:val="0"/>
            <w:vAlign w:val="center"/>
          </w:tcPr>
          <w:p>
            <w:pPr>
              <w:pStyle w:val="332"/>
              <w:kinsoku w:val="0"/>
              <w:overflowPunct w:val="0"/>
              <w:jc w:val="center"/>
              <w:rPr>
                <w:color w:val="auto"/>
                <w:sz w:val="20"/>
                <w:szCs w:val="20"/>
              </w:rPr>
            </w:pPr>
            <w:r>
              <w:rPr>
                <w:color w:val="auto"/>
                <w:sz w:val="20"/>
                <w:szCs w:val="20"/>
              </w:rPr>
              <w:t>pH、砷、汞、铅、镉、铬、铜、锌、镍</w:t>
            </w:r>
          </w:p>
        </w:tc>
        <w:tc>
          <w:tcPr>
            <w:tcW w:w="1497" w:type="dxa"/>
            <w:noWrap w:val="0"/>
            <w:vAlign w:val="center"/>
          </w:tcPr>
          <w:p>
            <w:pPr>
              <w:pStyle w:val="332"/>
              <w:kinsoku w:val="0"/>
              <w:overflowPunct w:val="0"/>
              <w:jc w:val="center"/>
              <w:rPr>
                <w:color w:val="auto"/>
                <w:sz w:val="20"/>
                <w:szCs w:val="20"/>
              </w:rPr>
            </w:pPr>
            <w:r>
              <w:rPr>
                <w:color w:val="auto"/>
                <w:w w:val="99"/>
                <w:sz w:val="20"/>
                <w:szCs w:val="20"/>
              </w:rPr>
              <w:t>/</w:t>
            </w:r>
          </w:p>
        </w:tc>
        <w:tc>
          <w:tcPr>
            <w:tcW w:w="1531" w:type="dxa"/>
            <w:noWrap w:val="0"/>
            <w:vAlign w:val="center"/>
          </w:tcPr>
          <w:p>
            <w:pPr>
              <w:pStyle w:val="332"/>
              <w:kinsoku w:val="0"/>
              <w:overflowPunct w:val="0"/>
              <w:jc w:val="center"/>
              <w:rPr>
                <w:color w:val="auto"/>
                <w:sz w:val="20"/>
                <w:szCs w:val="20"/>
              </w:rPr>
            </w:pPr>
            <w:r>
              <w:rPr>
                <w:color w:val="auto"/>
                <w:w w:val="99"/>
                <w:sz w:val="20"/>
                <w:szCs w:val="20"/>
              </w:rPr>
              <w:t>/</w:t>
            </w:r>
          </w:p>
        </w:tc>
      </w:tr>
    </w:tbl>
    <w:p>
      <w:pPr>
        <w:pStyle w:val="8"/>
        <w:bidi w:val="0"/>
        <w:rPr>
          <w:color w:val="auto"/>
        </w:rPr>
      </w:pPr>
      <w:r>
        <w:rPr>
          <w:color w:val="auto"/>
        </w:rPr>
        <w:t>环境质量标准</w:t>
      </w:r>
    </w:p>
    <w:p>
      <w:pPr>
        <w:ind w:firstLine="480"/>
        <w:rPr>
          <w:color w:val="auto"/>
        </w:rPr>
      </w:pPr>
      <w:r>
        <w:rPr>
          <w:color w:val="auto"/>
        </w:rPr>
        <w:t>本项目执行的环境质量标准和污染物排放标准如下：</w:t>
      </w:r>
    </w:p>
    <w:p>
      <w:pPr>
        <w:ind w:firstLine="480"/>
        <w:rPr>
          <w:color w:val="auto"/>
        </w:rPr>
      </w:pPr>
      <w:r>
        <w:rPr>
          <w:color w:val="auto"/>
        </w:rPr>
        <w:t>1、环境空气质量标准</w:t>
      </w:r>
    </w:p>
    <w:p>
      <w:pPr>
        <w:ind w:firstLine="480"/>
        <w:rPr>
          <w:color w:val="auto"/>
        </w:rPr>
      </w:pPr>
      <w:r>
        <w:rPr>
          <w:color w:val="auto"/>
        </w:rPr>
        <w:t>本项目所在区域环境空气质量为二类功能区，SO</w:t>
      </w:r>
      <w:r>
        <w:rPr>
          <w:color w:val="auto"/>
          <w:vertAlign w:val="subscript"/>
        </w:rPr>
        <w:t>2</w:t>
      </w:r>
      <w:r>
        <w:rPr>
          <w:color w:val="auto"/>
        </w:rPr>
        <w:t>、NO</w:t>
      </w:r>
      <w:r>
        <w:rPr>
          <w:color w:val="auto"/>
          <w:vertAlign w:val="subscript"/>
        </w:rPr>
        <w:t>2</w:t>
      </w:r>
      <w:r>
        <w:rPr>
          <w:color w:val="auto"/>
        </w:rPr>
        <w:t>、CO、O</w:t>
      </w:r>
      <w:r>
        <w:rPr>
          <w:color w:val="auto"/>
          <w:vertAlign w:val="subscript"/>
        </w:rPr>
        <w:t>3</w:t>
      </w:r>
      <w:r>
        <w:rPr>
          <w:color w:val="auto"/>
        </w:rPr>
        <w:t>、PM</w:t>
      </w:r>
      <w:r>
        <w:rPr>
          <w:color w:val="auto"/>
          <w:vertAlign w:val="subscript"/>
        </w:rPr>
        <w:t>2.5</w:t>
      </w:r>
      <w:r>
        <w:rPr>
          <w:color w:val="auto"/>
        </w:rPr>
        <w:t>执行《环境空气质量标准》（GB3095-2012）及其2018年修改单中的二级标准浓度限值；NH</w:t>
      </w:r>
      <w:r>
        <w:rPr>
          <w:color w:val="auto"/>
          <w:vertAlign w:val="subscript"/>
        </w:rPr>
        <w:t>3</w:t>
      </w:r>
      <w:r>
        <w:rPr>
          <w:color w:val="auto"/>
        </w:rPr>
        <w:t>、H</w:t>
      </w:r>
      <w:r>
        <w:rPr>
          <w:color w:val="auto"/>
          <w:vertAlign w:val="subscript"/>
        </w:rPr>
        <w:t>2</w:t>
      </w:r>
      <w:r>
        <w:rPr>
          <w:color w:val="auto"/>
        </w:rPr>
        <w:t>S执行《环境影响评价技术导则 大气环境》（HJ2.2-2018）中</w:t>
      </w:r>
      <w:r>
        <w:rPr>
          <w:rFonts w:hint="eastAsia"/>
          <w:color w:val="auto"/>
        </w:rPr>
        <w:t>“</w:t>
      </w:r>
      <w:r>
        <w:rPr>
          <w:color w:val="auto"/>
        </w:rPr>
        <w:t>附录D.1其他污染物空气质量浓度参考限值</w:t>
      </w:r>
      <w:r>
        <w:rPr>
          <w:rFonts w:hint="eastAsia"/>
          <w:color w:val="auto"/>
        </w:rPr>
        <w:t>”</w:t>
      </w:r>
      <w:r>
        <w:rPr>
          <w:color w:val="auto"/>
        </w:rPr>
        <w:t>有关标准要求；标准值见表2.4-3。</w:t>
      </w:r>
    </w:p>
    <w:p>
      <w:pPr>
        <w:pStyle w:val="166"/>
        <w:spacing w:before="0" w:beforeLines="0" w:line="240" w:lineRule="auto"/>
        <w:rPr>
          <w:color w:val="auto"/>
        </w:rPr>
      </w:pPr>
      <w:r>
        <w:rPr>
          <w:color w:val="auto"/>
        </w:rPr>
        <w:t>表2.4-3</w:t>
      </w:r>
      <w:r>
        <w:rPr>
          <w:rFonts w:hint="eastAsia"/>
          <w:color w:val="auto"/>
          <w:lang w:val="en-US" w:eastAsia="zh-CN"/>
        </w:rPr>
        <w:t xml:space="preserve"> </w:t>
      </w:r>
      <w:r>
        <w:rPr>
          <w:color w:val="auto"/>
        </w:rPr>
        <w:t>环境空气质量评价标准</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902"/>
        <w:gridCol w:w="1263"/>
        <w:gridCol w:w="1401"/>
        <w:gridCol w:w="1006"/>
        <w:gridCol w:w="1134"/>
        <w:gridCol w:w="748"/>
        <w:gridCol w:w="238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tblHeader/>
          <w:jc w:val="center"/>
        </w:trPr>
        <w:tc>
          <w:tcPr>
            <w:tcW w:w="902"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评价因子</w:t>
            </w:r>
          </w:p>
        </w:tc>
        <w:tc>
          <w:tcPr>
            <w:tcW w:w="1263" w:type="dxa"/>
            <w:tcBorders>
              <w:top w:val="single" w:color="auto" w:sz="12" w:space="0"/>
            </w:tcBorders>
            <w:noWrap w:val="0"/>
            <w:vAlign w:val="center"/>
          </w:tcPr>
          <w:p>
            <w:pPr>
              <w:adjustRightInd w:val="0"/>
              <w:snapToGrid w:val="0"/>
              <w:spacing w:line="240" w:lineRule="auto"/>
              <w:ind w:firstLine="0" w:firstLineChars="0"/>
              <w:jc w:val="center"/>
              <w:rPr>
                <w:rFonts w:hint="eastAsia"/>
                <w:b/>
                <w:color w:val="auto"/>
                <w:sz w:val="20"/>
                <w:szCs w:val="20"/>
              </w:rPr>
            </w:pPr>
            <w:r>
              <w:rPr>
                <w:rFonts w:hint="eastAsia"/>
                <w:b/>
                <w:color w:val="auto"/>
                <w:sz w:val="20"/>
                <w:szCs w:val="20"/>
              </w:rPr>
              <w:t>年</w:t>
            </w:r>
            <w:r>
              <w:rPr>
                <w:b/>
                <w:color w:val="auto"/>
                <w:sz w:val="20"/>
                <w:szCs w:val="20"/>
              </w:rPr>
              <w:t>平均</w:t>
            </w:r>
          </w:p>
        </w:tc>
        <w:tc>
          <w:tcPr>
            <w:tcW w:w="1401"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24小时平均</w:t>
            </w:r>
          </w:p>
        </w:tc>
        <w:tc>
          <w:tcPr>
            <w:tcW w:w="1006"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8小时平均</w:t>
            </w:r>
          </w:p>
        </w:tc>
        <w:tc>
          <w:tcPr>
            <w:tcW w:w="1134"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1小时平均</w:t>
            </w:r>
          </w:p>
        </w:tc>
        <w:tc>
          <w:tcPr>
            <w:tcW w:w="748"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单位</w:t>
            </w:r>
          </w:p>
        </w:tc>
        <w:tc>
          <w:tcPr>
            <w:tcW w:w="2389" w:type="dxa"/>
            <w:tcBorders>
              <w:top w:val="single" w:color="auto" w:sz="12"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tcBorders>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SO</w:t>
            </w:r>
            <w:r>
              <w:rPr>
                <w:color w:val="auto"/>
                <w:sz w:val="20"/>
                <w:szCs w:val="20"/>
                <w:vertAlign w:val="subscript"/>
              </w:rPr>
              <w:t>2</w:t>
            </w:r>
          </w:p>
        </w:tc>
        <w:tc>
          <w:tcPr>
            <w:tcW w:w="1263" w:type="dxa"/>
            <w:noWrap w:val="0"/>
            <w:vAlign w:val="center"/>
          </w:tcPr>
          <w:p>
            <w:pPr>
              <w:adjustRightInd w:val="0"/>
              <w:snapToGrid w:val="0"/>
              <w:spacing w:line="240" w:lineRule="auto"/>
              <w:ind w:firstLine="0" w:firstLineChars="0"/>
              <w:jc w:val="center"/>
              <w:rPr>
                <w:rFonts w:hint="eastAsia"/>
                <w:color w:val="auto"/>
                <w:sz w:val="20"/>
                <w:szCs w:val="20"/>
              </w:rPr>
            </w:pPr>
            <w:r>
              <w:rPr>
                <w:color w:val="auto"/>
                <w:sz w:val="20"/>
                <w:szCs w:val="20"/>
              </w:rPr>
              <w:t>0.06</w:t>
            </w:r>
          </w:p>
        </w:tc>
        <w:tc>
          <w:tcPr>
            <w:tcW w:w="1401"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0.15</w:t>
            </w:r>
          </w:p>
        </w:tc>
        <w:tc>
          <w:tcPr>
            <w:tcW w:w="100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134"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w:t>
            </w:r>
            <w:r>
              <w:rPr>
                <w:color w:val="auto"/>
                <w:sz w:val="20"/>
                <w:szCs w:val="20"/>
              </w:rPr>
              <w:t>5</w:t>
            </w:r>
          </w:p>
        </w:tc>
        <w:tc>
          <w:tcPr>
            <w:tcW w:w="748" w:type="dxa"/>
            <w:vMerge w:val="restart"/>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m</w:t>
            </w:r>
            <w:r>
              <w:rPr>
                <w:color w:val="auto"/>
                <w:sz w:val="20"/>
                <w:szCs w:val="20"/>
              </w:rPr>
              <w:t>g/m</w:t>
            </w:r>
            <w:r>
              <w:rPr>
                <w:color w:val="auto"/>
                <w:sz w:val="20"/>
                <w:szCs w:val="20"/>
                <w:vertAlign w:val="superscript"/>
              </w:rPr>
              <w:t>3</w:t>
            </w:r>
          </w:p>
        </w:tc>
        <w:tc>
          <w:tcPr>
            <w:tcW w:w="2389" w:type="dxa"/>
            <w:vMerge w:val="restart"/>
            <w:noWrap w:val="0"/>
            <w:vAlign w:val="center"/>
          </w:tcPr>
          <w:p>
            <w:pPr>
              <w:adjustRightInd w:val="0"/>
              <w:snapToGrid w:val="0"/>
              <w:spacing w:line="240" w:lineRule="auto"/>
              <w:ind w:firstLine="0" w:firstLineChars="0"/>
              <w:jc w:val="center"/>
              <w:rPr>
                <w:color w:val="auto"/>
                <w:sz w:val="20"/>
                <w:szCs w:val="20"/>
              </w:rPr>
            </w:pPr>
            <w:r>
              <w:rPr>
                <w:color w:val="auto"/>
                <w:sz w:val="20"/>
                <w:szCs w:val="20"/>
              </w:rPr>
              <w:t>《环境空气质量标准》（GB3095-2012）</w:t>
            </w:r>
            <w:r>
              <w:rPr>
                <w:rFonts w:hint="eastAsia"/>
                <w:color w:val="auto"/>
                <w:sz w:val="20"/>
                <w:szCs w:val="20"/>
              </w:rPr>
              <w:t>中的二级标准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tcBorders>
              <w:top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NO</w:t>
            </w:r>
            <w:r>
              <w:rPr>
                <w:color w:val="auto"/>
                <w:sz w:val="20"/>
                <w:szCs w:val="20"/>
                <w:vertAlign w:val="subscript"/>
              </w:rPr>
              <w:t>2</w:t>
            </w:r>
          </w:p>
        </w:tc>
        <w:tc>
          <w:tcPr>
            <w:tcW w:w="1263" w:type="dxa"/>
            <w:noWrap w:val="0"/>
            <w:vAlign w:val="center"/>
          </w:tcPr>
          <w:p>
            <w:pPr>
              <w:adjustRightInd w:val="0"/>
              <w:snapToGrid w:val="0"/>
              <w:spacing w:line="240" w:lineRule="auto"/>
              <w:ind w:firstLine="0" w:firstLineChars="0"/>
              <w:jc w:val="center"/>
              <w:rPr>
                <w:rFonts w:hint="eastAsia"/>
                <w:color w:val="auto"/>
                <w:sz w:val="20"/>
                <w:szCs w:val="20"/>
              </w:rPr>
            </w:pPr>
            <w:r>
              <w:rPr>
                <w:rFonts w:hint="eastAsia"/>
                <w:color w:val="auto"/>
                <w:sz w:val="20"/>
                <w:szCs w:val="20"/>
              </w:rPr>
              <w:t>0.04</w:t>
            </w:r>
          </w:p>
        </w:tc>
        <w:tc>
          <w:tcPr>
            <w:tcW w:w="1401"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0.0</w:t>
            </w:r>
            <w:r>
              <w:rPr>
                <w:color w:val="auto"/>
                <w:sz w:val="20"/>
                <w:szCs w:val="20"/>
              </w:rPr>
              <w:t>8</w:t>
            </w:r>
          </w:p>
        </w:tc>
        <w:tc>
          <w:tcPr>
            <w:tcW w:w="100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134"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0.2</w:t>
            </w:r>
          </w:p>
        </w:tc>
        <w:tc>
          <w:tcPr>
            <w:tcW w:w="748" w:type="dxa"/>
            <w:vMerge w:val="continue"/>
            <w:noWrap w:val="0"/>
            <w:vAlign w:val="center"/>
          </w:tcPr>
          <w:p>
            <w:pPr>
              <w:adjustRightInd w:val="0"/>
              <w:snapToGrid w:val="0"/>
              <w:spacing w:line="240" w:lineRule="auto"/>
              <w:ind w:firstLine="0" w:firstLineChars="0"/>
              <w:jc w:val="center"/>
              <w:rPr>
                <w:rFonts w:eastAsia="华文琥珀"/>
                <w:color w:val="auto"/>
                <w:sz w:val="20"/>
                <w:szCs w:val="20"/>
              </w:rPr>
            </w:pPr>
          </w:p>
        </w:tc>
        <w:tc>
          <w:tcPr>
            <w:tcW w:w="238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tcBorders>
              <w:top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PM</w:t>
            </w:r>
            <w:r>
              <w:rPr>
                <w:color w:val="auto"/>
                <w:sz w:val="20"/>
                <w:szCs w:val="20"/>
                <w:vertAlign w:val="subscript"/>
              </w:rPr>
              <w:t>2.5</w:t>
            </w:r>
          </w:p>
        </w:tc>
        <w:tc>
          <w:tcPr>
            <w:tcW w:w="1263"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0.035</w:t>
            </w:r>
          </w:p>
        </w:tc>
        <w:tc>
          <w:tcPr>
            <w:tcW w:w="1401"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0.075</w:t>
            </w:r>
          </w:p>
        </w:tc>
        <w:tc>
          <w:tcPr>
            <w:tcW w:w="100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134"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748" w:type="dxa"/>
            <w:vMerge w:val="continue"/>
            <w:noWrap w:val="0"/>
            <w:vAlign w:val="center"/>
          </w:tcPr>
          <w:p>
            <w:pPr>
              <w:adjustRightInd w:val="0"/>
              <w:snapToGrid w:val="0"/>
              <w:spacing w:line="240" w:lineRule="auto"/>
              <w:ind w:firstLine="0" w:firstLineChars="0"/>
              <w:jc w:val="center"/>
              <w:rPr>
                <w:color w:val="auto"/>
                <w:sz w:val="20"/>
                <w:szCs w:val="20"/>
              </w:rPr>
            </w:pPr>
          </w:p>
        </w:tc>
        <w:tc>
          <w:tcPr>
            <w:tcW w:w="238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PM</w:t>
            </w:r>
            <w:r>
              <w:rPr>
                <w:rFonts w:hint="eastAsia"/>
                <w:color w:val="auto"/>
                <w:sz w:val="20"/>
                <w:szCs w:val="20"/>
                <w:vertAlign w:val="subscript"/>
              </w:rPr>
              <w:t>10</w:t>
            </w:r>
          </w:p>
        </w:tc>
        <w:tc>
          <w:tcPr>
            <w:tcW w:w="1263" w:type="dxa"/>
            <w:noWrap w:val="0"/>
            <w:vAlign w:val="center"/>
          </w:tcPr>
          <w:p>
            <w:pPr>
              <w:adjustRightInd w:val="0"/>
              <w:snapToGrid w:val="0"/>
              <w:spacing w:line="240" w:lineRule="auto"/>
              <w:ind w:firstLine="0" w:firstLineChars="0"/>
              <w:jc w:val="center"/>
              <w:rPr>
                <w:rFonts w:hint="eastAsia"/>
                <w:color w:val="auto"/>
                <w:sz w:val="20"/>
                <w:szCs w:val="20"/>
              </w:rPr>
            </w:pPr>
            <w:r>
              <w:rPr>
                <w:rFonts w:hint="eastAsia"/>
                <w:color w:val="auto"/>
                <w:sz w:val="20"/>
                <w:szCs w:val="20"/>
              </w:rPr>
              <w:t>0.07</w:t>
            </w:r>
          </w:p>
        </w:tc>
        <w:tc>
          <w:tcPr>
            <w:tcW w:w="1401"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0.15</w:t>
            </w:r>
          </w:p>
        </w:tc>
        <w:tc>
          <w:tcPr>
            <w:tcW w:w="100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134"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748" w:type="dxa"/>
            <w:vMerge w:val="continue"/>
            <w:noWrap w:val="0"/>
            <w:vAlign w:val="center"/>
          </w:tcPr>
          <w:p>
            <w:pPr>
              <w:adjustRightInd w:val="0"/>
              <w:snapToGrid w:val="0"/>
              <w:spacing w:line="240" w:lineRule="auto"/>
              <w:ind w:firstLine="0" w:firstLineChars="0"/>
              <w:jc w:val="center"/>
              <w:rPr>
                <w:color w:val="auto"/>
                <w:sz w:val="20"/>
                <w:szCs w:val="20"/>
              </w:rPr>
            </w:pPr>
          </w:p>
        </w:tc>
        <w:tc>
          <w:tcPr>
            <w:tcW w:w="238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CO</w:t>
            </w:r>
          </w:p>
        </w:tc>
        <w:tc>
          <w:tcPr>
            <w:tcW w:w="1263"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401"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4</w:t>
            </w:r>
          </w:p>
        </w:tc>
        <w:tc>
          <w:tcPr>
            <w:tcW w:w="100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134"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10</w:t>
            </w:r>
          </w:p>
        </w:tc>
        <w:tc>
          <w:tcPr>
            <w:tcW w:w="748" w:type="dxa"/>
            <w:vMerge w:val="continue"/>
            <w:noWrap w:val="0"/>
            <w:vAlign w:val="center"/>
          </w:tcPr>
          <w:p>
            <w:pPr>
              <w:adjustRightInd w:val="0"/>
              <w:snapToGrid w:val="0"/>
              <w:spacing w:line="240" w:lineRule="auto"/>
              <w:ind w:firstLine="0" w:firstLineChars="0"/>
              <w:jc w:val="center"/>
              <w:rPr>
                <w:color w:val="auto"/>
                <w:sz w:val="20"/>
                <w:szCs w:val="20"/>
              </w:rPr>
            </w:pPr>
          </w:p>
        </w:tc>
        <w:tc>
          <w:tcPr>
            <w:tcW w:w="238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O</w:t>
            </w:r>
            <w:r>
              <w:rPr>
                <w:rFonts w:hint="eastAsia"/>
                <w:color w:val="auto"/>
                <w:sz w:val="20"/>
                <w:szCs w:val="20"/>
                <w:vertAlign w:val="subscript"/>
              </w:rPr>
              <w:t>3</w:t>
            </w:r>
          </w:p>
        </w:tc>
        <w:tc>
          <w:tcPr>
            <w:tcW w:w="1263"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1401"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w:t>
            </w:r>
            <w:r>
              <w:rPr>
                <w:color w:val="auto"/>
                <w:sz w:val="20"/>
                <w:szCs w:val="20"/>
              </w:rPr>
              <w:t>2</w:t>
            </w:r>
          </w:p>
        </w:tc>
        <w:tc>
          <w:tcPr>
            <w:tcW w:w="1006"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0.16</w:t>
            </w:r>
          </w:p>
        </w:tc>
        <w:tc>
          <w:tcPr>
            <w:tcW w:w="1134"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c>
          <w:tcPr>
            <w:tcW w:w="748" w:type="dxa"/>
            <w:vMerge w:val="continue"/>
            <w:noWrap w:val="0"/>
            <w:vAlign w:val="center"/>
          </w:tcPr>
          <w:p>
            <w:pPr>
              <w:adjustRightInd w:val="0"/>
              <w:snapToGrid w:val="0"/>
              <w:spacing w:line="240" w:lineRule="auto"/>
              <w:ind w:firstLine="0" w:firstLineChars="0"/>
              <w:jc w:val="center"/>
              <w:rPr>
                <w:color w:val="auto"/>
                <w:sz w:val="20"/>
                <w:szCs w:val="20"/>
              </w:rPr>
            </w:pPr>
          </w:p>
        </w:tc>
        <w:tc>
          <w:tcPr>
            <w:tcW w:w="238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noWrap w:val="0"/>
            <w:vAlign w:val="center"/>
          </w:tcPr>
          <w:p>
            <w:pPr>
              <w:pStyle w:val="274"/>
              <w:snapToGrid w:val="0"/>
              <w:spacing w:line="240" w:lineRule="auto"/>
              <w:rPr>
                <w:bCs/>
                <w:color w:val="auto"/>
              </w:rPr>
            </w:pPr>
            <w:r>
              <w:rPr>
                <w:bCs/>
                <w:color w:val="auto"/>
              </w:rPr>
              <w:t>NH</w:t>
            </w:r>
            <w:r>
              <w:rPr>
                <w:bCs/>
                <w:color w:val="auto"/>
                <w:vertAlign w:val="subscript"/>
              </w:rPr>
              <w:t>3</w:t>
            </w:r>
          </w:p>
        </w:tc>
        <w:tc>
          <w:tcPr>
            <w:tcW w:w="1263" w:type="dxa"/>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401" w:type="dxa"/>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006" w:type="dxa"/>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134" w:type="dxa"/>
            <w:noWrap w:val="0"/>
            <w:vAlign w:val="center"/>
          </w:tcPr>
          <w:p>
            <w:pPr>
              <w:pStyle w:val="274"/>
              <w:snapToGrid w:val="0"/>
              <w:spacing w:line="240" w:lineRule="auto"/>
              <w:rPr>
                <w:bCs/>
                <w:color w:val="auto"/>
              </w:rPr>
            </w:pPr>
            <w:r>
              <w:rPr>
                <w:bCs/>
                <w:color w:val="auto"/>
              </w:rPr>
              <w:t>0.2</w:t>
            </w:r>
          </w:p>
        </w:tc>
        <w:tc>
          <w:tcPr>
            <w:tcW w:w="748" w:type="dxa"/>
            <w:vMerge w:val="restart"/>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m</w:t>
            </w:r>
            <w:r>
              <w:rPr>
                <w:color w:val="auto"/>
                <w:sz w:val="20"/>
                <w:szCs w:val="20"/>
              </w:rPr>
              <w:t>g/m</w:t>
            </w:r>
            <w:r>
              <w:rPr>
                <w:color w:val="auto"/>
                <w:sz w:val="20"/>
                <w:szCs w:val="20"/>
                <w:vertAlign w:val="superscript"/>
              </w:rPr>
              <w:t>3</w:t>
            </w:r>
          </w:p>
        </w:tc>
        <w:tc>
          <w:tcPr>
            <w:tcW w:w="2389" w:type="dxa"/>
            <w:vMerge w:val="restart"/>
            <w:noWrap w:val="0"/>
            <w:vAlign w:val="center"/>
          </w:tcPr>
          <w:p>
            <w:pPr>
              <w:adjustRightInd w:val="0"/>
              <w:snapToGrid w:val="0"/>
              <w:spacing w:line="240" w:lineRule="auto"/>
              <w:ind w:firstLine="0" w:firstLineChars="0"/>
              <w:jc w:val="center"/>
              <w:rPr>
                <w:color w:val="auto"/>
                <w:sz w:val="20"/>
                <w:szCs w:val="20"/>
              </w:rPr>
            </w:pPr>
            <w:r>
              <w:rPr>
                <w:color w:val="auto"/>
                <w:sz w:val="20"/>
                <w:szCs w:val="20"/>
              </w:rPr>
              <w:t>《环境影响评价技术导则 大气环境（HJ 2.2-2018）》附录D其他污染物空气质量浓度参考限值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wBefore w:w="0" w:type="dxa"/>
          <w:wAfter w:w="0" w:type="dxa"/>
          <w:trHeight w:val="340" w:hRule="atLeast"/>
          <w:jc w:val="center"/>
        </w:trPr>
        <w:tc>
          <w:tcPr>
            <w:tcW w:w="902" w:type="dxa"/>
            <w:tcBorders>
              <w:bottom w:val="single" w:color="auto" w:sz="12" w:space="0"/>
            </w:tcBorders>
            <w:noWrap w:val="0"/>
            <w:vAlign w:val="center"/>
          </w:tcPr>
          <w:p>
            <w:pPr>
              <w:pStyle w:val="274"/>
              <w:snapToGrid w:val="0"/>
              <w:spacing w:line="240" w:lineRule="auto"/>
              <w:rPr>
                <w:bCs/>
                <w:color w:val="auto"/>
              </w:rPr>
            </w:pPr>
            <w:r>
              <w:rPr>
                <w:bCs/>
                <w:color w:val="auto"/>
              </w:rPr>
              <w:t>H</w:t>
            </w:r>
            <w:r>
              <w:rPr>
                <w:bCs/>
                <w:color w:val="auto"/>
                <w:vertAlign w:val="subscript"/>
              </w:rPr>
              <w:t>2</w:t>
            </w:r>
            <w:r>
              <w:rPr>
                <w:bCs/>
                <w:color w:val="auto"/>
              </w:rPr>
              <w:t>S</w:t>
            </w:r>
          </w:p>
        </w:tc>
        <w:tc>
          <w:tcPr>
            <w:tcW w:w="1263" w:type="dxa"/>
            <w:tcBorders>
              <w:bottom w:val="single" w:color="auto" w:sz="12" w:space="0"/>
            </w:tcBorders>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401" w:type="dxa"/>
            <w:tcBorders>
              <w:bottom w:val="single" w:color="auto" w:sz="12" w:space="0"/>
            </w:tcBorders>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006" w:type="dxa"/>
            <w:tcBorders>
              <w:bottom w:val="single" w:color="auto" w:sz="12" w:space="0"/>
            </w:tcBorders>
            <w:noWrap w:val="0"/>
            <w:vAlign w:val="center"/>
          </w:tcPr>
          <w:p>
            <w:pPr>
              <w:adjustRightInd w:val="0"/>
              <w:snapToGrid w:val="0"/>
              <w:spacing w:line="240" w:lineRule="auto"/>
              <w:ind w:firstLine="0" w:firstLineChars="0"/>
              <w:jc w:val="center"/>
              <w:rPr>
                <w:bCs/>
                <w:color w:val="auto"/>
                <w:sz w:val="20"/>
                <w:szCs w:val="20"/>
              </w:rPr>
            </w:pPr>
            <w:r>
              <w:rPr>
                <w:bCs/>
                <w:color w:val="auto"/>
                <w:sz w:val="20"/>
                <w:szCs w:val="20"/>
              </w:rPr>
              <w:t>—</w:t>
            </w:r>
          </w:p>
        </w:tc>
        <w:tc>
          <w:tcPr>
            <w:tcW w:w="1134" w:type="dxa"/>
            <w:tcBorders>
              <w:bottom w:val="single" w:color="auto" w:sz="12" w:space="0"/>
            </w:tcBorders>
            <w:noWrap w:val="0"/>
            <w:vAlign w:val="center"/>
          </w:tcPr>
          <w:p>
            <w:pPr>
              <w:pStyle w:val="274"/>
              <w:snapToGrid w:val="0"/>
              <w:spacing w:line="240" w:lineRule="auto"/>
              <w:rPr>
                <w:bCs/>
                <w:color w:val="auto"/>
              </w:rPr>
            </w:pPr>
            <w:r>
              <w:rPr>
                <w:bCs/>
                <w:color w:val="auto"/>
              </w:rPr>
              <w:t>0.01</w:t>
            </w:r>
          </w:p>
        </w:tc>
        <w:tc>
          <w:tcPr>
            <w:tcW w:w="748" w:type="dxa"/>
            <w:vMerge w:val="continue"/>
            <w:tcBorders>
              <w:bottom w:val="single" w:color="auto" w:sz="12" w:space="0"/>
            </w:tcBorders>
            <w:noWrap w:val="0"/>
            <w:vAlign w:val="center"/>
          </w:tcPr>
          <w:p>
            <w:pPr>
              <w:adjustRightInd w:val="0"/>
              <w:snapToGrid w:val="0"/>
              <w:spacing w:line="240" w:lineRule="auto"/>
              <w:ind w:firstLine="0" w:firstLineChars="0"/>
              <w:jc w:val="center"/>
              <w:rPr>
                <w:color w:val="auto"/>
                <w:sz w:val="20"/>
                <w:szCs w:val="20"/>
              </w:rPr>
            </w:pPr>
          </w:p>
        </w:tc>
        <w:tc>
          <w:tcPr>
            <w:tcW w:w="2389" w:type="dxa"/>
            <w:vMerge w:val="continue"/>
            <w:tcBorders>
              <w:bottom w:val="single" w:color="auto" w:sz="12" w:space="0"/>
            </w:tcBorders>
            <w:noWrap w:val="0"/>
            <w:vAlign w:val="center"/>
          </w:tcPr>
          <w:p>
            <w:pPr>
              <w:adjustRightInd w:val="0"/>
              <w:snapToGrid w:val="0"/>
              <w:spacing w:line="240" w:lineRule="auto"/>
              <w:ind w:firstLine="0" w:firstLineChars="0"/>
              <w:jc w:val="center"/>
              <w:rPr>
                <w:color w:val="auto"/>
                <w:sz w:val="20"/>
                <w:szCs w:val="20"/>
              </w:rPr>
            </w:pPr>
          </w:p>
        </w:tc>
      </w:tr>
    </w:tbl>
    <w:p>
      <w:pPr>
        <w:spacing w:before="120" w:beforeLines="50"/>
        <w:ind w:firstLine="480"/>
        <w:rPr>
          <w:color w:val="auto"/>
        </w:rPr>
      </w:pPr>
      <w:r>
        <w:rPr>
          <w:color w:val="auto"/>
        </w:rPr>
        <w:t>2、地表水环境质量标准</w:t>
      </w:r>
    </w:p>
    <w:p>
      <w:pPr>
        <w:ind w:firstLine="480"/>
        <w:rPr>
          <w:color w:val="auto"/>
        </w:rPr>
      </w:pPr>
      <w:r>
        <w:rPr>
          <w:color w:val="auto"/>
        </w:rPr>
        <w:t>地表水环境质量标准执行《地表水环境质量标准》（GB3838-2002）中Ⅲ类水域标准，标准值见表2.4-4。</w:t>
      </w:r>
    </w:p>
    <w:p>
      <w:pPr>
        <w:pStyle w:val="166"/>
        <w:spacing w:before="120" w:beforeLines="0"/>
        <w:rPr>
          <w:color w:val="auto"/>
        </w:rPr>
      </w:pPr>
      <w:r>
        <w:rPr>
          <w:color w:val="auto"/>
        </w:rPr>
        <w:t>表2.4-4</w:t>
      </w:r>
      <w:r>
        <w:rPr>
          <w:rFonts w:hint="eastAsia"/>
          <w:color w:val="auto"/>
          <w:lang w:val="en-US" w:eastAsia="zh-CN"/>
        </w:rPr>
        <w:t xml:space="preserve"> </w:t>
      </w:r>
      <w:r>
        <w:rPr>
          <w:color w:val="auto"/>
        </w:rPr>
        <w:t>《地表水环境质量标准》（GB3838-2002）   单位：mg/L，pH无量纲</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100"/>
        <w:gridCol w:w="3055"/>
        <w:gridCol w:w="484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序号</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项目</w:t>
            </w:r>
          </w:p>
        </w:tc>
        <w:tc>
          <w:tcPr>
            <w:tcW w:w="4846"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Ⅲ类标准浓度限值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水温（℃）</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人为造成的环境水温变化应限制在：周平均最大温升≤1，周平均最大温降≤2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pH（无量纲）</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6～9</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3</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高锰酸盐指数</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化学需氧量（COD）</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五日生化需氧量（BOD</w:t>
            </w:r>
            <w:r>
              <w:rPr>
                <w:color w:val="auto"/>
                <w:sz w:val="20"/>
                <w:szCs w:val="20"/>
                <w:vertAlign w:val="subscript"/>
              </w:rPr>
              <w:t>5</w:t>
            </w:r>
            <w:r>
              <w:rPr>
                <w:color w:val="auto"/>
                <w:sz w:val="20"/>
                <w:szCs w:val="20"/>
              </w:rPr>
              <w:t>）</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氨氮（NH</w:t>
            </w:r>
            <w:r>
              <w:rPr>
                <w:color w:val="auto"/>
                <w:sz w:val="20"/>
                <w:szCs w:val="20"/>
                <w:vertAlign w:val="subscript"/>
              </w:rPr>
              <w:t>3</w:t>
            </w:r>
            <w:r>
              <w:rPr>
                <w:color w:val="auto"/>
                <w:sz w:val="20"/>
                <w:szCs w:val="20"/>
              </w:rPr>
              <w:t>-N）</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总磷（以P计）</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≤0.2（湖、库0.05）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1100"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w:t>
            </w:r>
          </w:p>
        </w:tc>
        <w:tc>
          <w:tcPr>
            <w:tcW w:w="3055"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总氮（湖、库，以N计）</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100"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9</w:t>
            </w:r>
          </w:p>
        </w:tc>
        <w:tc>
          <w:tcPr>
            <w:tcW w:w="3055"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粪大肠菌群（个/L）</w:t>
            </w:r>
          </w:p>
        </w:tc>
        <w:tc>
          <w:tcPr>
            <w:tcW w:w="484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≤10000</w:t>
            </w:r>
          </w:p>
        </w:tc>
      </w:tr>
    </w:tbl>
    <w:p>
      <w:pPr>
        <w:spacing w:before="120" w:beforeLines="50"/>
        <w:ind w:firstLine="480"/>
        <w:rPr>
          <w:color w:val="auto"/>
        </w:rPr>
      </w:pPr>
      <w:r>
        <w:rPr>
          <w:color w:val="auto"/>
        </w:rPr>
        <w:t>3、地下水质量标准</w:t>
      </w:r>
    </w:p>
    <w:p>
      <w:pPr>
        <w:ind w:firstLine="480"/>
        <w:rPr>
          <w:rFonts w:hint="eastAsia"/>
          <w:color w:val="auto"/>
        </w:rPr>
      </w:pPr>
      <w:r>
        <w:rPr>
          <w:color w:val="auto"/>
        </w:rPr>
        <w:t>地下水水质标准执行《地下水质量标准》（GB/T 14848-2017）中的Ⅲ类标准，标准值见表2.4-5。</w:t>
      </w:r>
    </w:p>
    <w:p>
      <w:pPr>
        <w:pStyle w:val="166"/>
        <w:spacing w:before="0" w:beforeLines="0" w:line="240" w:lineRule="auto"/>
        <w:rPr>
          <w:color w:val="auto"/>
        </w:rPr>
      </w:pPr>
      <w:r>
        <w:rPr>
          <w:color w:val="auto"/>
        </w:rPr>
        <w:t>表2.4-5</w:t>
      </w:r>
      <w:r>
        <w:rPr>
          <w:rFonts w:hint="eastAsia"/>
          <w:color w:val="auto"/>
          <w:lang w:val="en-US" w:eastAsia="zh-CN"/>
        </w:rPr>
        <w:t xml:space="preserve"> </w:t>
      </w:r>
      <w:r>
        <w:rPr>
          <w:color w:val="auto"/>
        </w:rPr>
        <w:t>《地下水质量标准》（GB/T 14848-2017）   单位：mg/L，pH无量纲</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Layout w:type="fixed"/>
        <w:tblCellMar>
          <w:top w:w="0" w:type="dxa"/>
          <w:left w:w="108" w:type="dxa"/>
          <w:bottom w:w="0" w:type="dxa"/>
          <w:right w:w="108" w:type="dxa"/>
        </w:tblCellMar>
      </w:tblPr>
      <w:tblGrid>
        <w:gridCol w:w="672"/>
        <w:gridCol w:w="2128"/>
        <w:gridCol w:w="1986"/>
        <w:gridCol w:w="709"/>
        <w:gridCol w:w="1702"/>
        <w:gridCol w:w="1806"/>
      </w:tblGrid>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序号</w:t>
            </w:r>
          </w:p>
        </w:tc>
        <w:tc>
          <w:tcPr>
            <w:tcW w:w="2128"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项目</w:t>
            </w:r>
          </w:p>
        </w:tc>
        <w:tc>
          <w:tcPr>
            <w:tcW w:w="1986"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Ⅲ类标准浓度限值</w:t>
            </w:r>
          </w:p>
        </w:tc>
        <w:tc>
          <w:tcPr>
            <w:tcW w:w="709"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序号</w:t>
            </w:r>
          </w:p>
        </w:tc>
        <w:tc>
          <w:tcPr>
            <w:tcW w:w="1702"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项目</w:t>
            </w:r>
          </w:p>
        </w:tc>
        <w:tc>
          <w:tcPr>
            <w:tcW w:w="1806" w:type="dxa"/>
            <w:noWrap w:val="0"/>
            <w:vAlign w:val="center"/>
          </w:tcPr>
          <w:p>
            <w:pPr>
              <w:adjustRightInd w:val="0"/>
              <w:snapToGrid w:val="0"/>
              <w:spacing w:line="240" w:lineRule="auto"/>
              <w:ind w:firstLine="0" w:firstLineChars="0"/>
              <w:jc w:val="center"/>
              <w:rPr>
                <w:b/>
                <w:bCs/>
                <w:color w:val="auto"/>
                <w:sz w:val="20"/>
                <w:szCs w:val="20"/>
              </w:rPr>
            </w:pPr>
            <w:r>
              <w:rPr>
                <w:b/>
                <w:bCs/>
                <w:color w:val="auto"/>
                <w:sz w:val="20"/>
                <w:szCs w:val="20"/>
              </w:rPr>
              <w:t>Ⅲ类标准浓度限值</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w:t>
            </w:r>
          </w:p>
        </w:tc>
        <w:tc>
          <w:tcPr>
            <w:tcW w:w="2128" w:type="dxa"/>
            <w:noWrap w:val="0"/>
            <w:vAlign w:val="center"/>
          </w:tcPr>
          <w:p>
            <w:pPr>
              <w:widowControl/>
              <w:spacing w:line="240" w:lineRule="auto"/>
              <w:ind w:firstLine="0" w:firstLineChars="0"/>
              <w:jc w:val="center"/>
              <w:rPr>
                <w:color w:val="auto"/>
                <w:kern w:val="0"/>
                <w:sz w:val="20"/>
                <w:szCs w:val="20"/>
              </w:rPr>
            </w:pPr>
            <w:r>
              <w:rPr>
                <w:color w:val="auto"/>
                <w:sz w:val="20"/>
                <w:szCs w:val="20"/>
              </w:rPr>
              <w:t>pH</w:t>
            </w:r>
          </w:p>
        </w:tc>
        <w:tc>
          <w:tcPr>
            <w:tcW w:w="1986"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6.5～8.5</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11</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总大肠菌群</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≤3</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w:t>
            </w:r>
          </w:p>
        </w:tc>
        <w:tc>
          <w:tcPr>
            <w:tcW w:w="2128" w:type="dxa"/>
            <w:noWrap w:val="0"/>
            <w:vAlign w:val="center"/>
          </w:tcPr>
          <w:p>
            <w:pPr>
              <w:spacing w:line="240" w:lineRule="auto"/>
              <w:ind w:firstLine="0" w:firstLineChars="0"/>
              <w:jc w:val="center"/>
              <w:rPr>
                <w:rFonts w:ascii="宋体" w:hAnsi="宋体" w:cs="宋体"/>
                <w:color w:val="auto"/>
                <w:sz w:val="20"/>
                <w:szCs w:val="20"/>
              </w:rPr>
            </w:pPr>
            <w:r>
              <w:rPr>
                <w:rFonts w:hint="eastAsia"/>
                <w:color w:val="auto"/>
                <w:sz w:val="20"/>
                <w:szCs w:val="20"/>
              </w:rPr>
              <w:t>总硬度（以</w:t>
            </w:r>
            <w:r>
              <w:rPr>
                <w:color w:val="auto"/>
                <w:sz w:val="20"/>
                <w:szCs w:val="20"/>
              </w:rPr>
              <w:t>CaCO</w:t>
            </w:r>
            <w:r>
              <w:rPr>
                <w:color w:val="auto"/>
                <w:sz w:val="20"/>
                <w:szCs w:val="20"/>
                <w:vertAlign w:val="subscript"/>
              </w:rPr>
              <w:t>3</w:t>
            </w:r>
            <w:r>
              <w:rPr>
                <w:rFonts w:hint="eastAsia"/>
                <w:color w:val="auto"/>
                <w:sz w:val="20"/>
                <w:szCs w:val="20"/>
              </w:rPr>
              <w:t>计）</w:t>
            </w:r>
          </w:p>
        </w:tc>
        <w:tc>
          <w:tcPr>
            <w:tcW w:w="1986" w:type="dxa"/>
            <w:noWrap w:val="0"/>
            <w:vAlign w:val="center"/>
          </w:tcPr>
          <w:p>
            <w:pPr>
              <w:widowControl/>
              <w:spacing w:line="240" w:lineRule="auto"/>
              <w:ind w:firstLine="0" w:firstLineChars="0"/>
              <w:jc w:val="center"/>
              <w:rPr>
                <w:color w:val="auto"/>
                <w:kern w:val="0"/>
                <w:sz w:val="20"/>
                <w:szCs w:val="20"/>
              </w:rPr>
            </w:pPr>
            <w:r>
              <w:rPr>
                <w:color w:val="auto"/>
                <w:sz w:val="20"/>
                <w:szCs w:val="20"/>
              </w:rPr>
              <w:t>≤450</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12</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亚硝酸盐</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溶解性总固体</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≤1000</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13</w:t>
            </w:r>
          </w:p>
        </w:tc>
        <w:tc>
          <w:tcPr>
            <w:tcW w:w="1702" w:type="dxa"/>
            <w:noWrap w:val="0"/>
            <w:vAlign w:val="center"/>
          </w:tcPr>
          <w:p>
            <w:pPr>
              <w:widowControl/>
              <w:spacing w:line="240" w:lineRule="auto"/>
              <w:ind w:firstLine="0" w:firstLineChars="0"/>
              <w:jc w:val="center"/>
              <w:rPr>
                <w:color w:val="auto"/>
                <w:kern w:val="0"/>
                <w:sz w:val="20"/>
                <w:szCs w:val="20"/>
              </w:rPr>
            </w:pPr>
            <w:r>
              <w:rPr>
                <w:rFonts w:hint="eastAsia"/>
                <w:color w:val="auto"/>
                <w:sz w:val="20"/>
                <w:szCs w:val="20"/>
              </w:rPr>
              <w:t>硝酸盐（以</w:t>
            </w:r>
            <w:r>
              <w:rPr>
                <w:color w:val="auto"/>
                <w:sz w:val="20"/>
                <w:szCs w:val="20"/>
              </w:rPr>
              <w:t>N</w:t>
            </w:r>
            <w:r>
              <w:rPr>
                <w:rFonts w:hint="eastAsia"/>
                <w:color w:val="auto"/>
                <w:sz w:val="20"/>
                <w:szCs w:val="20"/>
              </w:rPr>
              <w:t>计）</w:t>
            </w:r>
          </w:p>
        </w:tc>
        <w:tc>
          <w:tcPr>
            <w:tcW w:w="1806" w:type="dxa"/>
            <w:noWrap w:val="0"/>
            <w:vAlign w:val="center"/>
          </w:tcPr>
          <w:p>
            <w:pPr>
              <w:widowControl/>
              <w:spacing w:line="240" w:lineRule="auto"/>
              <w:ind w:firstLine="0" w:firstLineChars="0"/>
              <w:jc w:val="center"/>
              <w:rPr>
                <w:color w:val="auto"/>
                <w:kern w:val="0"/>
                <w:sz w:val="20"/>
                <w:szCs w:val="20"/>
              </w:rPr>
            </w:pPr>
            <w:r>
              <w:rPr>
                <w:color w:val="auto"/>
                <w:sz w:val="20"/>
                <w:szCs w:val="20"/>
              </w:rPr>
              <w:t>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硫酸盐</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≤250</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14</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氟化物</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0.001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氯化物</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≤250</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汞</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0.01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铁</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≤0.3</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16</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砷</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0.005</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锰</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≤0.1</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 xml:space="preserve">17 </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镉</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0.05</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铜</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≤1</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18</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六价铬</w:t>
            </w:r>
          </w:p>
        </w:tc>
        <w:tc>
          <w:tcPr>
            <w:tcW w:w="1806" w:type="dxa"/>
            <w:noWrap w:val="0"/>
            <w:vAlign w:val="center"/>
          </w:tcPr>
          <w:p>
            <w:pPr>
              <w:spacing w:line="240" w:lineRule="auto"/>
              <w:ind w:firstLine="0" w:firstLineChars="0"/>
              <w:jc w:val="center"/>
              <w:rPr>
                <w:color w:val="auto"/>
                <w:sz w:val="20"/>
                <w:szCs w:val="20"/>
              </w:rPr>
            </w:pPr>
            <w:r>
              <w:rPr>
                <w:color w:val="auto"/>
                <w:sz w:val="20"/>
                <w:szCs w:val="20"/>
              </w:rPr>
              <w:t>0.01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9</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耗氧量</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≤3</w:t>
            </w:r>
          </w:p>
        </w:tc>
        <w:tc>
          <w:tcPr>
            <w:tcW w:w="709"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19</w:t>
            </w:r>
          </w:p>
        </w:tc>
        <w:tc>
          <w:tcPr>
            <w:tcW w:w="1702"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铅</w:t>
            </w:r>
          </w:p>
        </w:tc>
        <w:tc>
          <w:tcPr>
            <w:tcW w:w="1806" w:type="dxa"/>
            <w:noWrap w:val="0"/>
            <w:vAlign w:val="center"/>
          </w:tcPr>
          <w:p>
            <w:pPr>
              <w:widowControl/>
              <w:spacing w:line="240" w:lineRule="auto"/>
              <w:ind w:firstLine="0" w:firstLineChars="0"/>
              <w:jc w:val="center"/>
              <w:rPr>
                <w:color w:val="auto"/>
                <w:kern w:val="0"/>
                <w:sz w:val="20"/>
                <w:szCs w:val="20"/>
              </w:rPr>
            </w:pPr>
            <w:r>
              <w:rPr>
                <w:color w:val="auto"/>
                <w:sz w:val="20"/>
                <w:szCs w:val="20"/>
              </w:rPr>
              <w:t>1</w:t>
            </w:r>
          </w:p>
        </w:tc>
      </w:tr>
      <w:tr>
        <w:tblPrEx>
          <w:tblBorders>
            <w:top w:val="single" w:color="auto" w:sz="12" w:space="0"/>
            <w:left w:val="none" w:color="auto" w:sz="0" w:space="0"/>
            <w:bottom w:val="single" w:color="auto" w:sz="12" w:space="0"/>
            <w:right w:val="none" w:color="auto" w:sz="0" w:space="0"/>
            <w:insideH w:val="single" w:color="000000" w:sz="6"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w:t>
            </w:r>
          </w:p>
        </w:tc>
        <w:tc>
          <w:tcPr>
            <w:tcW w:w="2128"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氨氮</w:t>
            </w:r>
          </w:p>
        </w:tc>
        <w:tc>
          <w:tcPr>
            <w:tcW w:w="1986" w:type="dxa"/>
            <w:noWrap w:val="0"/>
            <w:vAlign w:val="center"/>
          </w:tcPr>
          <w:p>
            <w:pPr>
              <w:spacing w:line="240" w:lineRule="auto"/>
              <w:ind w:firstLine="0" w:firstLineChars="0"/>
              <w:jc w:val="center"/>
              <w:rPr>
                <w:color w:val="auto"/>
                <w:sz w:val="20"/>
                <w:szCs w:val="20"/>
              </w:rPr>
            </w:pPr>
            <w:r>
              <w:rPr>
                <w:color w:val="auto"/>
                <w:sz w:val="20"/>
                <w:szCs w:val="20"/>
              </w:rPr>
              <w:t>≤0.5</w:t>
            </w:r>
          </w:p>
        </w:tc>
        <w:tc>
          <w:tcPr>
            <w:tcW w:w="709" w:type="dxa"/>
            <w:noWrap w:val="0"/>
            <w:vAlign w:val="center"/>
          </w:tcPr>
          <w:p>
            <w:pPr>
              <w:adjustRightInd w:val="0"/>
              <w:snapToGrid w:val="0"/>
              <w:spacing w:line="240" w:lineRule="auto"/>
              <w:ind w:firstLine="0" w:firstLineChars="0"/>
              <w:jc w:val="center"/>
              <w:rPr>
                <w:color w:val="auto"/>
                <w:sz w:val="20"/>
                <w:szCs w:val="20"/>
              </w:rPr>
            </w:pPr>
          </w:p>
        </w:tc>
        <w:tc>
          <w:tcPr>
            <w:tcW w:w="1702" w:type="dxa"/>
            <w:noWrap w:val="0"/>
            <w:vAlign w:val="center"/>
          </w:tcPr>
          <w:p>
            <w:pPr>
              <w:adjustRightInd w:val="0"/>
              <w:snapToGrid w:val="0"/>
              <w:spacing w:line="240" w:lineRule="auto"/>
              <w:ind w:firstLine="0" w:firstLineChars="0"/>
              <w:jc w:val="center"/>
              <w:rPr>
                <w:color w:val="auto"/>
                <w:sz w:val="20"/>
                <w:szCs w:val="20"/>
              </w:rPr>
            </w:pPr>
          </w:p>
        </w:tc>
        <w:tc>
          <w:tcPr>
            <w:tcW w:w="1806" w:type="dxa"/>
            <w:noWrap w:val="0"/>
            <w:vAlign w:val="center"/>
          </w:tcPr>
          <w:p>
            <w:pPr>
              <w:adjustRightInd w:val="0"/>
              <w:snapToGrid w:val="0"/>
              <w:spacing w:line="240" w:lineRule="auto"/>
              <w:ind w:firstLine="0" w:firstLineChars="0"/>
              <w:jc w:val="center"/>
              <w:rPr>
                <w:color w:val="auto"/>
                <w:sz w:val="20"/>
                <w:szCs w:val="20"/>
              </w:rPr>
            </w:pPr>
          </w:p>
        </w:tc>
      </w:tr>
    </w:tbl>
    <w:p>
      <w:pPr>
        <w:spacing w:before="120" w:beforeLines="50"/>
        <w:ind w:firstLine="480"/>
        <w:rPr>
          <w:color w:val="auto"/>
        </w:rPr>
      </w:pPr>
      <w:r>
        <w:rPr>
          <w:color w:val="auto"/>
        </w:rPr>
        <w:t>4、声环境质量标准</w:t>
      </w:r>
    </w:p>
    <w:p>
      <w:pPr>
        <w:ind w:firstLine="480"/>
        <w:rPr>
          <w:rFonts w:hint="eastAsia"/>
          <w:color w:val="auto"/>
        </w:rPr>
      </w:pPr>
      <w:r>
        <w:rPr>
          <w:color w:val="auto"/>
        </w:rPr>
        <w:t>声环境质量执行《声环境质量标准》（GB3096-2008）中的2类标准，标准值见表2.4-6。</w:t>
      </w:r>
    </w:p>
    <w:p>
      <w:pPr>
        <w:pStyle w:val="166"/>
        <w:spacing w:before="120" w:beforeLines="0"/>
        <w:rPr>
          <w:color w:val="auto"/>
        </w:rPr>
      </w:pPr>
      <w:r>
        <w:rPr>
          <w:color w:val="auto"/>
        </w:rPr>
        <w:t>表2.4-6</w:t>
      </w:r>
      <w:r>
        <w:rPr>
          <w:rFonts w:hint="eastAsia"/>
          <w:color w:val="auto"/>
          <w:lang w:val="en-US" w:eastAsia="zh-CN"/>
        </w:rPr>
        <w:t xml:space="preserve"> </w:t>
      </w:r>
      <w:r>
        <w:rPr>
          <w:color w:val="auto"/>
        </w:rPr>
        <w:t>《声环境质量标准》（GB3096-2008）  单位：dB（A）</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01"/>
        <w:gridCol w:w="3002"/>
        <w:gridCol w:w="30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3001" w:type="dxa"/>
            <w:noWrap w:val="0"/>
            <w:vAlign w:val="center"/>
          </w:tcPr>
          <w:p>
            <w:pPr>
              <w:pStyle w:val="274"/>
              <w:spacing w:line="240" w:lineRule="auto"/>
              <w:rPr>
                <w:b/>
                <w:color w:val="auto"/>
              </w:rPr>
            </w:pPr>
            <w:r>
              <w:rPr>
                <w:b/>
                <w:color w:val="auto"/>
              </w:rPr>
              <w:t>类别</w:t>
            </w:r>
          </w:p>
        </w:tc>
        <w:tc>
          <w:tcPr>
            <w:tcW w:w="3002" w:type="dxa"/>
            <w:noWrap w:val="0"/>
            <w:vAlign w:val="center"/>
          </w:tcPr>
          <w:p>
            <w:pPr>
              <w:pStyle w:val="274"/>
              <w:spacing w:line="240" w:lineRule="auto"/>
              <w:rPr>
                <w:b/>
                <w:color w:val="auto"/>
              </w:rPr>
            </w:pPr>
            <w:r>
              <w:rPr>
                <w:b/>
                <w:color w:val="auto"/>
              </w:rPr>
              <w:t>昼间</w:t>
            </w:r>
          </w:p>
        </w:tc>
        <w:tc>
          <w:tcPr>
            <w:tcW w:w="3000" w:type="dxa"/>
            <w:noWrap w:val="0"/>
            <w:vAlign w:val="center"/>
          </w:tcPr>
          <w:p>
            <w:pPr>
              <w:pStyle w:val="274"/>
              <w:spacing w:line="240" w:lineRule="auto"/>
              <w:rPr>
                <w:b/>
                <w:color w:val="auto"/>
              </w:rPr>
            </w:pPr>
            <w:r>
              <w:rPr>
                <w:b/>
                <w:color w:val="auto"/>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3001" w:type="dxa"/>
            <w:noWrap w:val="0"/>
            <w:vAlign w:val="center"/>
          </w:tcPr>
          <w:p>
            <w:pPr>
              <w:pStyle w:val="274"/>
              <w:spacing w:line="240" w:lineRule="auto"/>
              <w:rPr>
                <w:color w:val="auto"/>
              </w:rPr>
            </w:pPr>
            <w:r>
              <w:rPr>
                <w:color w:val="auto"/>
              </w:rPr>
              <w:t>2类标准</w:t>
            </w:r>
          </w:p>
        </w:tc>
        <w:tc>
          <w:tcPr>
            <w:tcW w:w="3002" w:type="dxa"/>
            <w:noWrap w:val="0"/>
            <w:vAlign w:val="center"/>
          </w:tcPr>
          <w:p>
            <w:pPr>
              <w:pStyle w:val="274"/>
              <w:spacing w:line="240" w:lineRule="auto"/>
              <w:rPr>
                <w:color w:val="auto"/>
              </w:rPr>
            </w:pPr>
            <w:r>
              <w:rPr>
                <w:color w:val="auto"/>
              </w:rPr>
              <w:t>60</w:t>
            </w:r>
          </w:p>
        </w:tc>
        <w:tc>
          <w:tcPr>
            <w:tcW w:w="3000" w:type="dxa"/>
            <w:noWrap w:val="0"/>
            <w:vAlign w:val="center"/>
          </w:tcPr>
          <w:p>
            <w:pPr>
              <w:pStyle w:val="274"/>
              <w:spacing w:line="240" w:lineRule="auto"/>
              <w:rPr>
                <w:color w:val="auto"/>
              </w:rPr>
            </w:pPr>
            <w:r>
              <w:rPr>
                <w:color w:val="auto"/>
              </w:rPr>
              <w:t>50</w:t>
            </w:r>
          </w:p>
        </w:tc>
      </w:tr>
    </w:tbl>
    <w:p>
      <w:pPr>
        <w:spacing w:before="120" w:beforeLines="50"/>
        <w:ind w:firstLine="480"/>
        <w:rPr>
          <w:color w:val="auto"/>
        </w:rPr>
      </w:pPr>
      <w:r>
        <w:rPr>
          <w:color w:val="auto"/>
        </w:rPr>
        <w:t>5、土壤环境质量标准</w:t>
      </w:r>
    </w:p>
    <w:p>
      <w:pPr>
        <w:adjustRightInd w:val="0"/>
        <w:snapToGrid w:val="0"/>
        <w:ind w:firstLine="480"/>
        <w:rPr>
          <w:color w:val="auto"/>
        </w:rPr>
      </w:pPr>
      <w:r>
        <w:rPr>
          <w:color w:val="auto"/>
        </w:rPr>
        <w:t>项目所在地区域土壤环境执行《土壤环境质量标准 农用地土壤污染风险管控标准（试行）》（GB 15618-2018）中的表1农用地土壤污染风险筛选值及表3中农用地土壤污染风险管制值，标准值见表2.4-7和表2.4-8。</w:t>
      </w:r>
    </w:p>
    <w:p>
      <w:pPr>
        <w:pStyle w:val="166"/>
        <w:spacing w:before="120" w:beforeLines="0"/>
        <w:rPr>
          <w:color w:val="auto"/>
        </w:rPr>
      </w:pPr>
      <w:r>
        <w:rPr>
          <w:color w:val="auto"/>
        </w:rPr>
        <w:t>表2.4-7</w:t>
      </w:r>
      <w:r>
        <w:rPr>
          <w:rFonts w:hint="eastAsia"/>
          <w:color w:val="auto"/>
          <w:lang w:val="en-US" w:eastAsia="zh-CN"/>
        </w:rPr>
        <w:t xml:space="preserve"> </w:t>
      </w:r>
      <w:r>
        <w:rPr>
          <w:color w:val="auto"/>
        </w:rPr>
        <w:t>农用地土壤污染风险筛选值   单位：mg/kg</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691"/>
        <w:gridCol w:w="851"/>
        <w:gridCol w:w="992"/>
        <w:gridCol w:w="1559"/>
        <w:gridCol w:w="1560"/>
        <w:gridCol w:w="1701"/>
        <w:gridCol w:w="139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tblHeader/>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序号</w:t>
            </w:r>
          </w:p>
        </w:tc>
        <w:tc>
          <w:tcPr>
            <w:tcW w:w="1843" w:type="dxa"/>
            <w:gridSpan w:val="2"/>
            <w:vMerge w:val="restart"/>
            <w:tcBorders>
              <w:lef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污染物项目</w:t>
            </w:r>
            <w:r>
              <w:rPr>
                <w:rFonts w:hint="eastAsia" w:ascii="宋体" w:hAnsi="宋体" w:cs="宋体"/>
                <w:b/>
                <w:color w:val="auto"/>
                <w:sz w:val="20"/>
                <w:szCs w:val="20"/>
                <w:vertAlign w:val="superscript"/>
              </w:rPr>
              <w:t>①②</w:t>
            </w:r>
          </w:p>
        </w:tc>
        <w:tc>
          <w:tcPr>
            <w:tcW w:w="6216" w:type="dxa"/>
            <w:gridSpan w:val="4"/>
            <w:tcBorders>
              <w:bottom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风险筛选值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tblHeader/>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p>
        </w:tc>
        <w:tc>
          <w:tcPr>
            <w:tcW w:w="1843" w:type="dxa"/>
            <w:gridSpan w:val="2"/>
            <w:vMerge w:val="continue"/>
            <w:tcBorders>
              <w:left w:val="single" w:color="auto" w:sz="4" w:space="0"/>
            </w:tcBorders>
            <w:noWrap w:val="0"/>
            <w:vAlign w:val="center"/>
          </w:tcPr>
          <w:p>
            <w:pPr>
              <w:adjustRightInd w:val="0"/>
              <w:snapToGrid w:val="0"/>
              <w:spacing w:line="240" w:lineRule="auto"/>
              <w:ind w:firstLine="402"/>
              <w:jc w:val="center"/>
              <w:rPr>
                <w:b/>
                <w:color w:val="auto"/>
                <w:sz w:val="20"/>
                <w:szCs w:val="20"/>
              </w:rPr>
            </w:pP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pH≤5.5</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5.5&lt;pH≤6.5</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6.5&lt;pH≤7.5</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pH&gt;7.5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镉</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水田</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0.3</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0.4</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0.6</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0.3</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0.3</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0.3</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汞</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水田</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0.5</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0.5</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0.6</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1.3</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1.8</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2.4</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砷</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水田</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铅</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水田</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140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240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90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120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170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铬</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水田</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PrEx>
        <w:trPr>
          <w:wBefore w:w="0" w:type="dxa"/>
          <w:wAfter w:w="0" w:type="dxa"/>
          <w:trHeight w:val="340" w:hRule="atLeast"/>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w:t>
            </w:r>
          </w:p>
        </w:tc>
        <w:tc>
          <w:tcPr>
            <w:tcW w:w="851" w:type="dxa"/>
            <w:vMerge w:val="restart"/>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铜</w:t>
            </w:r>
          </w:p>
        </w:tc>
        <w:tc>
          <w:tcPr>
            <w:tcW w:w="992"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果园</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851" w:type="dxa"/>
            <w:vMerge w:val="continue"/>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p>
        </w:tc>
        <w:tc>
          <w:tcPr>
            <w:tcW w:w="992"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其他</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w:t>
            </w:r>
          </w:p>
        </w:tc>
        <w:tc>
          <w:tcPr>
            <w:tcW w:w="1843" w:type="dxa"/>
            <w:gridSpan w:val="2"/>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镍</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190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w:t>
            </w:r>
          </w:p>
        </w:tc>
        <w:tc>
          <w:tcPr>
            <w:tcW w:w="1843" w:type="dxa"/>
            <w:gridSpan w:val="2"/>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锌</w:t>
            </w: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250</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8750" w:type="dxa"/>
            <w:gridSpan w:val="7"/>
            <w:noWrap w:val="0"/>
            <w:vAlign w:val="top"/>
          </w:tcPr>
          <w:p>
            <w:pPr>
              <w:adjustRightInd w:val="0"/>
              <w:snapToGrid w:val="0"/>
              <w:spacing w:line="240" w:lineRule="auto"/>
              <w:ind w:firstLine="0" w:firstLineChars="0"/>
              <w:jc w:val="left"/>
              <w:rPr>
                <w:color w:val="auto"/>
                <w:sz w:val="20"/>
                <w:szCs w:val="20"/>
              </w:rPr>
            </w:pPr>
            <w:r>
              <w:rPr>
                <w:color w:val="auto"/>
                <w:sz w:val="20"/>
                <w:szCs w:val="20"/>
              </w:rPr>
              <w:t>注：</w:t>
            </w:r>
            <w:r>
              <w:rPr>
                <w:rFonts w:hint="eastAsia" w:ascii="宋体" w:hAnsi="宋体" w:cs="宋体"/>
                <w:color w:val="auto"/>
                <w:sz w:val="20"/>
                <w:szCs w:val="20"/>
              </w:rPr>
              <w:t>①</w:t>
            </w:r>
            <w:r>
              <w:rPr>
                <w:color w:val="auto"/>
                <w:sz w:val="20"/>
                <w:szCs w:val="20"/>
              </w:rPr>
              <w:t>重金属和类金属砷均按元素总量计。</w:t>
            </w:r>
          </w:p>
          <w:p>
            <w:pPr>
              <w:adjustRightInd w:val="0"/>
              <w:snapToGrid w:val="0"/>
              <w:spacing w:line="240" w:lineRule="auto"/>
              <w:ind w:firstLine="400"/>
              <w:jc w:val="left"/>
              <w:rPr>
                <w:color w:val="auto"/>
                <w:sz w:val="20"/>
                <w:szCs w:val="20"/>
              </w:rPr>
            </w:pPr>
            <w:r>
              <w:rPr>
                <w:rFonts w:hint="eastAsia" w:ascii="宋体" w:hAnsi="宋体" w:cs="宋体"/>
                <w:color w:val="auto"/>
                <w:sz w:val="20"/>
                <w:szCs w:val="20"/>
              </w:rPr>
              <w:t>②</w:t>
            </w:r>
            <w:r>
              <w:rPr>
                <w:color w:val="auto"/>
                <w:sz w:val="20"/>
                <w:szCs w:val="20"/>
              </w:rPr>
              <w:t>对于水旱轮作地，采用其中较严格的风险筛选值。</w:t>
            </w:r>
          </w:p>
        </w:tc>
      </w:tr>
    </w:tbl>
    <w:p>
      <w:pPr>
        <w:pStyle w:val="166"/>
        <w:spacing w:before="120" w:beforeLines="0"/>
        <w:rPr>
          <w:color w:val="auto"/>
        </w:rPr>
      </w:pPr>
      <w:r>
        <w:rPr>
          <w:color w:val="auto"/>
        </w:rPr>
        <w:t>表2.4-8</w:t>
      </w:r>
      <w:r>
        <w:rPr>
          <w:rFonts w:hint="eastAsia"/>
          <w:color w:val="auto"/>
          <w:lang w:val="en-US" w:eastAsia="zh-CN"/>
        </w:rPr>
        <w:t xml:space="preserve"> </w:t>
      </w:r>
      <w:r>
        <w:rPr>
          <w:color w:val="auto"/>
        </w:rPr>
        <w:t>农用地土壤污染风险管制值   单位：mg/kg</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691"/>
        <w:gridCol w:w="1843"/>
        <w:gridCol w:w="1559"/>
        <w:gridCol w:w="1560"/>
        <w:gridCol w:w="1701"/>
        <w:gridCol w:w="139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tblHeader/>
          <w:jc w:val="center"/>
        </w:trPr>
        <w:tc>
          <w:tcPr>
            <w:tcW w:w="691" w:type="dxa"/>
            <w:vMerge w:val="restart"/>
            <w:tcBorders>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序号</w:t>
            </w:r>
          </w:p>
        </w:tc>
        <w:tc>
          <w:tcPr>
            <w:tcW w:w="1843" w:type="dxa"/>
            <w:vMerge w:val="restart"/>
            <w:tcBorders>
              <w:lef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污染物项目</w:t>
            </w:r>
          </w:p>
        </w:tc>
        <w:tc>
          <w:tcPr>
            <w:tcW w:w="6216" w:type="dxa"/>
            <w:gridSpan w:val="4"/>
            <w:tcBorders>
              <w:bottom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风险管制值</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tblHeader/>
          <w:jc w:val="center"/>
        </w:trPr>
        <w:tc>
          <w:tcPr>
            <w:tcW w:w="691" w:type="dxa"/>
            <w:vMerge w:val="continue"/>
            <w:tcBorders>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p>
        </w:tc>
        <w:tc>
          <w:tcPr>
            <w:tcW w:w="1843" w:type="dxa"/>
            <w:vMerge w:val="continue"/>
            <w:tcBorders>
              <w:left w:val="single" w:color="auto" w:sz="4" w:space="0"/>
            </w:tcBorders>
            <w:noWrap w:val="0"/>
            <w:vAlign w:val="center"/>
          </w:tcPr>
          <w:p>
            <w:pPr>
              <w:adjustRightInd w:val="0"/>
              <w:snapToGrid w:val="0"/>
              <w:spacing w:line="240" w:lineRule="auto"/>
              <w:ind w:firstLine="0" w:firstLineChars="0"/>
              <w:jc w:val="center"/>
              <w:rPr>
                <w:b/>
                <w:color w:val="auto"/>
                <w:sz w:val="20"/>
                <w:szCs w:val="20"/>
              </w:rPr>
            </w:pPr>
          </w:p>
        </w:tc>
        <w:tc>
          <w:tcPr>
            <w:tcW w:w="1559" w:type="dxa"/>
            <w:tcBorders>
              <w:top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pH≤5.5</w:t>
            </w:r>
          </w:p>
        </w:tc>
        <w:tc>
          <w:tcPr>
            <w:tcW w:w="1560"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5.5&lt;pH≤6.5</w:t>
            </w:r>
          </w:p>
        </w:tc>
        <w:tc>
          <w:tcPr>
            <w:tcW w:w="1701" w:type="dxa"/>
            <w:tcBorders>
              <w:top w:val="single" w:color="auto" w:sz="4" w:space="0"/>
              <w:left w:val="single" w:color="auto" w:sz="4" w:space="0"/>
              <w:righ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6.5&lt;pH≤7.5</w:t>
            </w:r>
          </w:p>
        </w:tc>
        <w:tc>
          <w:tcPr>
            <w:tcW w:w="1396" w:type="dxa"/>
            <w:tcBorders>
              <w:top w:val="single" w:color="auto" w:sz="4" w:space="0"/>
              <w:left w:val="single" w:color="auto" w:sz="4" w:space="0"/>
            </w:tcBorders>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pH&gt;7.5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w:t>
            </w:r>
          </w:p>
        </w:tc>
        <w:tc>
          <w:tcPr>
            <w:tcW w:w="1843"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镉</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w:t>
            </w:r>
          </w:p>
        </w:tc>
        <w:tc>
          <w:tcPr>
            <w:tcW w:w="1843"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汞</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2.5</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6.0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w:t>
            </w:r>
          </w:p>
        </w:tc>
        <w:tc>
          <w:tcPr>
            <w:tcW w:w="1843"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砷</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200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150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120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w:t>
            </w:r>
          </w:p>
        </w:tc>
        <w:tc>
          <w:tcPr>
            <w:tcW w:w="1843"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铅</w:t>
            </w:r>
          </w:p>
        </w:tc>
        <w:tc>
          <w:tcPr>
            <w:tcW w:w="1559" w:type="dxa"/>
            <w:tcBorders>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400</w:t>
            </w:r>
          </w:p>
        </w:tc>
        <w:tc>
          <w:tcPr>
            <w:tcW w:w="1560"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500</w:t>
            </w:r>
          </w:p>
        </w:tc>
        <w:tc>
          <w:tcPr>
            <w:tcW w:w="1701" w:type="dxa"/>
            <w:tcBorders>
              <w:left w:val="single" w:color="auto" w:sz="4" w:space="0"/>
              <w:bottom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700</w:t>
            </w:r>
          </w:p>
        </w:tc>
        <w:tc>
          <w:tcPr>
            <w:tcW w:w="1396" w:type="dxa"/>
            <w:tcBorders>
              <w:left w:val="single" w:color="auto" w:sz="4" w:space="0"/>
              <w:bottom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340" w:hRule="atLeast"/>
          <w:jc w:val="center"/>
        </w:trPr>
        <w:tc>
          <w:tcPr>
            <w:tcW w:w="691"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5</w:t>
            </w:r>
          </w:p>
        </w:tc>
        <w:tc>
          <w:tcPr>
            <w:tcW w:w="1843"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铬</w:t>
            </w:r>
          </w:p>
        </w:tc>
        <w:tc>
          <w:tcPr>
            <w:tcW w:w="1559" w:type="dxa"/>
            <w:tcBorders>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800</w:t>
            </w:r>
          </w:p>
        </w:tc>
        <w:tc>
          <w:tcPr>
            <w:tcW w:w="1560" w:type="dxa"/>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850</w:t>
            </w:r>
          </w:p>
        </w:tc>
        <w:tc>
          <w:tcPr>
            <w:tcW w:w="1701" w:type="dxa"/>
            <w:tcBorders>
              <w:left w:val="single" w:color="auto" w:sz="4" w:space="0"/>
              <w:righ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1000</w:t>
            </w:r>
          </w:p>
        </w:tc>
        <w:tc>
          <w:tcPr>
            <w:tcW w:w="1396" w:type="dxa"/>
            <w:tcBorders>
              <w:left w:val="single" w:color="auto" w:sz="4" w:space="0"/>
            </w:tcBorders>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1300</w:t>
            </w:r>
          </w:p>
        </w:tc>
      </w:tr>
    </w:tbl>
    <w:p>
      <w:pPr>
        <w:pStyle w:val="8"/>
        <w:bidi w:val="0"/>
        <w:rPr>
          <w:color w:val="auto"/>
        </w:rPr>
      </w:pPr>
      <w:r>
        <w:rPr>
          <w:color w:val="auto"/>
        </w:rPr>
        <w:t>污染物排放标准</w:t>
      </w:r>
    </w:p>
    <w:p>
      <w:pPr>
        <w:ind w:firstLine="480"/>
        <w:rPr>
          <w:color w:val="auto"/>
        </w:rPr>
      </w:pPr>
      <w:r>
        <w:rPr>
          <w:color w:val="auto"/>
        </w:rPr>
        <w:t>1、大气污染物排放标准</w:t>
      </w:r>
    </w:p>
    <w:p>
      <w:pPr>
        <w:ind w:firstLine="480"/>
        <w:rPr>
          <w:color w:val="auto"/>
        </w:rPr>
      </w:pPr>
      <w:r>
        <w:rPr>
          <w:color w:val="auto"/>
        </w:rPr>
        <w:t>运营期废气排放执行《大气污染</w:t>
      </w:r>
      <w:r>
        <w:rPr>
          <w:rFonts w:hint="eastAsia"/>
          <w:color w:val="auto"/>
        </w:rPr>
        <w:t>物</w:t>
      </w:r>
      <w:r>
        <w:rPr>
          <w:color w:val="auto"/>
        </w:rPr>
        <w:t>综合排放标准》（GB16297-1996）表2中的二级标准和无组织排放监控浓度限值要求；臭气浓度执行《畜禽养殖业污染物排放标准》（GB18596-2001）表7中规定的标准限值；NH</w:t>
      </w:r>
      <w:r>
        <w:rPr>
          <w:color w:val="auto"/>
          <w:vertAlign w:val="subscript"/>
        </w:rPr>
        <w:t>3</w:t>
      </w:r>
      <w:r>
        <w:rPr>
          <w:color w:val="auto"/>
        </w:rPr>
        <w:t>、H</w:t>
      </w:r>
      <w:r>
        <w:rPr>
          <w:color w:val="auto"/>
          <w:vertAlign w:val="subscript"/>
        </w:rPr>
        <w:t>2</w:t>
      </w:r>
      <w:r>
        <w:rPr>
          <w:color w:val="auto"/>
        </w:rPr>
        <w:t>S执行《恶臭污染物排放标准》（GB14554-93）中二级标准限值；食堂油烟执行《饮食业油烟排放标准（试行）》（GB18483-2001）相应标准。具体标准值见表2.4-9和表2.4-10：</w:t>
      </w:r>
    </w:p>
    <w:p>
      <w:pPr>
        <w:pStyle w:val="166"/>
        <w:spacing w:before="120" w:beforeLines="0"/>
        <w:rPr>
          <w:color w:val="auto"/>
        </w:rPr>
      </w:pPr>
      <w:r>
        <w:rPr>
          <w:color w:val="auto"/>
        </w:rPr>
        <w:t>表2.4-9</w:t>
      </w:r>
      <w:r>
        <w:rPr>
          <w:rFonts w:hint="eastAsia"/>
          <w:color w:val="auto"/>
          <w:lang w:val="en-US" w:eastAsia="zh-CN"/>
        </w:rPr>
        <w:t xml:space="preserve"> </w:t>
      </w:r>
      <w:r>
        <w:rPr>
          <w:color w:val="auto"/>
        </w:rPr>
        <w:t>大气污染物排放标准</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132"/>
        <w:gridCol w:w="910"/>
        <w:gridCol w:w="956"/>
        <w:gridCol w:w="1376"/>
        <w:gridCol w:w="1255"/>
        <w:gridCol w:w="23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vMerge w:val="restart"/>
            <w:noWrap w:val="0"/>
            <w:vAlign w:val="center"/>
          </w:tcPr>
          <w:p>
            <w:pPr>
              <w:pStyle w:val="274"/>
              <w:spacing w:line="240" w:lineRule="auto"/>
              <w:rPr>
                <w:b/>
                <w:color w:val="auto"/>
              </w:rPr>
            </w:pPr>
            <w:r>
              <w:rPr>
                <w:b/>
                <w:color w:val="auto"/>
              </w:rPr>
              <w:t>污染物名称</w:t>
            </w:r>
          </w:p>
        </w:tc>
        <w:tc>
          <w:tcPr>
            <w:tcW w:w="2998" w:type="dxa"/>
            <w:gridSpan w:val="3"/>
            <w:noWrap w:val="0"/>
            <w:vAlign w:val="center"/>
          </w:tcPr>
          <w:p>
            <w:pPr>
              <w:pStyle w:val="274"/>
              <w:spacing w:line="240" w:lineRule="auto"/>
              <w:rPr>
                <w:b/>
                <w:color w:val="auto"/>
              </w:rPr>
            </w:pPr>
            <w:r>
              <w:rPr>
                <w:b/>
                <w:color w:val="auto"/>
              </w:rPr>
              <w:t>有组织排放最高允许浓度限值</w:t>
            </w:r>
          </w:p>
        </w:tc>
        <w:tc>
          <w:tcPr>
            <w:tcW w:w="2631" w:type="dxa"/>
            <w:gridSpan w:val="2"/>
            <w:vMerge w:val="restart"/>
            <w:noWrap w:val="0"/>
            <w:vAlign w:val="center"/>
          </w:tcPr>
          <w:p>
            <w:pPr>
              <w:pStyle w:val="274"/>
              <w:spacing w:line="240" w:lineRule="auto"/>
              <w:rPr>
                <w:b/>
                <w:color w:val="auto"/>
              </w:rPr>
            </w:pPr>
            <w:r>
              <w:rPr>
                <w:b/>
                <w:color w:val="auto"/>
              </w:rPr>
              <w:t>无组织排放监控浓度限值</w:t>
            </w:r>
          </w:p>
        </w:tc>
        <w:tc>
          <w:tcPr>
            <w:tcW w:w="2367" w:type="dxa"/>
            <w:vMerge w:val="restart"/>
            <w:noWrap w:val="0"/>
            <w:vAlign w:val="center"/>
          </w:tcPr>
          <w:p>
            <w:pPr>
              <w:pStyle w:val="274"/>
              <w:spacing w:line="240" w:lineRule="auto"/>
              <w:rPr>
                <w:b/>
                <w:color w:val="auto"/>
              </w:rPr>
            </w:pPr>
            <w:r>
              <w:rPr>
                <w:b/>
                <w:color w:val="auto"/>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vMerge w:val="continue"/>
            <w:noWrap w:val="0"/>
            <w:vAlign w:val="center"/>
          </w:tcPr>
          <w:p>
            <w:pPr>
              <w:pStyle w:val="274"/>
              <w:spacing w:line="240" w:lineRule="auto"/>
              <w:rPr>
                <w:color w:val="auto"/>
              </w:rPr>
            </w:pPr>
          </w:p>
        </w:tc>
        <w:tc>
          <w:tcPr>
            <w:tcW w:w="1132" w:type="dxa"/>
            <w:vMerge w:val="restart"/>
            <w:noWrap w:val="0"/>
            <w:vAlign w:val="center"/>
          </w:tcPr>
          <w:p>
            <w:pPr>
              <w:pStyle w:val="274"/>
              <w:spacing w:line="240" w:lineRule="auto"/>
              <w:rPr>
                <w:b/>
                <w:color w:val="auto"/>
              </w:rPr>
            </w:pPr>
            <w:r>
              <w:rPr>
                <w:b/>
                <w:color w:val="auto"/>
              </w:rPr>
              <w:t>最高允许排放浓度（mg/m</w:t>
            </w:r>
            <w:r>
              <w:rPr>
                <w:b/>
                <w:color w:val="auto"/>
                <w:vertAlign w:val="superscript"/>
              </w:rPr>
              <w:t>3</w:t>
            </w:r>
            <w:r>
              <w:rPr>
                <w:b/>
                <w:color w:val="auto"/>
              </w:rPr>
              <w:t>）</w:t>
            </w:r>
          </w:p>
        </w:tc>
        <w:tc>
          <w:tcPr>
            <w:tcW w:w="1866" w:type="dxa"/>
            <w:gridSpan w:val="2"/>
            <w:noWrap w:val="0"/>
            <w:vAlign w:val="center"/>
          </w:tcPr>
          <w:p>
            <w:pPr>
              <w:pStyle w:val="274"/>
              <w:spacing w:line="240" w:lineRule="auto"/>
              <w:rPr>
                <w:b/>
                <w:color w:val="auto"/>
              </w:rPr>
            </w:pPr>
            <w:r>
              <w:rPr>
                <w:b/>
                <w:color w:val="auto"/>
              </w:rPr>
              <w:t>最高允许排放速率（kg/h）</w:t>
            </w:r>
          </w:p>
        </w:tc>
        <w:tc>
          <w:tcPr>
            <w:tcW w:w="2631" w:type="dxa"/>
            <w:gridSpan w:val="2"/>
            <w:vMerge w:val="continue"/>
            <w:noWrap w:val="0"/>
            <w:vAlign w:val="center"/>
          </w:tcPr>
          <w:p>
            <w:pPr>
              <w:pStyle w:val="274"/>
              <w:spacing w:line="240" w:lineRule="auto"/>
              <w:rPr>
                <w:b/>
                <w:color w:val="auto"/>
              </w:rPr>
            </w:pPr>
          </w:p>
        </w:tc>
        <w:tc>
          <w:tcPr>
            <w:tcW w:w="2367" w:type="dxa"/>
            <w:vMerge w:val="continue"/>
            <w:noWrap w:val="0"/>
            <w:vAlign w:val="center"/>
          </w:tcPr>
          <w:p>
            <w:pPr>
              <w:pStyle w:val="274"/>
              <w:spacing w:line="240" w:lineRule="auto"/>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vMerge w:val="continue"/>
            <w:noWrap w:val="0"/>
            <w:vAlign w:val="center"/>
          </w:tcPr>
          <w:p>
            <w:pPr>
              <w:pStyle w:val="274"/>
              <w:spacing w:line="240" w:lineRule="auto"/>
              <w:rPr>
                <w:color w:val="auto"/>
              </w:rPr>
            </w:pPr>
          </w:p>
        </w:tc>
        <w:tc>
          <w:tcPr>
            <w:tcW w:w="1132" w:type="dxa"/>
            <w:vMerge w:val="continue"/>
            <w:noWrap w:val="0"/>
            <w:vAlign w:val="center"/>
          </w:tcPr>
          <w:p>
            <w:pPr>
              <w:pStyle w:val="274"/>
              <w:spacing w:line="240" w:lineRule="auto"/>
              <w:rPr>
                <w:b/>
                <w:color w:val="auto"/>
              </w:rPr>
            </w:pPr>
          </w:p>
        </w:tc>
        <w:tc>
          <w:tcPr>
            <w:tcW w:w="910" w:type="dxa"/>
            <w:noWrap w:val="0"/>
            <w:vAlign w:val="center"/>
          </w:tcPr>
          <w:p>
            <w:pPr>
              <w:pStyle w:val="274"/>
              <w:spacing w:line="240" w:lineRule="auto"/>
              <w:rPr>
                <w:b/>
                <w:color w:val="auto"/>
              </w:rPr>
            </w:pPr>
            <w:r>
              <w:rPr>
                <w:b/>
                <w:color w:val="auto"/>
              </w:rPr>
              <w:t>排气筒（m）</w:t>
            </w:r>
          </w:p>
        </w:tc>
        <w:tc>
          <w:tcPr>
            <w:tcW w:w="956" w:type="dxa"/>
            <w:noWrap w:val="0"/>
            <w:vAlign w:val="center"/>
          </w:tcPr>
          <w:p>
            <w:pPr>
              <w:pStyle w:val="274"/>
              <w:spacing w:line="240" w:lineRule="auto"/>
              <w:rPr>
                <w:b/>
                <w:color w:val="auto"/>
              </w:rPr>
            </w:pPr>
            <w:r>
              <w:rPr>
                <w:b/>
                <w:color w:val="auto"/>
              </w:rPr>
              <w:t>二级</w:t>
            </w:r>
          </w:p>
        </w:tc>
        <w:tc>
          <w:tcPr>
            <w:tcW w:w="1376" w:type="dxa"/>
            <w:noWrap w:val="0"/>
            <w:vAlign w:val="center"/>
          </w:tcPr>
          <w:p>
            <w:pPr>
              <w:pStyle w:val="274"/>
              <w:spacing w:line="240" w:lineRule="auto"/>
              <w:rPr>
                <w:b/>
                <w:color w:val="auto"/>
              </w:rPr>
            </w:pPr>
            <w:r>
              <w:rPr>
                <w:b/>
                <w:color w:val="auto"/>
              </w:rPr>
              <w:t>监控点</w:t>
            </w:r>
          </w:p>
        </w:tc>
        <w:tc>
          <w:tcPr>
            <w:tcW w:w="1255" w:type="dxa"/>
            <w:noWrap w:val="0"/>
            <w:vAlign w:val="center"/>
          </w:tcPr>
          <w:p>
            <w:pPr>
              <w:pStyle w:val="274"/>
              <w:spacing w:line="240" w:lineRule="auto"/>
              <w:rPr>
                <w:b/>
                <w:color w:val="auto"/>
              </w:rPr>
            </w:pPr>
            <w:r>
              <w:rPr>
                <w:b/>
                <w:color w:val="auto"/>
              </w:rPr>
              <w:t>浓度（mg/m</w:t>
            </w:r>
            <w:r>
              <w:rPr>
                <w:b/>
                <w:color w:val="auto"/>
                <w:vertAlign w:val="superscript"/>
              </w:rPr>
              <w:t>3</w:t>
            </w:r>
            <w:r>
              <w:rPr>
                <w:b/>
                <w:color w:val="auto"/>
              </w:rPr>
              <w:t>）</w:t>
            </w:r>
          </w:p>
        </w:tc>
        <w:tc>
          <w:tcPr>
            <w:tcW w:w="2367" w:type="dxa"/>
            <w:vMerge w:val="continue"/>
            <w:noWrap w:val="0"/>
            <w:vAlign w:val="center"/>
          </w:tcPr>
          <w:p>
            <w:pPr>
              <w:pStyle w:val="274"/>
              <w:spacing w:line="240" w:lineRule="auto"/>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颗粒物</w:t>
            </w:r>
          </w:p>
        </w:tc>
        <w:tc>
          <w:tcPr>
            <w:tcW w:w="1132" w:type="dxa"/>
            <w:noWrap w:val="0"/>
            <w:vAlign w:val="center"/>
          </w:tcPr>
          <w:p>
            <w:pPr>
              <w:pStyle w:val="274"/>
              <w:spacing w:line="240" w:lineRule="auto"/>
              <w:rPr>
                <w:color w:val="auto"/>
              </w:rPr>
            </w:pPr>
            <w:r>
              <w:rPr>
                <w:color w:val="auto"/>
              </w:rPr>
              <w:t>120</w:t>
            </w:r>
          </w:p>
        </w:tc>
        <w:tc>
          <w:tcPr>
            <w:tcW w:w="910" w:type="dxa"/>
            <w:noWrap w:val="0"/>
            <w:vAlign w:val="center"/>
          </w:tcPr>
          <w:p>
            <w:pPr>
              <w:pStyle w:val="274"/>
              <w:spacing w:line="240" w:lineRule="auto"/>
              <w:rPr>
                <w:color w:val="auto"/>
              </w:rPr>
            </w:pPr>
            <w:r>
              <w:rPr>
                <w:color w:val="auto"/>
              </w:rPr>
              <w:t>15</w:t>
            </w:r>
          </w:p>
        </w:tc>
        <w:tc>
          <w:tcPr>
            <w:tcW w:w="956" w:type="dxa"/>
            <w:noWrap w:val="0"/>
            <w:vAlign w:val="center"/>
          </w:tcPr>
          <w:p>
            <w:pPr>
              <w:pStyle w:val="274"/>
              <w:spacing w:line="240" w:lineRule="auto"/>
              <w:rPr>
                <w:color w:val="auto"/>
              </w:rPr>
            </w:pPr>
            <w:r>
              <w:rPr>
                <w:color w:val="auto"/>
              </w:rPr>
              <w:t>3.5</w:t>
            </w:r>
          </w:p>
        </w:tc>
        <w:tc>
          <w:tcPr>
            <w:tcW w:w="1376" w:type="dxa"/>
            <w:vMerge w:val="restart"/>
            <w:noWrap w:val="0"/>
            <w:vAlign w:val="center"/>
          </w:tcPr>
          <w:p>
            <w:pPr>
              <w:pStyle w:val="274"/>
              <w:spacing w:line="240" w:lineRule="auto"/>
              <w:rPr>
                <w:color w:val="auto"/>
              </w:rPr>
            </w:pPr>
            <w:r>
              <w:rPr>
                <w:color w:val="auto"/>
              </w:rPr>
              <w:t>周界外浓度最高点</w:t>
            </w:r>
          </w:p>
        </w:tc>
        <w:tc>
          <w:tcPr>
            <w:tcW w:w="1255" w:type="dxa"/>
            <w:noWrap w:val="0"/>
            <w:vAlign w:val="center"/>
          </w:tcPr>
          <w:p>
            <w:pPr>
              <w:pStyle w:val="274"/>
              <w:spacing w:line="240" w:lineRule="auto"/>
              <w:rPr>
                <w:color w:val="auto"/>
              </w:rPr>
            </w:pPr>
            <w:r>
              <w:rPr>
                <w:color w:val="auto"/>
              </w:rPr>
              <w:t>1.0</w:t>
            </w:r>
          </w:p>
        </w:tc>
        <w:tc>
          <w:tcPr>
            <w:tcW w:w="2367" w:type="dxa"/>
            <w:vMerge w:val="restart"/>
            <w:noWrap w:val="0"/>
            <w:vAlign w:val="center"/>
          </w:tcPr>
          <w:p>
            <w:pPr>
              <w:pStyle w:val="274"/>
              <w:spacing w:line="240" w:lineRule="auto"/>
              <w:rPr>
                <w:color w:val="auto"/>
              </w:rPr>
            </w:pPr>
            <w:r>
              <w:rPr>
                <w:color w:val="auto"/>
              </w:rPr>
              <w:t>《大气污染物综合排放标准》（GB16297-1996）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SO</w:t>
            </w:r>
            <w:r>
              <w:rPr>
                <w:color w:val="auto"/>
                <w:vertAlign w:val="subscript"/>
              </w:rPr>
              <w:t>2</w:t>
            </w:r>
          </w:p>
        </w:tc>
        <w:tc>
          <w:tcPr>
            <w:tcW w:w="1132" w:type="dxa"/>
            <w:noWrap w:val="0"/>
            <w:vAlign w:val="center"/>
          </w:tcPr>
          <w:p>
            <w:pPr>
              <w:pStyle w:val="274"/>
              <w:spacing w:line="240" w:lineRule="auto"/>
              <w:rPr>
                <w:color w:val="auto"/>
              </w:rPr>
            </w:pPr>
            <w:r>
              <w:rPr>
                <w:color w:val="auto"/>
              </w:rPr>
              <w:t>550</w:t>
            </w:r>
          </w:p>
        </w:tc>
        <w:tc>
          <w:tcPr>
            <w:tcW w:w="910" w:type="dxa"/>
            <w:noWrap w:val="0"/>
            <w:vAlign w:val="center"/>
          </w:tcPr>
          <w:p>
            <w:pPr>
              <w:pStyle w:val="274"/>
              <w:spacing w:line="240" w:lineRule="auto"/>
              <w:rPr>
                <w:color w:val="auto"/>
              </w:rPr>
            </w:pPr>
            <w:r>
              <w:rPr>
                <w:color w:val="auto"/>
              </w:rPr>
              <w:t>15</w:t>
            </w:r>
          </w:p>
        </w:tc>
        <w:tc>
          <w:tcPr>
            <w:tcW w:w="956" w:type="dxa"/>
            <w:noWrap w:val="0"/>
            <w:vAlign w:val="center"/>
          </w:tcPr>
          <w:p>
            <w:pPr>
              <w:pStyle w:val="274"/>
              <w:spacing w:line="240" w:lineRule="auto"/>
              <w:rPr>
                <w:color w:val="auto"/>
              </w:rPr>
            </w:pPr>
            <w:r>
              <w:rPr>
                <w:color w:val="auto"/>
              </w:rPr>
              <w:t>2.6</w:t>
            </w:r>
          </w:p>
        </w:tc>
        <w:tc>
          <w:tcPr>
            <w:tcW w:w="1376" w:type="dxa"/>
            <w:vMerge w:val="continue"/>
            <w:noWrap w:val="0"/>
            <w:vAlign w:val="center"/>
          </w:tcPr>
          <w:p>
            <w:pPr>
              <w:pStyle w:val="274"/>
              <w:spacing w:line="240" w:lineRule="auto"/>
              <w:rPr>
                <w:color w:val="auto"/>
              </w:rPr>
            </w:pPr>
          </w:p>
        </w:tc>
        <w:tc>
          <w:tcPr>
            <w:tcW w:w="1255" w:type="dxa"/>
            <w:noWrap w:val="0"/>
            <w:vAlign w:val="center"/>
          </w:tcPr>
          <w:p>
            <w:pPr>
              <w:pStyle w:val="274"/>
              <w:spacing w:line="240" w:lineRule="auto"/>
              <w:rPr>
                <w:color w:val="auto"/>
              </w:rPr>
            </w:pPr>
            <w:r>
              <w:rPr>
                <w:color w:val="auto"/>
              </w:rPr>
              <w:t>0.40</w:t>
            </w:r>
          </w:p>
        </w:tc>
        <w:tc>
          <w:tcPr>
            <w:tcW w:w="2367" w:type="dxa"/>
            <w:vMerge w:val="continue"/>
            <w:noWrap w:val="0"/>
            <w:vAlign w:val="center"/>
          </w:tcPr>
          <w:p>
            <w:pPr>
              <w:pStyle w:val="274"/>
              <w:spacing w:line="240" w:lineRule="auto"/>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NOx</w:t>
            </w:r>
          </w:p>
        </w:tc>
        <w:tc>
          <w:tcPr>
            <w:tcW w:w="1132" w:type="dxa"/>
            <w:noWrap w:val="0"/>
            <w:vAlign w:val="center"/>
          </w:tcPr>
          <w:p>
            <w:pPr>
              <w:pStyle w:val="274"/>
              <w:spacing w:line="240" w:lineRule="auto"/>
              <w:rPr>
                <w:color w:val="auto"/>
              </w:rPr>
            </w:pPr>
            <w:r>
              <w:rPr>
                <w:color w:val="auto"/>
              </w:rPr>
              <w:t>240</w:t>
            </w:r>
          </w:p>
        </w:tc>
        <w:tc>
          <w:tcPr>
            <w:tcW w:w="910" w:type="dxa"/>
            <w:noWrap w:val="0"/>
            <w:vAlign w:val="center"/>
          </w:tcPr>
          <w:p>
            <w:pPr>
              <w:pStyle w:val="274"/>
              <w:spacing w:line="240" w:lineRule="auto"/>
              <w:rPr>
                <w:color w:val="auto"/>
              </w:rPr>
            </w:pPr>
            <w:r>
              <w:rPr>
                <w:color w:val="auto"/>
              </w:rPr>
              <w:t>15</w:t>
            </w:r>
          </w:p>
        </w:tc>
        <w:tc>
          <w:tcPr>
            <w:tcW w:w="956" w:type="dxa"/>
            <w:noWrap w:val="0"/>
            <w:vAlign w:val="center"/>
          </w:tcPr>
          <w:p>
            <w:pPr>
              <w:pStyle w:val="274"/>
              <w:spacing w:line="240" w:lineRule="auto"/>
              <w:rPr>
                <w:color w:val="auto"/>
              </w:rPr>
            </w:pPr>
            <w:r>
              <w:rPr>
                <w:color w:val="auto"/>
              </w:rPr>
              <w:t>0.77</w:t>
            </w:r>
          </w:p>
        </w:tc>
        <w:tc>
          <w:tcPr>
            <w:tcW w:w="1376" w:type="dxa"/>
            <w:vMerge w:val="continue"/>
            <w:noWrap w:val="0"/>
            <w:vAlign w:val="center"/>
          </w:tcPr>
          <w:p>
            <w:pPr>
              <w:pStyle w:val="274"/>
              <w:spacing w:line="240" w:lineRule="auto"/>
              <w:rPr>
                <w:color w:val="auto"/>
              </w:rPr>
            </w:pPr>
          </w:p>
        </w:tc>
        <w:tc>
          <w:tcPr>
            <w:tcW w:w="1255" w:type="dxa"/>
            <w:noWrap w:val="0"/>
            <w:vAlign w:val="center"/>
          </w:tcPr>
          <w:p>
            <w:pPr>
              <w:pStyle w:val="274"/>
              <w:spacing w:line="240" w:lineRule="auto"/>
              <w:rPr>
                <w:color w:val="auto"/>
              </w:rPr>
            </w:pPr>
            <w:r>
              <w:rPr>
                <w:color w:val="auto"/>
              </w:rPr>
              <w:t>0.12</w:t>
            </w:r>
          </w:p>
        </w:tc>
        <w:tc>
          <w:tcPr>
            <w:tcW w:w="2367" w:type="dxa"/>
            <w:vMerge w:val="continue"/>
            <w:noWrap w:val="0"/>
            <w:vAlign w:val="center"/>
          </w:tcPr>
          <w:p>
            <w:pPr>
              <w:pStyle w:val="274"/>
              <w:spacing w:line="240" w:lineRule="auto"/>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臭气浓度（无量纲）</w:t>
            </w:r>
          </w:p>
        </w:tc>
        <w:tc>
          <w:tcPr>
            <w:tcW w:w="1132" w:type="dxa"/>
            <w:noWrap w:val="0"/>
            <w:vAlign w:val="center"/>
          </w:tcPr>
          <w:p>
            <w:pPr>
              <w:pStyle w:val="274"/>
              <w:spacing w:line="240" w:lineRule="auto"/>
              <w:rPr>
                <w:color w:val="auto"/>
              </w:rPr>
            </w:pPr>
            <w:r>
              <w:rPr>
                <w:color w:val="auto"/>
              </w:rPr>
              <w:t>/</w:t>
            </w:r>
          </w:p>
        </w:tc>
        <w:tc>
          <w:tcPr>
            <w:tcW w:w="910" w:type="dxa"/>
            <w:noWrap w:val="0"/>
            <w:vAlign w:val="center"/>
          </w:tcPr>
          <w:p>
            <w:pPr>
              <w:pStyle w:val="274"/>
              <w:spacing w:line="240" w:lineRule="auto"/>
              <w:rPr>
                <w:color w:val="auto"/>
              </w:rPr>
            </w:pPr>
            <w:r>
              <w:rPr>
                <w:color w:val="auto"/>
              </w:rPr>
              <w:t>/</w:t>
            </w:r>
          </w:p>
        </w:tc>
        <w:tc>
          <w:tcPr>
            <w:tcW w:w="956" w:type="dxa"/>
            <w:noWrap w:val="0"/>
            <w:vAlign w:val="center"/>
          </w:tcPr>
          <w:p>
            <w:pPr>
              <w:pStyle w:val="274"/>
              <w:spacing w:line="240" w:lineRule="auto"/>
              <w:rPr>
                <w:color w:val="auto"/>
              </w:rPr>
            </w:pPr>
            <w:r>
              <w:rPr>
                <w:color w:val="auto"/>
              </w:rPr>
              <w:t>/</w:t>
            </w:r>
          </w:p>
        </w:tc>
        <w:tc>
          <w:tcPr>
            <w:tcW w:w="1376" w:type="dxa"/>
            <w:noWrap w:val="0"/>
            <w:vAlign w:val="center"/>
          </w:tcPr>
          <w:p>
            <w:pPr>
              <w:pStyle w:val="274"/>
              <w:spacing w:line="240" w:lineRule="auto"/>
              <w:rPr>
                <w:color w:val="auto"/>
              </w:rPr>
            </w:pPr>
            <w:r>
              <w:rPr>
                <w:color w:val="auto"/>
              </w:rPr>
              <w:t>/</w:t>
            </w:r>
          </w:p>
        </w:tc>
        <w:tc>
          <w:tcPr>
            <w:tcW w:w="1255" w:type="dxa"/>
            <w:noWrap w:val="0"/>
            <w:vAlign w:val="center"/>
          </w:tcPr>
          <w:p>
            <w:pPr>
              <w:pStyle w:val="274"/>
              <w:spacing w:line="240" w:lineRule="auto"/>
              <w:rPr>
                <w:color w:val="auto"/>
              </w:rPr>
            </w:pPr>
            <w:r>
              <w:rPr>
                <w:color w:val="auto"/>
              </w:rPr>
              <w:t>70</w:t>
            </w:r>
          </w:p>
        </w:tc>
        <w:tc>
          <w:tcPr>
            <w:tcW w:w="2367" w:type="dxa"/>
            <w:noWrap w:val="0"/>
            <w:vAlign w:val="center"/>
          </w:tcPr>
          <w:p>
            <w:pPr>
              <w:pStyle w:val="274"/>
              <w:spacing w:line="240" w:lineRule="auto"/>
              <w:rPr>
                <w:color w:val="auto"/>
              </w:rPr>
            </w:pPr>
            <w:r>
              <w:rPr>
                <w:color w:val="auto"/>
              </w:rPr>
              <w:t>《畜禽养殖业污染物排放标准》（GB18596-2001）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NH</w:t>
            </w:r>
            <w:r>
              <w:rPr>
                <w:color w:val="auto"/>
                <w:vertAlign w:val="subscript"/>
              </w:rPr>
              <w:t>3</w:t>
            </w:r>
          </w:p>
        </w:tc>
        <w:tc>
          <w:tcPr>
            <w:tcW w:w="1132" w:type="dxa"/>
            <w:noWrap w:val="0"/>
            <w:vAlign w:val="center"/>
          </w:tcPr>
          <w:p>
            <w:pPr>
              <w:pStyle w:val="274"/>
              <w:spacing w:line="240" w:lineRule="auto"/>
              <w:rPr>
                <w:color w:val="auto"/>
              </w:rPr>
            </w:pPr>
            <w:r>
              <w:rPr>
                <w:color w:val="auto"/>
              </w:rPr>
              <w:t>/</w:t>
            </w:r>
          </w:p>
        </w:tc>
        <w:tc>
          <w:tcPr>
            <w:tcW w:w="910" w:type="dxa"/>
            <w:noWrap w:val="0"/>
            <w:vAlign w:val="center"/>
          </w:tcPr>
          <w:p>
            <w:pPr>
              <w:pStyle w:val="274"/>
              <w:spacing w:line="240" w:lineRule="auto"/>
              <w:rPr>
                <w:color w:val="auto"/>
              </w:rPr>
            </w:pPr>
            <w:r>
              <w:rPr>
                <w:color w:val="auto"/>
              </w:rPr>
              <w:t>15</w:t>
            </w:r>
          </w:p>
        </w:tc>
        <w:tc>
          <w:tcPr>
            <w:tcW w:w="956" w:type="dxa"/>
            <w:noWrap w:val="0"/>
            <w:vAlign w:val="center"/>
          </w:tcPr>
          <w:p>
            <w:pPr>
              <w:pStyle w:val="274"/>
              <w:spacing w:line="240" w:lineRule="auto"/>
              <w:rPr>
                <w:color w:val="auto"/>
              </w:rPr>
            </w:pPr>
            <w:r>
              <w:rPr>
                <w:color w:val="auto"/>
              </w:rPr>
              <w:t>4.9</w:t>
            </w:r>
          </w:p>
        </w:tc>
        <w:tc>
          <w:tcPr>
            <w:tcW w:w="1376" w:type="dxa"/>
            <w:vMerge w:val="restart"/>
            <w:noWrap w:val="0"/>
            <w:vAlign w:val="center"/>
          </w:tcPr>
          <w:p>
            <w:pPr>
              <w:pStyle w:val="274"/>
              <w:spacing w:line="240" w:lineRule="auto"/>
              <w:rPr>
                <w:color w:val="auto"/>
              </w:rPr>
            </w:pPr>
            <w:r>
              <w:rPr>
                <w:color w:val="auto"/>
              </w:rPr>
              <w:t>恶臭污染物厂界标准值二级标准</w:t>
            </w:r>
          </w:p>
        </w:tc>
        <w:tc>
          <w:tcPr>
            <w:tcW w:w="1255" w:type="dxa"/>
            <w:noWrap w:val="0"/>
            <w:vAlign w:val="center"/>
          </w:tcPr>
          <w:p>
            <w:pPr>
              <w:pStyle w:val="274"/>
              <w:spacing w:line="240" w:lineRule="auto"/>
              <w:rPr>
                <w:color w:val="auto"/>
              </w:rPr>
            </w:pPr>
            <w:r>
              <w:rPr>
                <w:color w:val="auto"/>
              </w:rPr>
              <w:t>1.5</w:t>
            </w:r>
          </w:p>
        </w:tc>
        <w:tc>
          <w:tcPr>
            <w:tcW w:w="2367" w:type="dxa"/>
            <w:vMerge w:val="restart"/>
            <w:noWrap w:val="0"/>
            <w:vAlign w:val="center"/>
          </w:tcPr>
          <w:p>
            <w:pPr>
              <w:pStyle w:val="274"/>
              <w:spacing w:line="240" w:lineRule="auto"/>
              <w:rPr>
                <w:color w:val="auto"/>
              </w:rPr>
            </w:pPr>
            <w:r>
              <w:rPr>
                <w:color w:val="auto"/>
              </w:rPr>
              <w:t>《恶臭污染物排放标准》（GB14554-93）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7" w:hRule="atLeast"/>
          <w:jc w:val="center"/>
        </w:trPr>
        <w:tc>
          <w:tcPr>
            <w:tcW w:w="922" w:type="dxa"/>
            <w:noWrap w:val="0"/>
            <w:vAlign w:val="center"/>
          </w:tcPr>
          <w:p>
            <w:pPr>
              <w:pStyle w:val="274"/>
              <w:spacing w:line="240" w:lineRule="auto"/>
              <w:rPr>
                <w:color w:val="auto"/>
              </w:rPr>
            </w:pPr>
            <w:r>
              <w:rPr>
                <w:color w:val="auto"/>
              </w:rPr>
              <w:t>H</w:t>
            </w:r>
            <w:r>
              <w:rPr>
                <w:color w:val="auto"/>
                <w:vertAlign w:val="subscript"/>
              </w:rPr>
              <w:t>2</w:t>
            </w:r>
            <w:r>
              <w:rPr>
                <w:color w:val="auto"/>
              </w:rPr>
              <w:t>S</w:t>
            </w:r>
          </w:p>
        </w:tc>
        <w:tc>
          <w:tcPr>
            <w:tcW w:w="1132" w:type="dxa"/>
            <w:noWrap w:val="0"/>
            <w:vAlign w:val="center"/>
          </w:tcPr>
          <w:p>
            <w:pPr>
              <w:pStyle w:val="274"/>
              <w:spacing w:line="240" w:lineRule="auto"/>
              <w:rPr>
                <w:color w:val="auto"/>
              </w:rPr>
            </w:pPr>
            <w:r>
              <w:rPr>
                <w:color w:val="auto"/>
              </w:rPr>
              <w:t>/</w:t>
            </w:r>
          </w:p>
        </w:tc>
        <w:tc>
          <w:tcPr>
            <w:tcW w:w="910" w:type="dxa"/>
            <w:noWrap w:val="0"/>
            <w:vAlign w:val="center"/>
          </w:tcPr>
          <w:p>
            <w:pPr>
              <w:pStyle w:val="274"/>
              <w:spacing w:line="240" w:lineRule="auto"/>
              <w:rPr>
                <w:color w:val="auto"/>
              </w:rPr>
            </w:pPr>
            <w:r>
              <w:rPr>
                <w:color w:val="auto"/>
              </w:rPr>
              <w:t>15</w:t>
            </w:r>
          </w:p>
        </w:tc>
        <w:tc>
          <w:tcPr>
            <w:tcW w:w="956" w:type="dxa"/>
            <w:noWrap w:val="0"/>
            <w:vAlign w:val="center"/>
          </w:tcPr>
          <w:p>
            <w:pPr>
              <w:pStyle w:val="274"/>
              <w:spacing w:line="240" w:lineRule="auto"/>
              <w:rPr>
                <w:color w:val="auto"/>
              </w:rPr>
            </w:pPr>
            <w:r>
              <w:rPr>
                <w:color w:val="auto"/>
              </w:rPr>
              <w:t>0.33</w:t>
            </w:r>
          </w:p>
        </w:tc>
        <w:tc>
          <w:tcPr>
            <w:tcW w:w="1376" w:type="dxa"/>
            <w:vMerge w:val="continue"/>
            <w:noWrap w:val="0"/>
            <w:vAlign w:val="center"/>
          </w:tcPr>
          <w:p>
            <w:pPr>
              <w:pStyle w:val="274"/>
              <w:spacing w:line="240" w:lineRule="auto"/>
              <w:rPr>
                <w:color w:val="auto"/>
              </w:rPr>
            </w:pPr>
          </w:p>
        </w:tc>
        <w:tc>
          <w:tcPr>
            <w:tcW w:w="1255" w:type="dxa"/>
            <w:noWrap w:val="0"/>
            <w:vAlign w:val="center"/>
          </w:tcPr>
          <w:p>
            <w:pPr>
              <w:pStyle w:val="274"/>
              <w:spacing w:line="240" w:lineRule="auto"/>
              <w:rPr>
                <w:color w:val="auto"/>
              </w:rPr>
            </w:pPr>
            <w:r>
              <w:rPr>
                <w:color w:val="auto"/>
              </w:rPr>
              <w:t>0.06</w:t>
            </w:r>
          </w:p>
        </w:tc>
        <w:tc>
          <w:tcPr>
            <w:tcW w:w="2367" w:type="dxa"/>
            <w:vMerge w:val="continue"/>
            <w:noWrap w:val="0"/>
            <w:vAlign w:val="center"/>
          </w:tcPr>
          <w:p>
            <w:pPr>
              <w:pStyle w:val="274"/>
              <w:spacing w:line="240" w:lineRule="auto"/>
              <w:rPr>
                <w:color w:val="auto"/>
              </w:rPr>
            </w:pPr>
          </w:p>
        </w:tc>
      </w:tr>
    </w:tbl>
    <w:p>
      <w:pPr>
        <w:pStyle w:val="166"/>
        <w:spacing w:before="120" w:beforeLines="0" w:line="240" w:lineRule="auto"/>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line="240" w:lineRule="auto"/>
        <w:textAlignment w:val="auto"/>
        <w:rPr>
          <w:color w:val="auto"/>
        </w:rPr>
      </w:pPr>
      <w:r>
        <w:rPr>
          <w:color w:val="auto"/>
        </w:rPr>
        <w:t>表2.4-10</w:t>
      </w:r>
      <w:r>
        <w:rPr>
          <w:rFonts w:hint="eastAsia"/>
          <w:color w:val="auto"/>
          <w:lang w:val="en-US" w:eastAsia="zh-CN"/>
        </w:rPr>
        <w:t xml:space="preserve"> </w:t>
      </w:r>
      <w:r>
        <w:rPr>
          <w:color w:val="auto"/>
        </w:rPr>
        <w:t>饮食业单位的油烟最高允许排放浓度和油烟净化设施最低去除效率</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045"/>
        <w:gridCol w:w="1985"/>
        <w:gridCol w:w="2013"/>
        <w:gridCol w:w="187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331" w:hRule="atLeast"/>
          <w:jc w:val="center"/>
        </w:trPr>
        <w:tc>
          <w:tcPr>
            <w:tcW w:w="3045" w:type="dxa"/>
            <w:tcBorders>
              <w:top w:val="single" w:color="auto" w:sz="12" w:space="0"/>
              <w:right w:val="single" w:color="auto" w:sz="4" w:space="0"/>
            </w:tcBorders>
            <w:noWrap w:val="0"/>
            <w:vAlign w:val="center"/>
          </w:tcPr>
          <w:p>
            <w:pPr>
              <w:pStyle w:val="274"/>
              <w:spacing w:line="240" w:lineRule="auto"/>
              <w:rPr>
                <w:b/>
                <w:color w:val="auto"/>
              </w:rPr>
            </w:pPr>
            <w:r>
              <w:rPr>
                <w:b/>
                <w:color w:val="auto"/>
              </w:rPr>
              <w:t>规模</w:t>
            </w:r>
          </w:p>
        </w:tc>
        <w:tc>
          <w:tcPr>
            <w:tcW w:w="1985" w:type="dxa"/>
            <w:tcBorders>
              <w:top w:val="single" w:color="auto" w:sz="12" w:space="0"/>
              <w:left w:val="single" w:color="auto" w:sz="4" w:space="0"/>
            </w:tcBorders>
            <w:noWrap w:val="0"/>
            <w:vAlign w:val="center"/>
          </w:tcPr>
          <w:p>
            <w:pPr>
              <w:pStyle w:val="274"/>
              <w:spacing w:line="240" w:lineRule="auto"/>
              <w:rPr>
                <w:b/>
                <w:color w:val="auto"/>
              </w:rPr>
            </w:pPr>
            <w:r>
              <w:rPr>
                <w:b/>
                <w:color w:val="auto"/>
              </w:rPr>
              <w:t>小型</w:t>
            </w:r>
          </w:p>
        </w:tc>
        <w:tc>
          <w:tcPr>
            <w:tcW w:w="2013" w:type="dxa"/>
            <w:tcBorders>
              <w:top w:val="single" w:color="auto" w:sz="12" w:space="0"/>
            </w:tcBorders>
            <w:noWrap w:val="0"/>
            <w:vAlign w:val="center"/>
          </w:tcPr>
          <w:p>
            <w:pPr>
              <w:pStyle w:val="274"/>
              <w:spacing w:line="240" w:lineRule="auto"/>
              <w:rPr>
                <w:b/>
                <w:color w:val="auto"/>
              </w:rPr>
            </w:pPr>
            <w:r>
              <w:rPr>
                <w:b/>
                <w:color w:val="auto"/>
              </w:rPr>
              <w:t>中型</w:t>
            </w:r>
          </w:p>
        </w:tc>
        <w:tc>
          <w:tcPr>
            <w:tcW w:w="1879" w:type="dxa"/>
            <w:tcBorders>
              <w:top w:val="single" w:color="auto" w:sz="12" w:space="0"/>
            </w:tcBorders>
            <w:noWrap w:val="0"/>
            <w:vAlign w:val="center"/>
          </w:tcPr>
          <w:p>
            <w:pPr>
              <w:pStyle w:val="274"/>
              <w:spacing w:line="240" w:lineRule="auto"/>
              <w:rPr>
                <w:b/>
                <w:color w:val="auto"/>
              </w:rPr>
            </w:pPr>
            <w:r>
              <w:rPr>
                <w:b/>
                <w:color w:val="auto"/>
              </w:rPr>
              <w:t>大型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331" w:hRule="atLeast"/>
          <w:jc w:val="center"/>
        </w:trPr>
        <w:tc>
          <w:tcPr>
            <w:tcW w:w="3045" w:type="dxa"/>
            <w:tcBorders>
              <w:top w:val="single" w:color="auto" w:sz="4" w:space="0"/>
              <w:bottom w:val="single" w:color="auto" w:sz="4" w:space="0"/>
              <w:right w:val="single" w:color="auto" w:sz="4" w:space="0"/>
            </w:tcBorders>
            <w:noWrap w:val="0"/>
            <w:vAlign w:val="center"/>
          </w:tcPr>
          <w:p>
            <w:pPr>
              <w:pStyle w:val="274"/>
              <w:spacing w:line="240" w:lineRule="auto"/>
              <w:rPr>
                <w:color w:val="auto"/>
              </w:rPr>
            </w:pPr>
            <w:r>
              <w:rPr>
                <w:color w:val="auto"/>
              </w:rPr>
              <w:t>最高允许排放浓度（mg/m</w:t>
            </w:r>
            <w:r>
              <w:rPr>
                <w:color w:val="auto"/>
                <w:vertAlign w:val="superscript"/>
              </w:rPr>
              <w:t>3</w:t>
            </w:r>
            <w:r>
              <w:rPr>
                <w:color w:val="auto"/>
              </w:rPr>
              <w:t>）</w:t>
            </w:r>
          </w:p>
        </w:tc>
        <w:tc>
          <w:tcPr>
            <w:tcW w:w="5877" w:type="dxa"/>
            <w:gridSpan w:val="3"/>
            <w:tcBorders>
              <w:top w:val="single" w:color="auto" w:sz="4" w:space="0"/>
              <w:left w:val="single" w:color="auto" w:sz="4" w:space="0"/>
              <w:bottom w:val="single" w:color="auto" w:sz="4" w:space="0"/>
            </w:tcBorders>
            <w:noWrap w:val="0"/>
            <w:vAlign w:val="center"/>
          </w:tcPr>
          <w:p>
            <w:pPr>
              <w:pStyle w:val="274"/>
              <w:spacing w:line="240" w:lineRule="auto"/>
              <w:rPr>
                <w:color w:val="auto"/>
              </w:rPr>
            </w:pPr>
            <w:r>
              <w:rPr>
                <w:color w:val="auto"/>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331" w:hRule="atLeast"/>
          <w:jc w:val="center"/>
        </w:trPr>
        <w:tc>
          <w:tcPr>
            <w:tcW w:w="3045" w:type="dxa"/>
            <w:tcBorders>
              <w:top w:val="single" w:color="auto" w:sz="4" w:space="0"/>
              <w:bottom w:val="single" w:color="auto" w:sz="12" w:space="0"/>
              <w:right w:val="single" w:color="auto" w:sz="4" w:space="0"/>
            </w:tcBorders>
            <w:noWrap w:val="0"/>
            <w:vAlign w:val="center"/>
          </w:tcPr>
          <w:p>
            <w:pPr>
              <w:pStyle w:val="274"/>
              <w:spacing w:line="240" w:lineRule="auto"/>
              <w:rPr>
                <w:color w:val="auto"/>
              </w:rPr>
            </w:pPr>
            <w:r>
              <w:rPr>
                <w:color w:val="auto"/>
              </w:rPr>
              <w:t>净化设施最低去除效率（%）</w:t>
            </w:r>
          </w:p>
        </w:tc>
        <w:tc>
          <w:tcPr>
            <w:tcW w:w="1985" w:type="dxa"/>
            <w:tcBorders>
              <w:top w:val="single" w:color="auto" w:sz="4" w:space="0"/>
              <w:left w:val="single" w:color="auto" w:sz="4" w:space="0"/>
              <w:bottom w:val="single" w:color="auto" w:sz="12" w:space="0"/>
            </w:tcBorders>
            <w:noWrap w:val="0"/>
            <w:vAlign w:val="center"/>
          </w:tcPr>
          <w:p>
            <w:pPr>
              <w:pStyle w:val="274"/>
              <w:spacing w:line="240" w:lineRule="auto"/>
              <w:rPr>
                <w:color w:val="auto"/>
              </w:rPr>
            </w:pPr>
            <w:r>
              <w:rPr>
                <w:color w:val="auto"/>
              </w:rPr>
              <w:t>60</w:t>
            </w:r>
          </w:p>
        </w:tc>
        <w:tc>
          <w:tcPr>
            <w:tcW w:w="2013" w:type="dxa"/>
            <w:tcBorders>
              <w:bottom w:val="single" w:color="auto" w:sz="12" w:space="0"/>
            </w:tcBorders>
            <w:noWrap w:val="0"/>
            <w:vAlign w:val="center"/>
          </w:tcPr>
          <w:p>
            <w:pPr>
              <w:pStyle w:val="274"/>
              <w:spacing w:line="240" w:lineRule="auto"/>
              <w:rPr>
                <w:color w:val="auto"/>
              </w:rPr>
            </w:pPr>
            <w:r>
              <w:rPr>
                <w:color w:val="auto"/>
              </w:rPr>
              <w:t>75</w:t>
            </w:r>
          </w:p>
        </w:tc>
        <w:tc>
          <w:tcPr>
            <w:tcW w:w="1879" w:type="dxa"/>
            <w:tcBorders>
              <w:bottom w:val="single" w:color="auto" w:sz="12" w:space="0"/>
            </w:tcBorders>
            <w:noWrap w:val="0"/>
            <w:vAlign w:val="center"/>
          </w:tcPr>
          <w:p>
            <w:pPr>
              <w:pStyle w:val="274"/>
              <w:spacing w:line="240" w:lineRule="auto"/>
              <w:rPr>
                <w:color w:val="auto"/>
              </w:rPr>
            </w:pPr>
            <w:r>
              <w:rPr>
                <w:color w:val="auto"/>
              </w:rPr>
              <w:t>85</w:t>
            </w:r>
          </w:p>
        </w:tc>
      </w:tr>
    </w:tbl>
    <w:p>
      <w:pPr>
        <w:spacing w:before="120" w:beforeLines="50"/>
        <w:ind w:firstLine="480"/>
        <w:rPr>
          <w:color w:val="auto"/>
        </w:rPr>
      </w:pPr>
      <w:r>
        <w:rPr>
          <w:color w:val="auto"/>
        </w:rPr>
        <w:t>2、水污染物排放标准</w:t>
      </w:r>
    </w:p>
    <w:p>
      <w:pPr>
        <w:pStyle w:val="265"/>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color w:val="auto"/>
          <w:lang w:val="en-US" w:eastAsia="zh-CN"/>
        </w:rPr>
      </w:pPr>
      <w:r>
        <w:rPr>
          <w:rFonts w:hint="eastAsia"/>
          <w:color w:val="auto"/>
          <w:lang w:val="en-US" w:eastAsia="zh-CN"/>
        </w:rPr>
        <w:t>本项目废水排水量执行《畜禽养殖业污染物排放标准》（GB18596-2001）中表 4 集约化畜禽养殖业干清粪工艺最高允许排水量标准限值。项目废水排放浓度执行《畜禽养殖业污染物排放标准》（GB18596-2001）中表</w:t>
      </w:r>
      <w:r>
        <w:rPr>
          <w:color w:val="auto"/>
        </w:rPr>
        <w:t>2.4-1</w:t>
      </w:r>
      <w:r>
        <w:rPr>
          <w:rFonts w:hint="eastAsia" w:ascii="Times New Roman" w:eastAsia="宋体"/>
          <w:color w:val="auto"/>
          <w:lang w:val="en-US" w:eastAsia="zh-CN"/>
        </w:rPr>
        <w:t>1</w:t>
      </w:r>
      <w:r>
        <w:rPr>
          <w:rFonts w:hint="eastAsia"/>
          <w:color w:val="auto"/>
          <w:lang w:val="en-US" w:eastAsia="zh-CN"/>
        </w:rPr>
        <w:t>集约化畜禽养殖业水污染物最高允许日排放浓度。具体标准见表2.4-12。</w:t>
      </w:r>
    </w:p>
    <w:p>
      <w:pPr>
        <w:pStyle w:val="166"/>
        <w:spacing w:before="120" w:beforeLines="0"/>
        <w:rPr>
          <w:color w:val="auto"/>
        </w:rPr>
      </w:pPr>
      <w:r>
        <w:rPr>
          <w:color w:val="auto"/>
        </w:rPr>
        <w:t>表2.4-1</w:t>
      </w:r>
      <w:r>
        <w:rPr>
          <w:rFonts w:hint="eastAsia"/>
          <w:color w:val="auto"/>
          <w:lang w:val="en-US" w:eastAsia="zh-CN"/>
        </w:rPr>
        <w:t xml:space="preserve">1 </w:t>
      </w:r>
      <w:r>
        <w:rPr>
          <w:color w:val="auto"/>
        </w:rPr>
        <w:t>集约化畜禽养殖业干清粪工艺最高允许排水量表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2203"/>
        <w:gridCol w:w="2200"/>
        <w:gridCol w:w="2204"/>
        <w:gridCol w:w="22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wBefore w:w="0" w:type="dxa"/>
          <w:wAfter w:w="0" w:type="dxa"/>
          <w:trHeight w:val="340" w:hRule="atLeast"/>
          <w:jc w:val="center"/>
        </w:trPr>
        <w:tc>
          <w:tcPr>
            <w:tcW w:w="2203" w:type="dxa"/>
            <w:noWrap w:val="0"/>
            <w:vAlign w:val="center"/>
          </w:tcPr>
          <w:p>
            <w:pPr>
              <w:pStyle w:val="274"/>
              <w:spacing w:line="240" w:lineRule="auto"/>
              <w:rPr>
                <w:b/>
                <w:bCs/>
                <w:color w:val="auto"/>
              </w:rPr>
            </w:pPr>
            <w:r>
              <w:rPr>
                <w:b/>
                <w:bCs/>
                <w:color w:val="auto"/>
              </w:rPr>
              <w:t>种类</w:t>
            </w:r>
          </w:p>
        </w:tc>
        <w:tc>
          <w:tcPr>
            <w:tcW w:w="6606" w:type="dxa"/>
            <w:gridSpan w:val="3"/>
            <w:noWrap w:val="0"/>
            <w:vAlign w:val="center"/>
          </w:tcPr>
          <w:p>
            <w:pPr>
              <w:pStyle w:val="274"/>
              <w:spacing w:line="240" w:lineRule="auto"/>
              <w:rPr>
                <w:b/>
                <w:bCs/>
                <w:color w:val="auto"/>
              </w:rPr>
            </w:pPr>
            <w:r>
              <w:rPr>
                <w:b/>
                <w:bCs/>
                <w:color w:val="auto"/>
              </w:rPr>
              <w:t>猪[m</w:t>
            </w:r>
            <w:r>
              <w:rPr>
                <w:b/>
                <w:bCs/>
                <w:color w:val="auto"/>
                <w:vertAlign w:val="superscript"/>
              </w:rPr>
              <w:t>3</w:t>
            </w:r>
            <w:r>
              <w:rPr>
                <w:b/>
                <w:bCs/>
                <w:color w:val="auto"/>
              </w:rPr>
              <w:t>/（百头·d）]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wBefore w:w="0" w:type="dxa"/>
          <w:wAfter w:w="0" w:type="dxa"/>
          <w:trHeight w:val="340" w:hRule="atLeast"/>
          <w:jc w:val="center"/>
        </w:trPr>
        <w:tc>
          <w:tcPr>
            <w:tcW w:w="2203" w:type="dxa"/>
            <w:noWrap w:val="0"/>
            <w:vAlign w:val="center"/>
          </w:tcPr>
          <w:p>
            <w:pPr>
              <w:pStyle w:val="274"/>
              <w:spacing w:line="240" w:lineRule="auto"/>
              <w:rPr>
                <w:b/>
                <w:bCs/>
                <w:color w:val="auto"/>
              </w:rPr>
            </w:pPr>
            <w:r>
              <w:rPr>
                <w:b/>
                <w:bCs/>
                <w:color w:val="auto"/>
              </w:rPr>
              <w:t>季节</w:t>
            </w:r>
          </w:p>
        </w:tc>
        <w:tc>
          <w:tcPr>
            <w:tcW w:w="2200" w:type="dxa"/>
            <w:noWrap w:val="0"/>
            <w:vAlign w:val="center"/>
          </w:tcPr>
          <w:p>
            <w:pPr>
              <w:pStyle w:val="274"/>
              <w:spacing w:line="240" w:lineRule="auto"/>
              <w:rPr>
                <w:b/>
                <w:bCs/>
                <w:color w:val="auto"/>
              </w:rPr>
            </w:pPr>
            <w:r>
              <w:rPr>
                <w:b/>
                <w:bCs/>
                <w:color w:val="auto"/>
              </w:rPr>
              <w:t>冬季</w:t>
            </w:r>
          </w:p>
        </w:tc>
        <w:tc>
          <w:tcPr>
            <w:tcW w:w="2204" w:type="dxa"/>
            <w:noWrap w:val="0"/>
            <w:vAlign w:val="center"/>
          </w:tcPr>
          <w:p>
            <w:pPr>
              <w:pStyle w:val="274"/>
              <w:spacing w:line="240" w:lineRule="auto"/>
              <w:rPr>
                <w:b/>
                <w:bCs/>
                <w:color w:val="auto"/>
              </w:rPr>
            </w:pPr>
            <w:r>
              <w:rPr>
                <w:b/>
                <w:bCs/>
                <w:color w:val="auto"/>
              </w:rPr>
              <w:t>夏季</w:t>
            </w:r>
          </w:p>
        </w:tc>
        <w:tc>
          <w:tcPr>
            <w:tcW w:w="2202" w:type="dxa"/>
            <w:noWrap w:val="0"/>
            <w:vAlign w:val="center"/>
          </w:tcPr>
          <w:p>
            <w:pPr>
              <w:pStyle w:val="274"/>
              <w:spacing w:line="240" w:lineRule="auto"/>
              <w:rPr>
                <w:b/>
                <w:bCs/>
                <w:color w:val="auto"/>
              </w:rPr>
            </w:pPr>
            <w:r>
              <w:rPr>
                <w:rFonts w:hint="eastAsia"/>
                <w:b/>
                <w:bCs/>
                <w:color w:val="auto"/>
              </w:rPr>
              <w:t>春、秋季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wBefore w:w="0" w:type="dxa"/>
          <w:wAfter w:w="0" w:type="dxa"/>
          <w:trHeight w:val="340" w:hRule="atLeast"/>
          <w:jc w:val="center"/>
        </w:trPr>
        <w:tc>
          <w:tcPr>
            <w:tcW w:w="2203" w:type="dxa"/>
            <w:noWrap w:val="0"/>
            <w:vAlign w:val="center"/>
          </w:tcPr>
          <w:p>
            <w:pPr>
              <w:pStyle w:val="274"/>
              <w:spacing w:line="240" w:lineRule="auto"/>
              <w:rPr>
                <w:color w:val="auto"/>
              </w:rPr>
            </w:pPr>
            <w:r>
              <w:rPr>
                <w:color w:val="auto"/>
              </w:rPr>
              <w:t>标准值</w:t>
            </w:r>
          </w:p>
        </w:tc>
        <w:tc>
          <w:tcPr>
            <w:tcW w:w="2200" w:type="dxa"/>
            <w:noWrap w:val="0"/>
            <w:vAlign w:val="center"/>
          </w:tcPr>
          <w:p>
            <w:pPr>
              <w:pStyle w:val="274"/>
              <w:spacing w:line="240" w:lineRule="auto"/>
              <w:rPr>
                <w:color w:val="auto"/>
              </w:rPr>
            </w:pPr>
            <w:r>
              <w:rPr>
                <w:color w:val="auto"/>
              </w:rPr>
              <w:t>1.2</w:t>
            </w:r>
          </w:p>
        </w:tc>
        <w:tc>
          <w:tcPr>
            <w:tcW w:w="2204" w:type="dxa"/>
            <w:noWrap w:val="0"/>
            <w:vAlign w:val="center"/>
          </w:tcPr>
          <w:p>
            <w:pPr>
              <w:pStyle w:val="274"/>
              <w:spacing w:line="240" w:lineRule="auto"/>
              <w:rPr>
                <w:color w:val="auto"/>
              </w:rPr>
            </w:pPr>
            <w:r>
              <w:rPr>
                <w:color w:val="auto"/>
              </w:rPr>
              <w:t>1.8</w:t>
            </w:r>
          </w:p>
        </w:tc>
        <w:tc>
          <w:tcPr>
            <w:tcW w:w="2202" w:type="dxa"/>
            <w:noWrap w:val="0"/>
            <w:vAlign w:val="center"/>
          </w:tcPr>
          <w:p>
            <w:pPr>
              <w:pStyle w:val="274"/>
              <w:spacing w:line="240" w:lineRule="auto"/>
              <w:rPr>
                <w:color w:val="auto"/>
              </w:rPr>
            </w:pPr>
            <w:r>
              <w:rPr>
                <w:rFonts w:hint="eastAsia"/>
                <w:color w:val="auto"/>
              </w:rPr>
              <w:t>1</w:t>
            </w:r>
            <w:r>
              <w:rPr>
                <w:color w:val="auto"/>
              </w:rPr>
              <w:t>.5</w:t>
            </w:r>
          </w:p>
        </w:tc>
      </w:tr>
    </w:tbl>
    <w:p>
      <w:pPr>
        <w:pStyle w:val="265"/>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eastAsia" w:cs="Times New Roman"/>
          <w:b/>
          <w:bCs/>
          <w:color w:val="auto"/>
          <w:sz w:val="21"/>
          <w:szCs w:val="21"/>
          <w:u w:val="none" w:color="auto"/>
          <w:lang w:val="en-US" w:eastAsia="zh-CN"/>
        </w:rPr>
      </w:pPr>
      <w:r>
        <w:rPr>
          <w:rFonts w:hint="eastAsia" w:ascii="Times New Roman" w:hAnsi="Times New Roman" w:eastAsia="宋体" w:cs="Times New Roman"/>
          <w:b/>
          <w:bCs/>
          <w:color w:val="auto"/>
          <w:sz w:val="21"/>
          <w:szCs w:val="21"/>
          <w:u w:val="none" w:color="auto"/>
          <w:lang w:val="en-US" w:eastAsia="zh-CN"/>
        </w:rPr>
        <w:t>表2.4-12</w:t>
      </w:r>
      <w:r>
        <w:rPr>
          <w:rFonts w:hint="eastAsia" w:cs="Times New Roman"/>
          <w:b/>
          <w:bCs/>
          <w:color w:val="auto"/>
          <w:sz w:val="21"/>
          <w:szCs w:val="21"/>
          <w:u w:val="none" w:color="auto"/>
          <w:lang w:val="en-US" w:eastAsia="zh-CN"/>
        </w:rPr>
        <w:t xml:space="preserve"> </w:t>
      </w:r>
      <w:r>
        <w:rPr>
          <w:rFonts w:hint="eastAsia" w:ascii="Times New Roman" w:hAnsi="Times New Roman" w:eastAsia="宋体" w:cs="Times New Roman"/>
          <w:b/>
          <w:bCs/>
          <w:color w:val="auto"/>
          <w:sz w:val="21"/>
          <w:szCs w:val="21"/>
          <w:u w:val="none" w:color="auto"/>
          <w:lang w:val="en-US" w:eastAsia="zh-CN"/>
        </w:rPr>
        <w:t>集约化畜禽养殖业水污染物最高允许日排放浓</w:t>
      </w:r>
      <w:r>
        <w:rPr>
          <w:rFonts w:hint="eastAsia" w:cs="Times New Roman"/>
          <w:b/>
          <w:bCs/>
          <w:color w:val="auto"/>
          <w:sz w:val="21"/>
          <w:szCs w:val="21"/>
          <w:u w:val="none" w:color="auto"/>
          <w:lang w:val="en-US" w:eastAsia="zh-CN"/>
        </w:rPr>
        <w:t>度</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1124"/>
        <w:gridCol w:w="1124"/>
        <w:gridCol w:w="1125"/>
        <w:gridCol w:w="1125"/>
        <w:gridCol w:w="1125"/>
        <w:gridCol w:w="1127"/>
        <w:gridCol w:w="112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控制项目</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BOD</w:t>
            </w:r>
            <w:r>
              <w:rPr>
                <w:rFonts w:hint="eastAsia" w:cs="Times New Roman"/>
                <w:b w:val="0"/>
                <w:bCs w:val="0"/>
                <w:color w:val="auto"/>
                <w:sz w:val="21"/>
                <w:szCs w:val="21"/>
                <w:u w:val="none" w:color="auto"/>
                <w:vertAlign w:val="subscript"/>
                <w:lang w:val="en-US" w:eastAsia="zh-CN"/>
              </w:rPr>
              <w:t>5</w:t>
            </w:r>
            <w:r>
              <w:rPr>
                <w:rFonts w:hint="eastAsia" w:cs="Times New Roman"/>
                <w:b w:val="0"/>
                <w:bCs w:val="0"/>
                <w:color w:val="auto"/>
                <w:sz w:val="21"/>
                <w:szCs w:val="21"/>
                <w:u w:val="none" w:color="auto"/>
                <w:vertAlign w:val="baseline"/>
                <w:lang w:val="en-US" w:eastAsia="zh-CN"/>
              </w:rPr>
              <w:t>（</w:t>
            </w:r>
            <w:r>
              <w:rPr>
                <w:rFonts w:hint="default" w:ascii="Times New Roman" w:hAnsi="Times New Roman" w:cs="Times New Roman"/>
                <w:b w:val="0"/>
                <w:bCs w:val="0"/>
                <w:color w:val="auto"/>
                <w:sz w:val="21"/>
                <w:szCs w:val="21"/>
              </w:rPr>
              <w:t>mg/L</w:t>
            </w:r>
            <w:r>
              <w:rPr>
                <w:rFonts w:hint="eastAsia" w:cs="Times New Roman"/>
                <w:b w:val="0"/>
                <w:bCs w:val="0"/>
                <w:color w:val="auto"/>
                <w:sz w:val="21"/>
                <w:szCs w:val="21"/>
                <w:u w:val="none" w:color="auto"/>
                <w:vertAlign w:val="baseline"/>
                <w:lang w:val="en-US" w:eastAsia="zh-CN"/>
              </w:rPr>
              <w:t>）</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COD（</w:t>
            </w:r>
            <w:r>
              <w:rPr>
                <w:rFonts w:hint="default" w:ascii="Times New Roman" w:hAnsi="Times New Roman" w:cs="Times New Roman"/>
                <w:b w:val="0"/>
                <w:bCs w:val="0"/>
                <w:color w:val="auto"/>
                <w:sz w:val="21"/>
                <w:szCs w:val="21"/>
              </w:rPr>
              <w:t>mg/L</w:t>
            </w:r>
            <w:r>
              <w:rPr>
                <w:rFonts w:hint="eastAsia" w:cs="Times New Roman"/>
                <w:b w:val="0"/>
                <w:bCs w:val="0"/>
                <w:color w:val="auto"/>
                <w:sz w:val="21"/>
                <w:szCs w:val="21"/>
                <w:u w:val="none" w:color="auto"/>
                <w:vertAlign w:val="baseline"/>
                <w:lang w:val="en-US" w:eastAsia="zh-CN"/>
              </w:rPr>
              <w:t>）</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SS（</w:t>
            </w:r>
            <w:r>
              <w:rPr>
                <w:rFonts w:hint="default" w:ascii="Times New Roman" w:hAnsi="Times New Roman" w:cs="Times New Roman"/>
                <w:b w:val="0"/>
                <w:bCs w:val="0"/>
                <w:color w:val="auto"/>
                <w:sz w:val="21"/>
                <w:szCs w:val="21"/>
              </w:rPr>
              <w:t>mg/L</w:t>
            </w:r>
            <w:r>
              <w:rPr>
                <w:rFonts w:hint="eastAsia" w:cs="Times New Roman"/>
                <w:b w:val="0"/>
                <w:bCs w:val="0"/>
                <w:color w:val="auto"/>
                <w:sz w:val="21"/>
                <w:szCs w:val="21"/>
                <w:u w:val="none" w:color="auto"/>
                <w:vertAlign w:val="baseline"/>
                <w:lang w:val="en-US" w:eastAsia="zh-CN"/>
              </w:rPr>
              <w:t>）</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NH</w:t>
            </w:r>
            <w:r>
              <w:rPr>
                <w:rFonts w:hint="eastAsia" w:cs="Times New Roman"/>
                <w:b w:val="0"/>
                <w:bCs w:val="0"/>
                <w:color w:val="auto"/>
                <w:sz w:val="21"/>
                <w:szCs w:val="21"/>
                <w:u w:val="none" w:color="auto"/>
                <w:vertAlign w:val="subscript"/>
                <w:lang w:val="en-US" w:eastAsia="zh-CN"/>
              </w:rPr>
              <w:t>3</w:t>
            </w:r>
            <w:r>
              <w:rPr>
                <w:rFonts w:hint="eastAsia" w:cs="Times New Roman"/>
                <w:b w:val="0"/>
                <w:bCs w:val="0"/>
                <w:color w:val="auto"/>
                <w:sz w:val="21"/>
                <w:szCs w:val="21"/>
                <w:u w:val="none" w:color="auto"/>
                <w:vertAlign w:val="baseline"/>
                <w:lang w:val="en-US" w:eastAsia="zh-CN"/>
              </w:rPr>
              <w:t>-N（</w:t>
            </w:r>
            <w:r>
              <w:rPr>
                <w:rFonts w:hint="default" w:ascii="Times New Roman" w:hAnsi="Times New Roman" w:cs="Times New Roman"/>
                <w:b w:val="0"/>
                <w:bCs w:val="0"/>
                <w:color w:val="auto"/>
                <w:sz w:val="21"/>
                <w:szCs w:val="21"/>
              </w:rPr>
              <w:t>mg/L</w:t>
            </w:r>
            <w:r>
              <w:rPr>
                <w:rFonts w:hint="eastAsia" w:cs="Times New Roman"/>
                <w:b w:val="0"/>
                <w:bCs w:val="0"/>
                <w:color w:val="auto"/>
                <w:sz w:val="21"/>
                <w:szCs w:val="21"/>
                <w:u w:val="none" w:color="auto"/>
                <w:vertAlign w:val="baseline"/>
                <w:lang w:val="en-US" w:eastAsia="zh-CN"/>
              </w:rPr>
              <w:t>）</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TP（</w:t>
            </w:r>
            <w:r>
              <w:rPr>
                <w:rFonts w:hint="default" w:ascii="Times New Roman" w:hAnsi="Times New Roman" w:cs="Times New Roman"/>
                <w:b w:val="0"/>
                <w:bCs w:val="0"/>
                <w:color w:val="auto"/>
                <w:sz w:val="21"/>
                <w:szCs w:val="21"/>
              </w:rPr>
              <w:t>mg/L</w:t>
            </w:r>
            <w:r>
              <w:rPr>
                <w:rFonts w:hint="eastAsia" w:cs="Times New Roman"/>
                <w:b w:val="0"/>
                <w:bCs w:val="0"/>
                <w:color w:val="auto"/>
                <w:sz w:val="21"/>
                <w:szCs w:val="21"/>
                <w:u w:val="none" w:color="auto"/>
                <w:vertAlign w:val="baseline"/>
                <w:lang w:val="en-US" w:eastAsia="zh-CN"/>
              </w:rPr>
              <w:t>）</w:t>
            </w:r>
          </w:p>
        </w:tc>
        <w:tc>
          <w:tcPr>
            <w:tcW w:w="625"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粪大肠菌群数（个/100mL）</w:t>
            </w:r>
          </w:p>
        </w:tc>
        <w:tc>
          <w:tcPr>
            <w:tcW w:w="625"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蛔虫卵（个/L）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标准值</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150</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400</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200</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80</w:t>
            </w:r>
          </w:p>
        </w:tc>
        <w:tc>
          <w:tcPr>
            <w:tcW w:w="624"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8.0</w:t>
            </w:r>
          </w:p>
        </w:tc>
        <w:tc>
          <w:tcPr>
            <w:tcW w:w="625"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1000</w:t>
            </w:r>
          </w:p>
        </w:tc>
        <w:tc>
          <w:tcPr>
            <w:tcW w:w="625"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w:t>
            </w:r>
          </w:p>
        </w:tc>
      </w:tr>
    </w:tbl>
    <w:p>
      <w:pPr>
        <w:spacing w:before="120" w:beforeLines="50"/>
        <w:ind w:firstLine="480"/>
        <w:rPr>
          <w:color w:val="auto"/>
        </w:rPr>
      </w:pPr>
      <w:r>
        <w:rPr>
          <w:color w:val="auto"/>
        </w:rPr>
        <w:t>3、噪声排放标准</w:t>
      </w:r>
    </w:p>
    <w:p>
      <w:pPr>
        <w:ind w:firstLine="480"/>
        <w:rPr>
          <w:color w:val="auto"/>
        </w:rPr>
      </w:pPr>
      <w:r>
        <w:rPr>
          <w:color w:val="auto"/>
        </w:rPr>
        <w:t>施工期执行《建筑施工场界环境噪声排放标准》（GB12523-2011）相关标准，营运期厂界噪声执行《工业企业厂界环境噪声排放标准》（GB12348-2008）中2类标准。</w:t>
      </w:r>
    </w:p>
    <w:p>
      <w:pPr>
        <w:pStyle w:val="166"/>
        <w:spacing w:before="120" w:beforeLines="0" w:line="240" w:lineRule="auto"/>
        <w:rPr>
          <w:color w:val="auto"/>
        </w:rPr>
      </w:pPr>
      <w:r>
        <w:rPr>
          <w:color w:val="auto"/>
        </w:rPr>
        <w:t>表2.4-</w:t>
      </w:r>
      <w:r>
        <w:rPr>
          <w:rFonts w:hint="eastAsia"/>
          <w:color w:val="auto"/>
          <w:lang w:val="en-US" w:eastAsia="zh-CN"/>
        </w:rPr>
        <w:t xml:space="preserve">13 </w:t>
      </w:r>
      <w:r>
        <w:rPr>
          <w:color w:val="auto"/>
        </w:rPr>
        <w:t>建筑施工场界环境噪声排放限值    单位：dB(A)</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01"/>
        <w:gridCol w:w="45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4501" w:type="dxa"/>
            <w:noWrap w:val="0"/>
            <w:vAlign w:val="center"/>
          </w:tcPr>
          <w:p>
            <w:pPr>
              <w:pStyle w:val="274"/>
              <w:spacing w:line="240" w:lineRule="auto"/>
              <w:rPr>
                <w:b/>
                <w:bCs/>
                <w:color w:val="auto"/>
              </w:rPr>
            </w:pPr>
            <w:r>
              <w:rPr>
                <w:b/>
                <w:bCs/>
                <w:color w:val="auto"/>
              </w:rPr>
              <w:t>昼间</w:t>
            </w:r>
          </w:p>
        </w:tc>
        <w:tc>
          <w:tcPr>
            <w:tcW w:w="4502" w:type="dxa"/>
            <w:noWrap w:val="0"/>
            <w:vAlign w:val="center"/>
          </w:tcPr>
          <w:p>
            <w:pPr>
              <w:pStyle w:val="274"/>
              <w:spacing w:line="240" w:lineRule="auto"/>
              <w:rPr>
                <w:b/>
                <w:bCs/>
                <w:color w:val="auto"/>
              </w:rPr>
            </w:pPr>
            <w:r>
              <w:rPr>
                <w:b/>
                <w:bCs/>
                <w:color w:val="auto"/>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4501" w:type="dxa"/>
            <w:noWrap w:val="0"/>
            <w:vAlign w:val="center"/>
          </w:tcPr>
          <w:p>
            <w:pPr>
              <w:pStyle w:val="274"/>
              <w:spacing w:line="240" w:lineRule="auto"/>
              <w:rPr>
                <w:color w:val="auto"/>
              </w:rPr>
            </w:pPr>
            <w:r>
              <w:rPr>
                <w:color w:val="auto"/>
              </w:rPr>
              <w:t>70</w:t>
            </w:r>
          </w:p>
        </w:tc>
        <w:tc>
          <w:tcPr>
            <w:tcW w:w="4502" w:type="dxa"/>
            <w:noWrap w:val="0"/>
            <w:vAlign w:val="center"/>
          </w:tcPr>
          <w:p>
            <w:pPr>
              <w:pStyle w:val="274"/>
              <w:spacing w:line="240" w:lineRule="auto"/>
              <w:rPr>
                <w:color w:val="auto"/>
              </w:rPr>
            </w:pPr>
            <w:r>
              <w:rPr>
                <w:color w:val="auto"/>
              </w:rPr>
              <w:t>55</w:t>
            </w:r>
          </w:p>
        </w:tc>
      </w:tr>
    </w:tbl>
    <w:p>
      <w:pPr>
        <w:pStyle w:val="166"/>
        <w:spacing w:before="120" w:beforeLines="0" w:line="240" w:lineRule="auto"/>
        <w:rPr>
          <w:color w:val="auto"/>
        </w:rPr>
      </w:pPr>
      <w:r>
        <w:rPr>
          <w:color w:val="auto"/>
        </w:rPr>
        <w:t>表2.4-1</w:t>
      </w:r>
      <w:r>
        <w:rPr>
          <w:rFonts w:hint="eastAsia"/>
          <w:color w:val="auto"/>
          <w:lang w:val="en-US" w:eastAsia="zh-CN"/>
        </w:rPr>
        <w:t xml:space="preserve">4 </w:t>
      </w:r>
      <w:r>
        <w:rPr>
          <w:color w:val="auto"/>
        </w:rPr>
        <w:t>工业企业厂界环境噪声排放标准   单位：dB(A)</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99"/>
        <w:gridCol w:w="3002"/>
        <w:gridCol w:w="30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999" w:type="dxa"/>
            <w:noWrap w:val="0"/>
            <w:vAlign w:val="center"/>
          </w:tcPr>
          <w:p>
            <w:pPr>
              <w:pStyle w:val="274"/>
              <w:spacing w:line="240" w:lineRule="auto"/>
              <w:rPr>
                <w:b/>
                <w:bCs/>
                <w:color w:val="auto"/>
              </w:rPr>
            </w:pPr>
            <w:r>
              <w:rPr>
                <w:b/>
                <w:bCs/>
                <w:color w:val="auto"/>
              </w:rPr>
              <w:t>类别</w:t>
            </w:r>
          </w:p>
        </w:tc>
        <w:tc>
          <w:tcPr>
            <w:tcW w:w="3002" w:type="dxa"/>
            <w:noWrap w:val="0"/>
            <w:vAlign w:val="center"/>
          </w:tcPr>
          <w:p>
            <w:pPr>
              <w:pStyle w:val="274"/>
              <w:spacing w:line="240" w:lineRule="auto"/>
              <w:rPr>
                <w:b/>
                <w:bCs/>
                <w:color w:val="auto"/>
              </w:rPr>
            </w:pPr>
            <w:r>
              <w:rPr>
                <w:b/>
                <w:bCs/>
                <w:color w:val="auto"/>
              </w:rPr>
              <w:t>昼间</w:t>
            </w:r>
          </w:p>
        </w:tc>
        <w:tc>
          <w:tcPr>
            <w:tcW w:w="3002" w:type="dxa"/>
            <w:noWrap w:val="0"/>
            <w:vAlign w:val="center"/>
          </w:tcPr>
          <w:p>
            <w:pPr>
              <w:pStyle w:val="274"/>
              <w:spacing w:line="240" w:lineRule="auto"/>
              <w:rPr>
                <w:b/>
                <w:bCs/>
                <w:color w:val="auto"/>
              </w:rPr>
            </w:pPr>
            <w:r>
              <w:rPr>
                <w:b/>
                <w:bCs/>
                <w:color w:val="auto"/>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999" w:type="dxa"/>
            <w:noWrap w:val="0"/>
            <w:vAlign w:val="center"/>
          </w:tcPr>
          <w:p>
            <w:pPr>
              <w:pStyle w:val="274"/>
              <w:spacing w:line="240" w:lineRule="auto"/>
              <w:rPr>
                <w:color w:val="auto"/>
              </w:rPr>
            </w:pPr>
            <w:r>
              <w:rPr>
                <w:color w:val="auto"/>
              </w:rPr>
              <w:t>2类</w:t>
            </w:r>
          </w:p>
        </w:tc>
        <w:tc>
          <w:tcPr>
            <w:tcW w:w="3002" w:type="dxa"/>
            <w:noWrap w:val="0"/>
            <w:vAlign w:val="center"/>
          </w:tcPr>
          <w:p>
            <w:pPr>
              <w:pStyle w:val="274"/>
              <w:spacing w:line="240" w:lineRule="auto"/>
              <w:rPr>
                <w:color w:val="auto"/>
              </w:rPr>
            </w:pPr>
            <w:r>
              <w:rPr>
                <w:color w:val="auto"/>
              </w:rPr>
              <w:t>60</w:t>
            </w:r>
          </w:p>
        </w:tc>
        <w:tc>
          <w:tcPr>
            <w:tcW w:w="3002" w:type="dxa"/>
            <w:noWrap w:val="0"/>
            <w:vAlign w:val="center"/>
          </w:tcPr>
          <w:p>
            <w:pPr>
              <w:pStyle w:val="274"/>
              <w:spacing w:line="240" w:lineRule="auto"/>
              <w:rPr>
                <w:color w:val="auto"/>
              </w:rPr>
            </w:pPr>
            <w:r>
              <w:rPr>
                <w:color w:val="auto"/>
              </w:rPr>
              <w:t>50</w:t>
            </w:r>
          </w:p>
        </w:tc>
      </w:tr>
    </w:tbl>
    <w:p>
      <w:pPr>
        <w:spacing w:before="120" w:beforeLines="50"/>
        <w:ind w:firstLine="480"/>
        <w:rPr>
          <w:color w:val="auto"/>
        </w:rPr>
      </w:pPr>
      <w:r>
        <w:rPr>
          <w:color w:val="auto"/>
        </w:rPr>
        <w:t>4、固体废弃物</w:t>
      </w:r>
    </w:p>
    <w:p>
      <w:pPr>
        <w:ind w:firstLine="480"/>
        <w:rPr>
          <w:color w:val="auto"/>
        </w:rPr>
      </w:pPr>
      <w:r>
        <w:rPr>
          <w:color w:val="auto"/>
        </w:rPr>
        <w:t>一般工业固体废物执行《一般工业固体废物贮存、处置场污染控制标准》（GB18599-2001）及其2013年修改单中相关要求；危险废物执行《危险废物贮存污染控制标准》（GB18597-2001）及其2013年修改单中相关要求。</w:t>
      </w:r>
    </w:p>
    <w:p>
      <w:pPr>
        <w:ind w:firstLine="480"/>
        <w:rPr>
          <w:color w:val="auto"/>
        </w:rPr>
      </w:pPr>
      <w:r>
        <w:rPr>
          <w:rFonts w:hint="eastAsia"/>
          <w:color w:val="auto"/>
        </w:rPr>
        <w:t>畜禽粪便的收集、贮存应符合《畜禽粪便无害化处理技术规范》（NY/T1168</w:t>
      </w:r>
      <w:r>
        <w:rPr>
          <w:color w:val="auto"/>
        </w:rPr>
        <w:t>-</w:t>
      </w:r>
      <w:r>
        <w:rPr>
          <w:rFonts w:hint="eastAsia"/>
          <w:color w:val="auto"/>
        </w:rPr>
        <w:t>2006）的有关要求。</w:t>
      </w:r>
    </w:p>
    <w:p>
      <w:pPr>
        <w:ind w:firstLine="480"/>
        <w:rPr>
          <w:rFonts w:hint="eastAsia"/>
          <w:color w:val="auto"/>
        </w:rPr>
      </w:pPr>
      <w:r>
        <w:rPr>
          <w:rFonts w:hint="eastAsia"/>
          <w:color w:val="auto"/>
        </w:rPr>
        <w:t>病死猪处理执行《畜禽养殖业污染防治技术规范》（HJ/T81</w:t>
      </w:r>
      <w:r>
        <w:rPr>
          <w:color w:val="auto"/>
        </w:rPr>
        <w:t>-</w:t>
      </w:r>
      <w:r>
        <w:rPr>
          <w:rFonts w:hint="eastAsia"/>
          <w:color w:val="auto"/>
        </w:rPr>
        <w:t>2001）和《病死及病害动物无害化处理技术规范》中相关要求。</w:t>
      </w:r>
    </w:p>
    <w:p>
      <w:pPr>
        <w:pStyle w:val="7"/>
        <w:bidi w:val="0"/>
        <w:rPr>
          <w:color w:val="auto"/>
        </w:rPr>
      </w:pPr>
      <w:r>
        <w:rPr>
          <w:rFonts w:hint="eastAsia"/>
          <w:color w:val="auto"/>
          <w:lang w:val="en-US" w:eastAsia="zh-CN"/>
        </w:rPr>
        <w:t xml:space="preserve"> </w:t>
      </w:r>
      <w:bookmarkStart w:id="18" w:name="_Toc10034"/>
      <w:r>
        <w:rPr>
          <w:color w:val="auto"/>
        </w:rPr>
        <w:t>生态环境</w:t>
      </w:r>
      <w:bookmarkEnd w:id="18"/>
    </w:p>
    <w:p>
      <w:pPr>
        <w:ind w:firstLine="480"/>
        <w:rPr>
          <w:color w:val="auto"/>
        </w:rPr>
      </w:pPr>
      <w:r>
        <w:rPr>
          <w:color w:val="auto"/>
        </w:rPr>
        <w:t>以不减少区域内珍稀濒危动植物种类和不破坏生态系统完整性为目标；水土流失以不增加土壤侵蚀强度为标准。</w:t>
      </w:r>
    </w:p>
    <w:p>
      <w:pPr>
        <w:pStyle w:val="7"/>
        <w:rPr>
          <w:rFonts w:eastAsia="黑体"/>
          <w:color w:val="auto"/>
          <w:sz w:val="32"/>
        </w:rPr>
      </w:pPr>
      <w:bookmarkStart w:id="19" w:name="_Toc18545"/>
      <w:bookmarkStart w:id="20" w:name="_Toc498610067"/>
      <w:r>
        <w:rPr>
          <w:rFonts w:eastAsia="黑体"/>
          <w:color w:val="auto"/>
          <w:sz w:val="32"/>
        </w:rPr>
        <w:t>评价工作等级及评价范围</w:t>
      </w:r>
      <w:bookmarkEnd w:id="19"/>
      <w:bookmarkEnd w:id="20"/>
    </w:p>
    <w:p>
      <w:pPr>
        <w:pStyle w:val="8"/>
        <w:tabs>
          <w:tab w:val="clear" w:pos="0"/>
        </w:tabs>
        <w:rPr>
          <w:rFonts w:eastAsia="黑体"/>
          <w:color w:val="auto"/>
          <w:sz w:val="28"/>
          <w:szCs w:val="28"/>
        </w:rPr>
      </w:pPr>
      <w:r>
        <w:rPr>
          <w:rFonts w:eastAsia="黑体"/>
          <w:color w:val="auto"/>
          <w:sz w:val="28"/>
          <w:szCs w:val="28"/>
        </w:rPr>
        <w:t>大气环境</w:t>
      </w:r>
    </w:p>
    <w:p>
      <w:pPr>
        <w:pStyle w:val="9"/>
        <w:spacing w:before="120" w:beforeLines="50"/>
        <w:rPr>
          <w:color w:val="auto"/>
        </w:rPr>
      </w:pPr>
      <w:r>
        <w:rPr>
          <w:color w:val="auto"/>
        </w:rPr>
        <w:t>评价等级</w:t>
      </w:r>
    </w:p>
    <w:p>
      <w:pPr>
        <w:pStyle w:val="3"/>
        <w:ind w:firstLine="480"/>
        <w:rPr>
          <w:rFonts w:ascii="Times New Roman"/>
          <w:bCs/>
          <w:color w:val="auto"/>
        </w:rPr>
      </w:pPr>
      <w:r>
        <w:rPr>
          <w:rFonts w:hint="eastAsia" w:ascii="Times New Roman"/>
          <w:color w:val="auto"/>
        </w:rPr>
        <w:t>本项目</w:t>
      </w:r>
      <w:r>
        <w:rPr>
          <w:rFonts w:hint="eastAsia" w:ascii="Times New Roman"/>
          <w:color w:val="auto"/>
          <w:lang w:val="zh-CN"/>
        </w:rPr>
        <w:t xml:space="preserve">位于游仙区盐泉镇通远村（原葫芦村4社），其环境空气质量均为二类功能区。根据《环境影响评价技术导则 </w:t>
      </w:r>
      <w:r>
        <w:rPr>
          <w:rFonts w:ascii="Times New Roman"/>
          <w:bCs/>
          <w:color w:val="auto"/>
        </w:rPr>
        <w:t>大气环境</w:t>
      </w:r>
      <w:r>
        <w:rPr>
          <w:rFonts w:hint="eastAsia" w:ascii="Times New Roman"/>
          <w:color w:val="auto"/>
          <w:lang w:val="zh-CN"/>
        </w:rPr>
        <w:t>》（HJ</w:t>
      </w:r>
      <w:r>
        <w:rPr>
          <w:rFonts w:ascii="Times New Roman"/>
          <w:color w:val="auto"/>
          <w:lang w:val="zh-CN"/>
        </w:rPr>
        <w:t xml:space="preserve"> </w:t>
      </w:r>
      <w:r>
        <w:rPr>
          <w:rFonts w:hint="eastAsia" w:ascii="Times New Roman"/>
          <w:color w:val="auto"/>
          <w:lang w:val="zh-CN"/>
        </w:rPr>
        <w:t>2.2-</w:t>
      </w:r>
      <w:r>
        <w:rPr>
          <w:rFonts w:ascii="Times New Roman"/>
          <w:color w:val="auto"/>
        </w:rPr>
        <w:t>2018</w:t>
      </w:r>
      <w:r>
        <w:rPr>
          <w:rFonts w:ascii="Times New Roman"/>
          <w:color w:val="auto"/>
          <w:lang w:val="zh-CN"/>
        </w:rPr>
        <w:t>）规定的评价工作级别的划分原则和方法，</w:t>
      </w:r>
      <w:r>
        <w:rPr>
          <w:rFonts w:ascii="Times New Roman"/>
          <w:bCs/>
          <w:color w:val="auto"/>
        </w:rPr>
        <w:t>选择推荐模式中的估算模式对项目的大气环境评价工作进行分级，并且计算最大地面浓度占标率P</w:t>
      </w:r>
      <w:r>
        <w:rPr>
          <w:rFonts w:ascii="Times New Roman"/>
          <w:bCs/>
          <w:color w:val="auto"/>
          <w:vertAlign w:val="subscript"/>
        </w:rPr>
        <w:t>i</w:t>
      </w:r>
      <w:r>
        <w:rPr>
          <w:rFonts w:ascii="Times New Roman"/>
          <w:bCs/>
          <w:color w:val="auto"/>
        </w:rPr>
        <w:t>及污染物的地面浓度达标准限值10%时所对应的最远距离D</w:t>
      </w:r>
      <w:r>
        <w:rPr>
          <w:rFonts w:ascii="Times New Roman"/>
          <w:bCs/>
          <w:color w:val="auto"/>
          <w:vertAlign w:val="subscript"/>
        </w:rPr>
        <w:t>10%</w:t>
      </w:r>
      <w:r>
        <w:rPr>
          <w:rFonts w:ascii="Times New Roman"/>
          <w:bCs/>
          <w:color w:val="auto"/>
        </w:rPr>
        <w:t>，其中P</w:t>
      </w:r>
      <w:r>
        <w:rPr>
          <w:rFonts w:ascii="Times New Roman"/>
          <w:bCs/>
          <w:color w:val="auto"/>
          <w:vertAlign w:val="subscript"/>
        </w:rPr>
        <w:t>i</w:t>
      </w:r>
      <w:r>
        <w:rPr>
          <w:rFonts w:ascii="Times New Roman"/>
          <w:bCs/>
          <w:color w:val="auto"/>
        </w:rPr>
        <w:t>定义为：</w:t>
      </w:r>
    </w:p>
    <w:p>
      <w:pPr>
        <w:pStyle w:val="3"/>
        <w:spacing w:afterLines="50"/>
        <w:ind w:firstLine="480"/>
        <w:jc w:val="center"/>
        <w:rPr>
          <w:rFonts w:ascii="Times New Roman"/>
          <w:color w:val="auto"/>
          <w:vertAlign w:val="subscript"/>
        </w:rPr>
      </w:pPr>
      <w:r>
        <w:rPr>
          <w:rFonts w:ascii="Times New Roman"/>
          <w:i/>
          <w:color w:val="auto"/>
        </w:rPr>
        <w:t>P</w:t>
      </w:r>
      <w:r>
        <w:rPr>
          <w:rFonts w:ascii="Times New Roman"/>
          <w:i/>
          <w:color w:val="auto"/>
          <w:vertAlign w:val="subscript"/>
        </w:rPr>
        <w:t>i</w:t>
      </w:r>
      <w:r>
        <w:rPr>
          <w:rFonts w:ascii="Times New Roman"/>
          <w:color w:val="auto"/>
        </w:rPr>
        <w:t>=</w:t>
      </w:r>
      <w:r>
        <w:rPr>
          <w:rFonts w:ascii="Times New Roman"/>
          <w:color w:val="auto"/>
          <w:position w:val="-32"/>
          <w:vertAlign w:val="subscript"/>
        </w:rPr>
        <w:object>
          <v:shape id="_x0000_i1026" o:spt="75" type="#_x0000_t75" style="height:36pt;width:57.75pt;" o:ole="t" filled="f" o:preferrelative="t" stroked="f" coordsize="21600,21600">
            <v:path/>
            <v:fill on="f" focussize="0,0"/>
            <v:stroke on="f"/>
            <v:imagedata r:id="rId28" o:title=""/>
            <o:lock v:ext="edit" grouping="f" rotation="f" text="f" aspectratio="t"/>
            <w10:wrap type="none"/>
            <w10:anchorlock/>
          </v:shape>
          <o:OLEObject Type="Embed" ProgID="Equation.3" ShapeID="_x0000_i1026" DrawAspect="Content" ObjectID="_1468075725" r:id="rId27">
            <o:LockedField>false</o:LockedField>
          </o:OLEObject>
        </w:object>
      </w:r>
    </w:p>
    <w:p>
      <w:pPr>
        <w:pStyle w:val="3"/>
        <w:ind w:firstLine="480"/>
        <w:rPr>
          <w:rFonts w:ascii="Times New Roman"/>
          <w:color w:val="auto"/>
        </w:rPr>
      </w:pPr>
      <w:r>
        <w:rPr>
          <w:rFonts w:ascii="Times New Roman"/>
          <w:color w:val="auto"/>
        </w:rPr>
        <w:t>式中，</w:t>
      </w:r>
      <w:r>
        <w:rPr>
          <w:rFonts w:ascii="Times New Roman"/>
          <w:i/>
          <w:color w:val="auto"/>
        </w:rPr>
        <w:t>P</w:t>
      </w:r>
      <w:r>
        <w:rPr>
          <w:rFonts w:ascii="Times New Roman"/>
          <w:i/>
          <w:color w:val="auto"/>
          <w:vertAlign w:val="subscript"/>
        </w:rPr>
        <w:t>i</w:t>
      </w:r>
      <w:r>
        <w:rPr>
          <w:rFonts w:ascii="Times New Roman"/>
          <w:color w:val="auto"/>
        </w:rPr>
        <w:t>—第i个污染物的最大地面浓度占标率，%；</w:t>
      </w:r>
    </w:p>
    <w:p>
      <w:pPr>
        <w:pStyle w:val="3"/>
        <w:spacing w:after="0"/>
        <w:ind w:firstLine="1200" w:firstLineChars="500"/>
        <w:rPr>
          <w:rFonts w:ascii="Times New Roman" w:hAnsi="Times New Roman"/>
          <w:color w:val="auto"/>
        </w:rPr>
      </w:pPr>
      <w:r>
        <w:rPr>
          <w:rFonts w:ascii="Times New Roman" w:hAnsi="Times New Roman"/>
          <w:i/>
          <w:color w:val="auto"/>
        </w:rPr>
        <w:t>C</w:t>
      </w:r>
      <w:r>
        <w:rPr>
          <w:rFonts w:ascii="Times New Roman" w:hAnsi="Times New Roman"/>
          <w:i/>
          <w:color w:val="auto"/>
          <w:vertAlign w:val="subscript"/>
        </w:rPr>
        <w:t>i</w:t>
      </w:r>
      <w:r>
        <w:rPr>
          <w:rFonts w:ascii="Times New Roman" w:hAnsi="Times New Roman"/>
          <w:color w:val="auto"/>
        </w:rPr>
        <w:t>—采用估算模型计算出的第i个污染物的最大1h地面空气质量浓度，μg/m</w:t>
      </w:r>
      <w:r>
        <w:rPr>
          <w:rFonts w:ascii="Times New Roman" w:hAnsi="Times New Roman"/>
          <w:color w:val="auto"/>
          <w:vertAlign w:val="superscript"/>
        </w:rPr>
        <w:t>3</w:t>
      </w:r>
      <w:r>
        <w:rPr>
          <w:rFonts w:ascii="Times New Roman" w:hAnsi="Times New Roman"/>
          <w:color w:val="auto"/>
        </w:rPr>
        <w:t>；</w:t>
      </w:r>
    </w:p>
    <w:p>
      <w:pPr>
        <w:pStyle w:val="3"/>
        <w:spacing w:after="0"/>
        <w:ind w:firstLine="1200" w:firstLineChars="500"/>
        <w:rPr>
          <w:rFonts w:ascii="Times New Roman" w:hAnsi="Times New Roman"/>
          <w:bCs/>
          <w:color w:val="auto"/>
        </w:rPr>
      </w:pPr>
      <w:r>
        <w:rPr>
          <w:rFonts w:ascii="Times New Roman" w:hAnsi="Times New Roman"/>
          <w:i/>
          <w:color w:val="auto"/>
        </w:rPr>
        <w:t>C</w:t>
      </w:r>
      <w:r>
        <w:rPr>
          <w:rFonts w:ascii="Times New Roman" w:hAnsi="Times New Roman"/>
          <w:i/>
          <w:color w:val="auto"/>
          <w:vertAlign w:val="subscript"/>
        </w:rPr>
        <w:t>0i</w:t>
      </w:r>
      <w:r>
        <w:rPr>
          <w:rFonts w:ascii="Times New Roman" w:hAnsi="Times New Roman"/>
          <w:color w:val="auto"/>
        </w:rPr>
        <w:t>—第i类污染物环境空气质量标准，μg/m</w:t>
      </w:r>
      <w:r>
        <w:rPr>
          <w:rFonts w:ascii="Times New Roman" w:hAnsi="Times New Roman"/>
          <w:color w:val="auto"/>
          <w:vertAlign w:val="superscript"/>
        </w:rPr>
        <w:t>3</w:t>
      </w:r>
      <w:r>
        <w:rPr>
          <w:rFonts w:ascii="Times New Roman" w:hAnsi="Times New Roman"/>
          <w:color w:val="auto"/>
        </w:rPr>
        <w:t>。</w:t>
      </w:r>
      <w:r>
        <w:rPr>
          <w:rFonts w:hint="eastAsia" w:ascii="Times New Roman" w:hAnsi="Times New Roman"/>
          <w:color w:val="auto"/>
        </w:rPr>
        <w:t>一般选取GB3095中1小时平均质量浓度的二级浓度限值，如项目位于一类环境空气功能区，应选择相应的一级浓度限值；对该标准中未包含的污染物，使用《环境影响评价技术导则 大气环境》（HJ2.2-2018）5.2确定的各评价因子1h平均质量浓度限值。对仅有8h平均质量浓度限值、日平均质量浓度限值或年平均质量浓度限值的，可分别按2倍、3倍、6倍折算为1h平均质量浓度限值。</w:t>
      </w:r>
    </w:p>
    <w:p>
      <w:pPr>
        <w:pStyle w:val="3"/>
        <w:spacing w:after="0"/>
        <w:ind w:firstLine="480"/>
        <w:rPr>
          <w:rFonts w:ascii="Times New Roman"/>
          <w:bCs/>
          <w:color w:val="auto"/>
        </w:rPr>
      </w:pPr>
      <w:r>
        <w:rPr>
          <w:rFonts w:ascii="Times New Roman"/>
          <w:bCs/>
          <w:color w:val="auto"/>
        </w:rPr>
        <w:t>评价工作等级按《环境影响评价技术导则</w:t>
      </w:r>
      <w:r>
        <w:rPr>
          <w:rFonts w:hint="eastAsia" w:ascii="Times New Roman"/>
          <w:bCs/>
          <w:color w:val="auto"/>
        </w:rPr>
        <w:t xml:space="preserve"> </w:t>
      </w:r>
      <w:r>
        <w:rPr>
          <w:rFonts w:ascii="Times New Roman"/>
          <w:bCs/>
          <w:color w:val="auto"/>
        </w:rPr>
        <w:t>大气环境》（HJ2.2-2018）规定的分级判据进行划分，如污染物数i大于1，取P中最大值（</w:t>
      </w:r>
      <w:r>
        <w:rPr>
          <w:rFonts w:ascii="Times New Roman"/>
          <w:bCs/>
          <w:i/>
          <w:iCs/>
          <w:color w:val="auto"/>
        </w:rPr>
        <w:t>P</w:t>
      </w:r>
      <w:r>
        <w:rPr>
          <w:rFonts w:ascii="Times New Roman"/>
          <w:bCs/>
          <w:color w:val="auto"/>
          <w:vertAlign w:val="subscript"/>
        </w:rPr>
        <w:t>max</w:t>
      </w:r>
      <w:r>
        <w:rPr>
          <w:rFonts w:ascii="Times New Roman"/>
          <w:bCs/>
          <w:color w:val="auto"/>
        </w:rPr>
        <w:t>）。</w:t>
      </w:r>
    </w:p>
    <w:p>
      <w:pPr>
        <w:ind w:firstLine="422"/>
        <w:jc w:val="center"/>
        <w:rPr>
          <w:b/>
          <w:color w:val="auto"/>
          <w:sz w:val="21"/>
          <w:szCs w:val="21"/>
        </w:rPr>
      </w:pPr>
      <w:r>
        <w:rPr>
          <w:b/>
          <w:color w:val="auto"/>
          <w:sz w:val="21"/>
          <w:szCs w:val="21"/>
        </w:rPr>
        <w:t>表</w:t>
      </w:r>
      <w:r>
        <w:rPr>
          <w:rFonts w:hint="eastAsia"/>
          <w:b/>
          <w:color w:val="auto"/>
          <w:sz w:val="21"/>
          <w:szCs w:val="21"/>
        </w:rPr>
        <w:t>2</w:t>
      </w:r>
      <w:r>
        <w:rPr>
          <w:b/>
          <w:color w:val="auto"/>
          <w:sz w:val="21"/>
          <w:szCs w:val="21"/>
        </w:rPr>
        <w:t>.</w:t>
      </w:r>
      <w:r>
        <w:rPr>
          <w:rFonts w:hint="eastAsia"/>
          <w:b/>
          <w:color w:val="auto"/>
          <w:sz w:val="21"/>
          <w:szCs w:val="21"/>
          <w:lang w:val="en-US" w:eastAsia="zh-CN"/>
        </w:rPr>
        <w:t>6</w:t>
      </w:r>
      <w:r>
        <w:rPr>
          <w:b/>
          <w:color w:val="auto"/>
          <w:sz w:val="21"/>
          <w:szCs w:val="21"/>
        </w:rPr>
        <w:t>-1  大气评价工作等级</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870"/>
        <w:gridCol w:w="480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wBefore w:w="0" w:type="dxa"/>
          <w:wAfter w:w="0" w:type="dxa"/>
          <w:trHeight w:val="284" w:hRule="atLeast"/>
          <w:jc w:val="center"/>
        </w:trPr>
        <w:tc>
          <w:tcPr>
            <w:tcW w:w="3870" w:type="dxa"/>
            <w:noWrap w:val="0"/>
            <w:vAlign w:val="center"/>
          </w:tcPr>
          <w:p>
            <w:pPr>
              <w:pStyle w:val="3"/>
              <w:spacing w:after="0" w:line="240" w:lineRule="auto"/>
              <w:ind w:firstLine="0" w:firstLineChars="0"/>
              <w:jc w:val="center"/>
              <w:rPr>
                <w:rFonts w:ascii="Times New Roman" w:hAnsi="宋体" w:cs="宋体"/>
                <w:b/>
                <w:bCs/>
                <w:color w:val="auto"/>
                <w:sz w:val="21"/>
                <w:szCs w:val="21"/>
              </w:rPr>
            </w:pPr>
            <w:r>
              <w:rPr>
                <w:rFonts w:ascii="Times New Roman" w:hAnsi="宋体" w:cs="宋体"/>
                <w:b/>
                <w:bCs/>
                <w:color w:val="auto"/>
                <w:sz w:val="21"/>
                <w:szCs w:val="21"/>
              </w:rPr>
              <w:t>评价工作等级</w:t>
            </w:r>
          </w:p>
        </w:tc>
        <w:tc>
          <w:tcPr>
            <w:tcW w:w="4803" w:type="dxa"/>
            <w:noWrap w:val="0"/>
            <w:vAlign w:val="center"/>
          </w:tcPr>
          <w:p>
            <w:pPr>
              <w:pStyle w:val="3"/>
              <w:spacing w:after="0" w:line="240" w:lineRule="auto"/>
              <w:ind w:firstLine="0" w:firstLineChars="0"/>
              <w:jc w:val="center"/>
              <w:rPr>
                <w:rFonts w:ascii="Times New Roman" w:hAnsi="宋体" w:cs="宋体"/>
                <w:b/>
                <w:bCs/>
                <w:color w:val="auto"/>
                <w:sz w:val="21"/>
                <w:szCs w:val="21"/>
              </w:rPr>
            </w:pPr>
            <w:r>
              <w:rPr>
                <w:rFonts w:ascii="Times New Roman" w:hAnsi="宋体" w:cs="宋体"/>
                <w:b/>
                <w:bCs/>
                <w:color w:val="auto"/>
                <w:sz w:val="21"/>
                <w:szCs w:val="21"/>
              </w:rPr>
              <w:t>评价工作分级判据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wBefore w:w="0" w:type="dxa"/>
          <w:wAfter w:w="0" w:type="dxa"/>
          <w:trHeight w:val="284" w:hRule="atLeast"/>
          <w:jc w:val="center"/>
        </w:trPr>
        <w:tc>
          <w:tcPr>
            <w:tcW w:w="3870" w:type="dxa"/>
            <w:noWrap w:val="0"/>
            <w:vAlign w:val="center"/>
          </w:tcPr>
          <w:p>
            <w:pPr>
              <w:pStyle w:val="3"/>
              <w:spacing w:after="0" w:line="240" w:lineRule="auto"/>
              <w:ind w:firstLine="0" w:firstLineChars="0"/>
              <w:jc w:val="center"/>
              <w:rPr>
                <w:rFonts w:ascii="Times New Roman" w:hAnsi="宋体" w:cs="宋体"/>
                <w:bCs/>
                <w:color w:val="auto"/>
                <w:sz w:val="21"/>
                <w:szCs w:val="21"/>
              </w:rPr>
            </w:pPr>
            <w:r>
              <w:rPr>
                <w:rFonts w:ascii="Times New Roman" w:hAnsi="宋体" w:cs="宋体"/>
                <w:bCs/>
                <w:color w:val="auto"/>
                <w:sz w:val="21"/>
                <w:szCs w:val="21"/>
              </w:rPr>
              <w:t>一级</w:t>
            </w:r>
          </w:p>
        </w:tc>
        <w:tc>
          <w:tcPr>
            <w:tcW w:w="4803" w:type="dxa"/>
            <w:noWrap w:val="0"/>
            <w:vAlign w:val="center"/>
          </w:tcPr>
          <w:p>
            <w:pPr>
              <w:pStyle w:val="3"/>
              <w:spacing w:after="0" w:line="240" w:lineRule="auto"/>
              <w:ind w:firstLine="0" w:firstLineChars="0"/>
              <w:jc w:val="center"/>
              <w:rPr>
                <w:rFonts w:ascii="Times New Roman" w:hAnsi="宋体" w:cs="宋体"/>
                <w:bCs/>
                <w:color w:val="auto"/>
                <w:sz w:val="21"/>
                <w:szCs w:val="21"/>
              </w:rPr>
            </w:pPr>
            <w:r>
              <w:rPr>
                <w:rFonts w:ascii="Times New Roman" w:hAnsi="宋体" w:cs="宋体"/>
                <w:bCs/>
                <w:i/>
                <w:color w:val="auto"/>
                <w:sz w:val="21"/>
                <w:szCs w:val="21"/>
              </w:rPr>
              <w:t>P</w:t>
            </w:r>
            <w:r>
              <w:rPr>
                <w:rFonts w:ascii="Times New Roman" w:hAnsi="宋体" w:cs="宋体"/>
                <w:bCs/>
                <w:color w:val="auto"/>
                <w:sz w:val="21"/>
                <w:szCs w:val="21"/>
                <w:vertAlign w:val="subscript"/>
              </w:rPr>
              <w:t>max</w:t>
            </w:r>
            <w:r>
              <w:rPr>
                <w:rFonts w:ascii="Times New Roman" w:hAnsi="宋体" w:cs="宋体"/>
                <w:bCs/>
                <w:color w:val="auto"/>
                <w:sz w:val="21"/>
                <w:szCs w:val="21"/>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wBefore w:w="0" w:type="dxa"/>
          <w:wAfter w:w="0" w:type="dxa"/>
          <w:trHeight w:val="284" w:hRule="atLeast"/>
          <w:jc w:val="center"/>
        </w:trPr>
        <w:tc>
          <w:tcPr>
            <w:tcW w:w="3870" w:type="dxa"/>
            <w:noWrap w:val="0"/>
            <w:vAlign w:val="center"/>
          </w:tcPr>
          <w:p>
            <w:pPr>
              <w:pStyle w:val="3"/>
              <w:spacing w:after="0" w:line="240" w:lineRule="auto"/>
              <w:ind w:firstLine="0" w:firstLineChars="0"/>
              <w:jc w:val="center"/>
              <w:rPr>
                <w:rFonts w:ascii="Times New Roman" w:hAnsi="宋体" w:cs="宋体"/>
                <w:bCs/>
                <w:color w:val="auto"/>
                <w:sz w:val="21"/>
                <w:szCs w:val="21"/>
              </w:rPr>
            </w:pPr>
            <w:r>
              <w:rPr>
                <w:rFonts w:ascii="Times New Roman" w:hAnsi="宋体" w:cs="宋体"/>
                <w:bCs/>
                <w:color w:val="auto"/>
                <w:sz w:val="21"/>
                <w:szCs w:val="21"/>
              </w:rPr>
              <w:t>二级</w:t>
            </w:r>
          </w:p>
        </w:tc>
        <w:tc>
          <w:tcPr>
            <w:tcW w:w="4803" w:type="dxa"/>
            <w:noWrap w:val="0"/>
            <w:vAlign w:val="center"/>
          </w:tcPr>
          <w:p>
            <w:pPr>
              <w:pStyle w:val="3"/>
              <w:spacing w:after="0" w:line="240" w:lineRule="auto"/>
              <w:ind w:firstLine="0" w:firstLineChars="0"/>
              <w:jc w:val="center"/>
              <w:rPr>
                <w:rFonts w:hint="eastAsia" w:ascii="Times New Roman" w:hAnsi="宋体" w:cs="宋体"/>
                <w:bCs/>
                <w:color w:val="auto"/>
                <w:sz w:val="21"/>
                <w:szCs w:val="21"/>
              </w:rPr>
            </w:pPr>
            <w:r>
              <w:rPr>
                <w:rFonts w:ascii="Times New Roman" w:hAnsi="宋体" w:cs="宋体"/>
                <w:bCs/>
                <w:color w:val="auto"/>
                <w:sz w:val="21"/>
                <w:szCs w:val="21"/>
              </w:rPr>
              <w:t>1%</w:t>
            </w:r>
            <w:r>
              <w:rPr>
                <w:rFonts w:hint="eastAsia" w:ascii="Times New Roman" w:hAnsi="宋体" w:cs="宋体"/>
                <w:bCs/>
                <w:color w:val="auto"/>
                <w:sz w:val="21"/>
                <w:szCs w:val="21"/>
              </w:rPr>
              <w:t>≤</w:t>
            </w:r>
            <w:r>
              <w:rPr>
                <w:rFonts w:ascii="Times New Roman" w:hAnsi="宋体" w:cs="宋体"/>
                <w:bCs/>
                <w:i/>
                <w:color w:val="auto"/>
                <w:sz w:val="21"/>
                <w:szCs w:val="21"/>
              </w:rPr>
              <w:t>P</w:t>
            </w:r>
            <w:r>
              <w:rPr>
                <w:rFonts w:ascii="Times New Roman" w:hAnsi="宋体" w:cs="宋体"/>
                <w:bCs/>
                <w:color w:val="auto"/>
                <w:sz w:val="21"/>
                <w:szCs w:val="21"/>
                <w:vertAlign w:val="subscript"/>
              </w:rPr>
              <w:t>max</w:t>
            </w:r>
            <w:r>
              <w:rPr>
                <w:rFonts w:ascii="Times New Roman" w:hAnsi="宋体" w:cs="宋体"/>
                <w:bCs/>
                <w:color w:val="auto"/>
                <w:sz w:val="21"/>
                <w:szCs w:val="21"/>
              </w:rPr>
              <w:t>＜10</w:t>
            </w:r>
            <w:r>
              <w:rPr>
                <w:rFonts w:hint="eastAsia" w:ascii="Times New Roman" w:hAnsi="宋体" w:cs="宋体"/>
                <w:bCs/>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wBefore w:w="0" w:type="dxa"/>
          <w:wAfter w:w="0" w:type="dxa"/>
          <w:trHeight w:val="284" w:hRule="atLeast"/>
          <w:jc w:val="center"/>
        </w:trPr>
        <w:tc>
          <w:tcPr>
            <w:tcW w:w="3870" w:type="dxa"/>
            <w:noWrap w:val="0"/>
            <w:vAlign w:val="center"/>
          </w:tcPr>
          <w:p>
            <w:pPr>
              <w:pStyle w:val="3"/>
              <w:spacing w:after="0" w:line="240" w:lineRule="auto"/>
              <w:ind w:firstLine="0" w:firstLineChars="0"/>
              <w:jc w:val="center"/>
              <w:rPr>
                <w:rFonts w:ascii="Times New Roman" w:hAnsi="宋体" w:cs="宋体"/>
                <w:bCs/>
                <w:color w:val="auto"/>
                <w:sz w:val="21"/>
                <w:szCs w:val="21"/>
              </w:rPr>
            </w:pPr>
            <w:r>
              <w:rPr>
                <w:rFonts w:ascii="Times New Roman" w:hAnsi="宋体" w:cs="宋体"/>
                <w:bCs/>
                <w:color w:val="auto"/>
                <w:sz w:val="21"/>
                <w:szCs w:val="21"/>
              </w:rPr>
              <w:t>三级</w:t>
            </w:r>
          </w:p>
        </w:tc>
        <w:tc>
          <w:tcPr>
            <w:tcW w:w="4803" w:type="dxa"/>
            <w:noWrap w:val="0"/>
            <w:vAlign w:val="center"/>
          </w:tcPr>
          <w:p>
            <w:pPr>
              <w:pStyle w:val="3"/>
              <w:spacing w:after="0" w:line="240" w:lineRule="auto"/>
              <w:ind w:firstLine="0" w:firstLineChars="0"/>
              <w:jc w:val="center"/>
              <w:rPr>
                <w:rFonts w:ascii="Times New Roman" w:hAnsi="宋体" w:cs="宋体"/>
                <w:bCs/>
                <w:color w:val="auto"/>
                <w:sz w:val="21"/>
                <w:szCs w:val="21"/>
              </w:rPr>
            </w:pPr>
            <w:r>
              <w:rPr>
                <w:rFonts w:ascii="Times New Roman" w:hAnsi="宋体" w:cs="宋体"/>
                <w:bCs/>
                <w:i/>
                <w:color w:val="auto"/>
                <w:sz w:val="21"/>
                <w:szCs w:val="21"/>
              </w:rPr>
              <w:t>P</w:t>
            </w:r>
            <w:r>
              <w:rPr>
                <w:rFonts w:ascii="Times New Roman" w:hAnsi="宋体" w:cs="宋体"/>
                <w:bCs/>
                <w:color w:val="auto"/>
                <w:sz w:val="21"/>
                <w:szCs w:val="21"/>
                <w:vertAlign w:val="subscript"/>
              </w:rPr>
              <w:t>max</w:t>
            </w:r>
            <w:r>
              <w:rPr>
                <w:rFonts w:ascii="Times New Roman" w:hAnsi="宋体" w:cs="宋体"/>
                <w:bCs/>
                <w:color w:val="auto"/>
                <w:sz w:val="21"/>
                <w:szCs w:val="21"/>
              </w:rPr>
              <w:t>＜1</w:t>
            </w:r>
            <w:r>
              <w:rPr>
                <w:rFonts w:hint="eastAsia" w:ascii="Times New Roman" w:hAnsi="宋体" w:cs="宋体"/>
                <w:bCs/>
                <w:color w:val="auto"/>
                <w:sz w:val="21"/>
                <w:szCs w:val="21"/>
              </w:rPr>
              <w:t>%</w:t>
            </w:r>
          </w:p>
        </w:tc>
      </w:tr>
    </w:tbl>
    <w:p>
      <w:pPr>
        <w:spacing w:before="120" w:beforeLines="50"/>
        <w:ind w:firstLine="480"/>
        <w:rPr>
          <w:rFonts w:hint="eastAsia"/>
          <w:color w:val="auto"/>
        </w:rPr>
      </w:pPr>
      <w:r>
        <w:rPr>
          <w:color w:val="auto"/>
        </w:rPr>
        <w:t>经工程分析，拟建项目主要大气污染源为</w:t>
      </w:r>
      <w:r>
        <w:rPr>
          <w:rFonts w:hint="eastAsia"/>
          <w:color w:val="auto"/>
          <w:lang w:val="en-US" w:eastAsia="zh-CN"/>
        </w:rPr>
        <w:t>生产养殖区（</w:t>
      </w:r>
      <w:r>
        <w:rPr>
          <w:rFonts w:hint="eastAsia"/>
          <w:color w:val="auto"/>
        </w:rPr>
        <w:t>猪舍、干粪堆场</w:t>
      </w:r>
      <w:r>
        <w:rPr>
          <w:rFonts w:hint="eastAsia"/>
          <w:color w:val="auto"/>
          <w:lang w:val="en-US" w:eastAsia="zh-CN"/>
        </w:rPr>
        <w:t>）、</w:t>
      </w:r>
      <w:r>
        <w:rPr>
          <w:rFonts w:hint="eastAsia"/>
          <w:color w:val="auto"/>
        </w:rPr>
        <w:t>污水处理区产生的恶臭气体（主要为NH</w:t>
      </w:r>
      <w:r>
        <w:rPr>
          <w:rFonts w:hint="eastAsia"/>
          <w:color w:val="auto"/>
          <w:vertAlign w:val="subscript"/>
        </w:rPr>
        <w:t>3</w:t>
      </w:r>
      <w:r>
        <w:rPr>
          <w:rFonts w:hint="eastAsia"/>
          <w:color w:val="auto"/>
        </w:rPr>
        <w:t>和H</w:t>
      </w:r>
      <w:r>
        <w:rPr>
          <w:rFonts w:hint="eastAsia"/>
          <w:color w:val="auto"/>
          <w:vertAlign w:val="subscript"/>
        </w:rPr>
        <w:t>2</w:t>
      </w:r>
      <w:r>
        <w:rPr>
          <w:rFonts w:hint="eastAsia"/>
          <w:color w:val="auto"/>
        </w:rPr>
        <w:t>S）</w:t>
      </w:r>
      <w:r>
        <w:rPr>
          <w:color w:val="auto"/>
        </w:rPr>
        <w:t>。</w:t>
      </w:r>
      <w:r>
        <w:rPr>
          <w:rFonts w:hint="eastAsia"/>
          <w:bCs/>
          <w:color w:val="auto"/>
        </w:rPr>
        <w:t>根据导则，采用</w:t>
      </w:r>
      <w:r>
        <w:rPr>
          <w:bCs/>
          <w:color w:val="auto"/>
        </w:rPr>
        <w:t>Aerscreen估算模型进行计算，估算模型参数见表</w:t>
      </w:r>
      <w:r>
        <w:rPr>
          <w:color w:val="auto"/>
        </w:rPr>
        <w:t>2.</w:t>
      </w:r>
      <w:r>
        <w:rPr>
          <w:rFonts w:hint="eastAsia"/>
          <w:color w:val="auto"/>
          <w:lang w:val="en-US" w:eastAsia="zh-CN"/>
        </w:rPr>
        <w:t>6</w:t>
      </w:r>
      <w:r>
        <w:rPr>
          <w:color w:val="auto"/>
        </w:rPr>
        <w:t>-2。</w:t>
      </w:r>
    </w:p>
    <w:p>
      <w:pPr>
        <w:pStyle w:val="166"/>
        <w:spacing w:before="120" w:beforeLines="0"/>
        <w:rPr>
          <w:color w:val="auto"/>
        </w:rPr>
      </w:pPr>
      <w:r>
        <w:rPr>
          <w:color w:val="auto"/>
        </w:rPr>
        <w:t>表2.</w:t>
      </w:r>
      <w:r>
        <w:rPr>
          <w:rFonts w:hint="eastAsia"/>
          <w:color w:val="auto"/>
          <w:lang w:val="en-US" w:eastAsia="zh-CN"/>
        </w:rPr>
        <w:t>6</w:t>
      </w:r>
      <w:r>
        <w:rPr>
          <w:color w:val="auto"/>
        </w:rPr>
        <w:t>-2</w:t>
      </w:r>
      <w:r>
        <w:rPr>
          <w:rFonts w:hint="eastAsia"/>
          <w:color w:val="auto"/>
          <w:lang w:val="en-US" w:eastAsia="zh-CN"/>
        </w:rPr>
        <w:t xml:space="preserve"> </w:t>
      </w:r>
      <w:r>
        <w:rPr>
          <w:color w:val="auto"/>
        </w:rPr>
        <w:t>估算模型参数表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48"/>
        <w:gridCol w:w="2252"/>
        <w:gridCol w:w="4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参数</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取值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城市/农村选项</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城市/农村</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农村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人口数</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最高环境温度/℃</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最低环境温度/℃</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土地利用类型</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农作物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区域湿度条件</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半</w:t>
            </w:r>
            <w:r>
              <w:rPr>
                <w:rFonts w:hint="default" w:ascii="Times New Roman" w:hAnsi="Times New Roman" w:eastAsia="宋体" w:cs="Times New Roman"/>
                <w:color w:val="auto"/>
                <w:sz w:val="21"/>
                <w:szCs w:val="21"/>
                <w:vertAlign w:val="baseline"/>
                <w:lang w:val="en-US" w:eastAsia="zh-CN"/>
              </w:rPr>
              <w:t>湿润区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是否考虑地形</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考虑地形</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sym w:font="Wingdings 2" w:char="0052"/>
            </w:r>
            <w:r>
              <w:rPr>
                <w:rFonts w:hint="default" w:ascii="Times New Roman" w:hAnsi="Times New Roman" w:eastAsia="宋体" w:cs="Times New Roman"/>
                <w:color w:val="auto"/>
                <w:sz w:val="21"/>
                <w:szCs w:val="21"/>
                <w:vertAlign w:val="baseline"/>
                <w:lang w:val="en-US" w:eastAsia="zh-CN"/>
              </w:rPr>
              <w:t xml:space="preserve">是 </w:t>
            </w:r>
            <w:r>
              <w:rPr>
                <w:rFonts w:hint="default" w:ascii="Times New Roman" w:hAnsi="Times New Roman" w:eastAsia="宋体" w:cs="Times New Roman"/>
                <w:color w:val="auto"/>
                <w:sz w:val="21"/>
                <w:szCs w:val="21"/>
                <w:vertAlign w:val="baseline"/>
                <w:lang w:val="en-US" w:eastAsia="zh-CN"/>
              </w:rPr>
              <w:sym w:font="Wingdings 2" w:char="00A3"/>
            </w:r>
            <w:r>
              <w:rPr>
                <w:rFonts w:hint="default" w:ascii="Times New Roman" w:hAnsi="Times New Roman" w:eastAsia="宋体" w:cs="Times New Roman"/>
                <w:color w:val="auto"/>
                <w:sz w:val="21"/>
                <w:szCs w:val="21"/>
                <w:vertAlign w:val="baseline"/>
                <w:lang w:val="en-US" w:eastAsia="zh-CN"/>
              </w:rPr>
              <w:t xml:space="preserve"> 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地形数据分辨率/m</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是否考虑岸线熏烟</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考虑岸线熏烟</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sym w:font="Wingdings 2" w:char="00A3"/>
            </w:r>
            <w:r>
              <w:rPr>
                <w:rFonts w:hint="default" w:ascii="Times New Roman" w:hAnsi="Times New Roman" w:eastAsia="宋体" w:cs="Times New Roman"/>
                <w:color w:val="auto"/>
                <w:sz w:val="21"/>
                <w:szCs w:val="21"/>
                <w:vertAlign w:val="baseline"/>
                <w:lang w:val="en-US" w:eastAsia="zh-CN"/>
              </w:rPr>
              <w:t xml:space="preserve">是 </w:t>
            </w:r>
            <w:r>
              <w:rPr>
                <w:rFonts w:hint="default" w:ascii="Times New Roman" w:hAnsi="Times New Roman" w:eastAsia="宋体" w:cs="Times New Roman"/>
                <w:color w:val="auto"/>
                <w:sz w:val="21"/>
                <w:szCs w:val="21"/>
                <w:vertAlign w:val="baseline"/>
                <w:lang w:val="en-US" w:eastAsia="zh-CN"/>
              </w:rPr>
              <w:sym w:font="Wingdings 2" w:char="0052"/>
            </w:r>
            <w:r>
              <w:rPr>
                <w:rFonts w:hint="default" w:ascii="Times New Roman" w:hAnsi="Times New Roman" w:eastAsia="宋体" w:cs="Times New Roman"/>
                <w:color w:val="auto"/>
                <w:sz w:val="21"/>
                <w:szCs w:val="21"/>
                <w:vertAlign w:val="baseline"/>
                <w:lang w:val="en-US" w:eastAsia="zh-CN"/>
              </w:rPr>
              <w:t xml:space="preserve"> 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岸线距离/km</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岸线方向</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bl>
    <w:p>
      <w:pPr>
        <w:spacing w:before="120" w:beforeLines="50"/>
        <w:ind w:firstLine="480"/>
        <w:rPr>
          <w:color w:val="auto"/>
        </w:rPr>
      </w:pPr>
      <w:r>
        <w:rPr>
          <w:color w:val="auto"/>
        </w:rPr>
        <w:t>根据《环境影响评价影响导则-大气环境》（HJ2.2-2018）附录A推荐模型中的AERSCREEN模式计算，主要污染源估算模型计算结果见表2.</w:t>
      </w:r>
      <w:r>
        <w:rPr>
          <w:rFonts w:hint="eastAsia"/>
          <w:color w:val="auto"/>
          <w:lang w:val="en-US" w:eastAsia="zh-CN"/>
        </w:rPr>
        <w:t>6</w:t>
      </w:r>
      <w:r>
        <w:rPr>
          <w:color w:val="auto"/>
        </w:rPr>
        <w:t>-3。</w:t>
      </w:r>
    </w:p>
    <w:p>
      <w:pPr>
        <w:pStyle w:val="166"/>
        <w:spacing w:before="120" w:beforeLines="0"/>
        <w:rPr>
          <w:color w:val="auto"/>
        </w:rPr>
      </w:pPr>
      <w:r>
        <w:rPr>
          <w:color w:val="auto"/>
        </w:rPr>
        <w:t>表2.</w:t>
      </w:r>
      <w:r>
        <w:rPr>
          <w:rFonts w:hint="eastAsia"/>
          <w:color w:val="auto"/>
          <w:lang w:val="en-US" w:eastAsia="zh-CN"/>
        </w:rPr>
        <w:t>6</w:t>
      </w:r>
      <w:r>
        <w:rPr>
          <w:color w:val="auto"/>
        </w:rPr>
        <w:t>-3</w:t>
      </w:r>
      <w:r>
        <w:rPr>
          <w:rFonts w:hint="eastAsia"/>
          <w:color w:val="auto"/>
          <w:lang w:val="en-US" w:eastAsia="zh-CN"/>
        </w:rPr>
        <w:t xml:space="preserve"> </w:t>
      </w:r>
      <w:r>
        <w:rPr>
          <w:color w:val="auto"/>
        </w:rPr>
        <w:t>主要污染源估算模型计算结果表</w:t>
      </w:r>
    </w:p>
    <w:tbl>
      <w:tblPr>
        <w:tblStyle w:val="5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967"/>
        <w:gridCol w:w="1489"/>
        <w:gridCol w:w="1431"/>
        <w:gridCol w:w="1460"/>
        <w:gridCol w:w="1739"/>
        <w:gridCol w:w="108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污染源</w:t>
            </w:r>
          </w:p>
        </w:tc>
        <w:tc>
          <w:tcPr>
            <w:tcW w:w="537"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污染物</w:t>
            </w:r>
          </w:p>
        </w:tc>
        <w:tc>
          <w:tcPr>
            <w:tcW w:w="827"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排放量Qi</w:t>
            </w:r>
            <w:r>
              <w:rPr>
                <w:rFonts w:hint="eastAsia" w:ascii="Times New Roman" w:hAnsi="Times New Roman" w:eastAsia="宋体" w:cs="Times New Roman"/>
                <w:b w:val="0"/>
                <w:bCs w:val="0"/>
                <w:color w:val="auto"/>
                <w:sz w:val="21"/>
                <w:szCs w:val="21"/>
                <w:u w:val="none" w:color="auto"/>
                <w:vertAlign w:val="baseline"/>
                <w:lang w:eastAsia="zh-CN"/>
              </w:rPr>
              <w:t>（</w:t>
            </w:r>
            <w:r>
              <w:rPr>
                <w:rFonts w:hint="eastAsia" w:ascii="Times New Roman" w:hAnsi="Times New Roman" w:eastAsia="宋体" w:cs="Times New Roman"/>
                <w:b w:val="0"/>
                <w:bCs w:val="0"/>
                <w:color w:val="auto"/>
                <w:sz w:val="21"/>
                <w:szCs w:val="21"/>
                <w:u w:val="none" w:color="auto"/>
                <w:vertAlign w:val="baseline"/>
                <w:lang w:val="en-US" w:eastAsia="zh-CN"/>
              </w:rPr>
              <w:t>kg/h</w:t>
            </w:r>
            <w:r>
              <w:rPr>
                <w:rFonts w:hint="eastAsia" w:ascii="Times New Roman" w:hAnsi="Times New Roman" w:eastAsia="宋体" w:cs="Times New Roman"/>
                <w:b w:val="0"/>
                <w:bCs w:val="0"/>
                <w:color w:val="auto"/>
                <w:sz w:val="21"/>
                <w:szCs w:val="21"/>
                <w:u w:val="none" w:color="auto"/>
                <w:vertAlign w:val="baseline"/>
                <w:lang w:eastAsia="zh-CN"/>
              </w:rPr>
              <w:t>）</w:t>
            </w:r>
          </w:p>
        </w:tc>
        <w:tc>
          <w:tcPr>
            <w:tcW w:w="795"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评价标准</w:t>
            </w:r>
          </w:p>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Coi</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μg/m</w:t>
            </w:r>
            <w:r>
              <w:rPr>
                <w:rFonts w:hint="default" w:ascii="Times New Roman" w:hAnsi="Times New Roman" w:eastAsia="宋体" w:cs="Times New Roman"/>
                <w:b w:val="0"/>
                <w:bCs w:val="0"/>
                <w:color w:val="auto"/>
                <w:sz w:val="21"/>
                <w:szCs w:val="21"/>
                <w:u w:val="none" w:color="auto"/>
                <w:vertAlign w:val="superscript"/>
              </w:rPr>
              <w:t xml:space="preserve"> 3 </w:t>
            </w:r>
            <w:r>
              <w:rPr>
                <w:rFonts w:hint="eastAsia" w:ascii="Times New Roman" w:hAnsi="Times New Roman" w:eastAsia="宋体" w:cs="Times New Roman"/>
                <w:b w:val="0"/>
                <w:bCs w:val="0"/>
                <w:color w:val="auto"/>
                <w:sz w:val="21"/>
                <w:szCs w:val="21"/>
                <w:u w:val="none" w:color="auto"/>
                <w:vertAlign w:val="baseline"/>
                <w:lang w:eastAsia="zh-CN"/>
              </w:rPr>
              <w:t>）</w:t>
            </w:r>
          </w:p>
        </w:tc>
        <w:tc>
          <w:tcPr>
            <w:tcW w:w="811"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最大地面浓度</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μg/m</w:t>
            </w:r>
            <w:r>
              <w:rPr>
                <w:rFonts w:hint="default" w:ascii="Times New Roman" w:hAnsi="Times New Roman" w:eastAsia="宋体" w:cs="Times New Roman"/>
                <w:b w:val="0"/>
                <w:bCs w:val="0"/>
                <w:color w:val="auto"/>
                <w:sz w:val="21"/>
                <w:szCs w:val="21"/>
                <w:u w:val="none" w:color="auto"/>
                <w:vertAlign w:val="superscript"/>
              </w:rPr>
              <w:t xml:space="preserve"> 3 </w:t>
            </w:r>
            <w:r>
              <w:rPr>
                <w:rFonts w:hint="eastAsia" w:ascii="Times New Roman" w:hAnsi="Times New Roman" w:eastAsia="宋体" w:cs="Times New Roman"/>
                <w:b w:val="0"/>
                <w:bCs w:val="0"/>
                <w:color w:val="auto"/>
                <w:sz w:val="21"/>
                <w:szCs w:val="21"/>
                <w:u w:val="none" w:color="auto"/>
                <w:vertAlign w:val="baseline"/>
                <w:lang w:eastAsia="zh-CN"/>
              </w:rPr>
              <w:t>）</w:t>
            </w:r>
          </w:p>
        </w:tc>
        <w:tc>
          <w:tcPr>
            <w:tcW w:w="966"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 xml:space="preserve">最大地面浓度占标率 Pi </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w:t>
            </w:r>
            <w:r>
              <w:rPr>
                <w:rFonts w:hint="eastAsia" w:ascii="Times New Roman" w:hAnsi="Times New Roman" w:eastAsia="宋体" w:cs="Times New Roman"/>
                <w:b w:val="0"/>
                <w:bCs w:val="0"/>
                <w:color w:val="auto"/>
                <w:sz w:val="21"/>
                <w:szCs w:val="21"/>
                <w:u w:val="none" w:color="auto"/>
                <w:vertAlign w:val="baseline"/>
                <w:lang w:eastAsia="zh-CN"/>
              </w:rPr>
              <w:t>）</w:t>
            </w:r>
          </w:p>
        </w:tc>
        <w:tc>
          <w:tcPr>
            <w:tcW w:w="603"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离源距离</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m</w:t>
            </w:r>
            <w:r>
              <w:rPr>
                <w:rFonts w:hint="eastAsia" w:ascii="Times New Roman" w:hAnsi="Times New Roman" w:eastAsia="宋体" w:cs="Times New Roman"/>
                <w:b w:val="0"/>
                <w:bCs w:val="0"/>
                <w:color w:val="auto"/>
                <w:sz w:val="21"/>
                <w:szCs w:val="21"/>
                <w:u w:val="none" w:color="auto"/>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59" w:type="pct"/>
            <w:vMerge w:val="restart"/>
            <w:noWrap w:val="0"/>
            <w:vAlign w:val="center"/>
          </w:tcPr>
          <w:p>
            <w:pPr>
              <w:pStyle w:val="332"/>
              <w:kinsoku w:val="0"/>
              <w:overflowPunct w:val="0"/>
              <w:ind w:firstLine="0" w:firstLineChars="0"/>
              <w:jc w:val="center"/>
              <w:rPr>
                <w:rFonts w:hint="default" w:ascii="Times New Roman" w:hAnsi="Times New Roman" w:eastAsia="宋体" w:cs="Times New Roman"/>
                <w:b w:val="0"/>
                <w:bCs w:val="0"/>
                <w:color w:val="auto"/>
                <w:sz w:val="21"/>
                <w:szCs w:val="21"/>
                <w:u w:val="none" w:color="auto"/>
                <w:vertAlign w:val="baseline"/>
              </w:rPr>
            </w:pPr>
            <w:r>
              <w:rPr>
                <w:color w:val="auto"/>
                <w:sz w:val="20"/>
                <w:szCs w:val="20"/>
              </w:rPr>
              <w:t>生产养殖区</w:t>
            </w:r>
          </w:p>
        </w:tc>
        <w:tc>
          <w:tcPr>
            <w:tcW w:w="537" w:type="pct"/>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b w:val="0"/>
                <w:bCs w:val="0"/>
                <w:color w:val="auto"/>
                <w:sz w:val="21"/>
                <w:szCs w:val="21"/>
                <w:u w:val="none" w:color="auto"/>
                <w:vertAlign w:val="baseline"/>
                <w:lang w:eastAsia="zh-CN"/>
              </w:rPr>
            </w:pP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3</w:t>
            </w:r>
          </w:p>
        </w:tc>
        <w:tc>
          <w:tcPr>
            <w:tcW w:w="827" w:type="pct"/>
            <w:noWrap w:val="0"/>
            <w:vAlign w:val="center"/>
          </w:tcPr>
          <w:p>
            <w:pPr>
              <w:pStyle w:val="297"/>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eastAsia="等线"/>
                <w:color w:val="auto"/>
                <w:sz w:val="21"/>
                <w:szCs w:val="21"/>
                <w:lang w:val="en-US" w:eastAsia="zh-CN"/>
              </w:rPr>
              <w:t>0.0200</w:t>
            </w:r>
          </w:p>
        </w:tc>
        <w:tc>
          <w:tcPr>
            <w:tcW w:w="795"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200</w:t>
            </w:r>
          </w:p>
        </w:tc>
        <w:tc>
          <w:tcPr>
            <w:tcW w:w="811"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c>
          <w:tcPr>
            <w:tcW w:w="966"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c>
          <w:tcPr>
            <w:tcW w:w="603"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vMerge w:val="continue"/>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p>
        </w:tc>
        <w:tc>
          <w:tcPr>
            <w:tcW w:w="537" w:type="pct"/>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b w:val="0"/>
                <w:bCs w:val="0"/>
                <w:color w:val="auto"/>
                <w:sz w:val="21"/>
                <w:szCs w:val="21"/>
                <w:lang w:val="en-US" w:eastAsia="zh-CN"/>
              </w:rPr>
              <w:t>H</w:t>
            </w:r>
            <w:r>
              <w:rPr>
                <w:rFonts w:hint="eastAsia"/>
                <w:b w:val="0"/>
                <w:bCs w:val="0"/>
                <w:color w:val="auto"/>
                <w:sz w:val="21"/>
                <w:szCs w:val="21"/>
                <w:vertAlign w:val="subscript"/>
                <w:lang w:val="en-US" w:eastAsia="zh-CN"/>
              </w:rPr>
              <w:t>2</w:t>
            </w:r>
            <w:r>
              <w:rPr>
                <w:rFonts w:hint="eastAsia"/>
                <w:b w:val="0"/>
                <w:bCs w:val="0"/>
                <w:color w:val="auto"/>
                <w:sz w:val="21"/>
                <w:szCs w:val="21"/>
                <w:lang w:val="en-US" w:eastAsia="zh-CN"/>
              </w:rPr>
              <w:t>S</w:t>
            </w:r>
          </w:p>
        </w:tc>
        <w:tc>
          <w:tcPr>
            <w:tcW w:w="827" w:type="pct"/>
            <w:noWrap w:val="0"/>
            <w:vAlign w:val="center"/>
          </w:tcPr>
          <w:p>
            <w:pPr>
              <w:pStyle w:val="297"/>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eastAsia="等线"/>
                <w:color w:val="auto"/>
                <w:sz w:val="21"/>
                <w:szCs w:val="21"/>
                <w:lang w:val="en-US" w:eastAsia="zh-CN"/>
              </w:rPr>
              <w:t>0.0014</w:t>
            </w:r>
          </w:p>
        </w:tc>
        <w:tc>
          <w:tcPr>
            <w:tcW w:w="795"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10</w:t>
            </w:r>
          </w:p>
        </w:tc>
        <w:tc>
          <w:tcPr>
            <w:tcW w:w="811"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966"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603"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vMerge w:val="restart"/>
            <w:noWrap w:val="0"/>
            <w:vAlign w:val="center"/>
          </w:tcPr>
          <w:p>
            <w:pPr>
              <w:pStyle w:val="332"/>
              <w:kinsoku w:val="0"/>
              <w:overflowPunct w:val="0"/>
              <w:jc w:val="center"/>
              <w:rPr>
                <w:rFonts w:hint="default" w:ascii="Times New Roman" w:hAnsi="Times New Roman" w:eastAsia="宋体" w:cs="Times New Roman"/>
                <w:b w:val="0"/>
                <w:bCs w:val="0"/>
                <w:color w:val="auto"/>
                <w:sz w:val="21"/>
                <w:szCs w:val="21"/>
                <w:u w:val="none" w:color="auto"/>
                <w:vertAlign w:val="baseline"/>
              </w:rPr>
            </w:pPr>
            <w:r>
              <w:rPr>
                <w:rFonts w:hint="eastAsia" w:ascii="Times New Roman" w:hAnsi="Times New Roman" w:cs="Times New Roman"/>
                <w:b w:val="0"/>
                <w:bCs w:val="0"/>
                <w:color w:val="auto"/>
                <w:position w:val="2"/>
                <w:sz w:val="21"/>
                <w:szCs w:val="21"/>
                <w:lang w:val="en-US" w:eastAsia="zh-CN"/>
              </w:rPr>
              <w:t>污水处理系统</w:t>
            </w:r>
          </w:p>
        </w:tc>
        <w:tc>
          <w:tcPr>
            <w:tcW w:w="537" w:type="pct"/>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3</w:t>
            </w:r>
          </w:p>
        </w:tc>
        <w:tc>
          <w:tcPr>
            <w:tcW w:w="827" w:type="pct"/>
            <w:noWrap w:val="0"/>
            <w:vAlign w:val="center"/>
          </w:tcPr>
          <w:p>
            <w:pPr>
              <w:pStyle w:val="297"/>
              <w:jc w:val="center"/>
              <w:rPr>
                <w:rFonts w:hint="eastAsia" w:ascii="Times New Roman" w:hAnsi="Times New Roman" w:cs="Times New Roman"/>
                <w:b w:val="0"/>
                <w:bCs w:val="0"/>
                <w:color w:val="auto"/>
                <w:position w:val="2"/>
                <w:sz w:val="21"/>
                <w:szCs w:val="21"/>
                <w:lang w:val="en-US" w:eastAsia="zh-CN"/>
              </w:rPr>
            </w:pPr>
            <w:r>
              <w:rPr>
                <w:rFonts w:eastAsia="宋体"/>
                <w:color w:val="auto"/>
              </w:rPr>
              <w:t>1.</w:t>
            </w:r>
            <w:r>
              <w:rPr>
                <w:rFonts w:hint="eastAsia" w:eastAsia="宋体"/>
                <w:color w:val="auto"/>
                <w:lang w:val="en-US" w:eastAsia="zh-CN"/>
              </w:rPr>
              <w:t>12</w:t>
            </w:r>
            <w:r>
              <w:rPr>
                <w:rFonts w:eastAsia="宋体"/>
                <w:color w:val="auto"/>
              </w:rPr>
              <w:t>×10</w:t>
            </w:r>
            <w:r>
              <w:rPr>
                <w:rFonts w:eastAsia="宋体"/>
                <w:color w:val="auto"/>
                <w:vertAlign w:val="superscript"/>
              </w:rPr>
              <w:t>-3</w:t>
            </w:r>
          </w:p>
        </w:tc>
        <w:tc>
          <w:tcPr>
            <w:tcW w:w="795"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200</w:t>
            </w:r>
          </w:p>
        </w:tc>
        <w:tc>
          <w:tcPr>
            <w:tcW w:w="811"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966"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603"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vMerge w:val="continue"/>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p>
        </w:tc>
        <w:tc>
          <w:tcPr>
            <w:tcW w:w="537" w:type="pct"/>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H</w:t>
            </w:r>
            <w:r>
              <w:rPr>
                <w:rFonts w:hint="eastAsia"/>
                <w:b w:val="0"/>
                <w:bCs w:val="0"/>
                <w:color w:val="auto"/>
                <w:sz w:val="21"/>
                <w:szCs w:val="21"/>
                <w:vertAlign w:val="subscript"/>
                <w:lang w:val="en-US" w:eastAsia="zh-CN"/>
              </w:rPr>
              <w:t>2</w:t>
            </w:r>
            <w:r>
              <w:rPr>
                <w:rFonts w:hint="eastAsia"/>
                <w:b w:val="0"/>
                <w:bCs w:val="0"/>
                <w:color w:val="auto"/>
                <w:sz w:val="21"/>
                <w:szCs w:val="21"/>
                <w:lang w:val="en-US" w:eastAsia="zh-CN"/>
              </w:rPr>
              <w:t>S</w:t>
            </w:r>
          </w:p>
        </w:tc>
        <w:tc>
          <w:tcPr>
            <w:tcW w:w="827" w:type="pct"/>
            <w:noWrap w:val="0"/>
            <w:vAlign w:val="center"/>
          </w:tcPr>
          <w:p>
            <w:pPr>
              <w:pStyle w:val="297"/>
              <w:jc w:val="center"/>
              <w:rPr>
                <w:rFonts w:hint="eastAsia" w:ascii="Times New Roman" w:hAnsi="Times New Roman" w:cs="Times New Roman"/>
                <w:b w:val="0"/>
                <w:bCs w:val="0"/>
                <w:color w:val="auto"/>
                <w:position w:val="2"/>
                <w:sz w:val="21"/>
                <w:szCs w:val="21"/>
                <w:lang w:val="en-US" w:eastAsia="zh-CN"/>
              </w:rPr>
            </w:pPr>
            <w:r>
              <w:rPr>
                <w:rFonts w:eastAsia="宋体"/>
                <w:color w:val="auto"/>
              </w:rPr>
              <w:t>4.</w:t>
            </w:r>
            <w:r>
              <w:rPr>
                <w:rFonts w:hint="eastAsia" w:eastAsia="宋体"/>
                <w:color w:val="auto"/>
                <w:lang w:val="en-US" w:eastAsia="zh-CN"/>
              </w:rPr>
              <w:t>35</w:t>
            </w:r>
            <w:r>
              <w:rPr>
                <w:rFonts w:eastAsia="宋体"/>
                <w:color w:val="auto"/>
              </w:rPr>
              <w:t>×10</w:t>
            </w:r>
            <w:r>
              <w:rPr>
                <w:rFonts w:eastAsia="宋体"/>
                <w:color w:val="auto"/>
                <w:vertAlign w:val="superscript"/>
              </w:rPr>
              <w:t>-5</w:t>
            </w:r>
          </w:p>
        </w:tc>
        <w:tc>
          <w:tcPr>
            <w:tcW w:w="795"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10</w:t>
            </w:r>
          </w:p>
        </w:tc>
        <w:tc>
          <w:tcPr>
            <w:tcW w:w="811"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966" w:type="pct"/>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603"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bl>
    <w:p>
      <w:pPr>
        <w:spacing w:before="120" w:beforeLines="50"/>
        <w:ind w:firstLine="480"/>
        <w:rPr>
          <w:color w:val="auto"/>
        </w:rPr>
      </w:pPr>
      <w:r>
        <w:rPr>
          <w:rFonts w:hint="eastAsia"/>
          <w:color w:val="auto"/>
        </w:rPr>
        <w:t>综合以上分析，本项目Pmax最大值出现为治污区面源排放的H</w:t>
      </w:r>
      <w:r>
        <w:rPr>
          <w:rFonts w:hint="eastAsia"/>
          <w:color w:val="auto"/>
          <w:vertAlign w:val="subscript"/>
        </w:rPr>
        <w:t>2</w:t>
      </w:r>
      <w:r>
        <w:rPr>
          <w:rFonts w:hint="eastAsia"/>
          <w:color w:val="auto"/>
        </w:rPr>
        <w:t>S，Pmax值为</w:t>
      </w:r>
      <w:r>
        <w:rPr>
          <w:rFonts w:hint="eastAsia"/>
          <w:color w:val="auto"/>
          <w:lang w:val="en-US" w:eastAsia="zh-CN"/>
        </w:rPr>
        <w:t>**</w:t>
      </w:r>
      <w:r>
        <w:rPr>
          <w:rFonts w:hint="eastAsia"/>
          <w:color w:val="auto"/>
        </w:rPr>
        <w:t>%，Cmax为</w:t>
      </w:r>
      <w:r>
        <w:rPr>
          <w:rFonts w:hint="eastAsia"/>
          <w:color w:val="auto"/>
          <w:lang w:val="en-US" w:eastAsia="zh-CN"/>
        </w:rPr>
        <w:t>***</w:t>
      </w:r>
      <w:r>
        <w:rPr>
          <w:rFonts w:hint="eastAsia"/>
          <w:color w:val="auto"/>
        </w:rPr>
        <w:t>ug/m</w:t>
      </w:r>
      <w:r>
        <w:rPr>
          <w:rFonts w:hint="eastAsia"/>
          <w:color w:val="auto"/>
          <w:vertAlign w:val="superscript"/>
        </w:rPr>
        <w:t>3</w:t>
      </w:r>
      <w:r>
        <w:rPr>
          <w:rFonts w:hint="eastAsia"/>
          <w:color w:val="auto"/>
        </w:rPr>
        <w:t>，根据《环境影响评价技术导则 大气环境》（HJ2.2-2018）分级判据，确定本项目大气环境影响评价工作等级为二级。</w:t>
      </w:r>
    </w:p>
    <w:p>
      <w:pPr>
        <w:pStyle w:val="9"/>
        <w:spacing w:before="120" w:beforeLines="50"/>
        <w:rPr>
          <w:color w:val="auto"/>
        </w:rPr>
      </w:pPr>
      <w:r>
        <w:rPr>
          <w:color w:val="auto"/>
        </w:rPr>
        <w:t>评价范围</w:t>
      </w:r>
    </w:p>
    <w:p>
      <w:pPr>
        <w:pStyle w:val="16"/>
        <w:spacing w:line="360" w:lineRule="auto"/>
        <w:ind w:firstLine="480"/>
        <w:rPr>
          <w:rFonts w:ascii="Times New Roman" w:hAnsi="Times New Roman"/>
          <w:color w:val="auto"/>
        </w:rPr>
      </w:pPr>
      <w:r>
        <w:rPr>
          <w:rFonts w:ascii="Times New Roman" w:hAnsi="Times New Roman"/>
          <w:color w:val="auto"/>
        </w:rPr>
        <w:t>按照《环境影响评价技术导则  大气环境》（HJ2.2-2018）规定，二级评价项目大气环境影响评价范围边长取5km；因此本项目大气环境影响评价范围确定为以项目厂址为中心区域，取边长为5km的矩形范围。</w:t>
      </w:r>
    </w:p>
    <w:p>
      <w:pPr>
        <w:pStyle w:val="8"/>
        <w:tabs>
          <w:tab w:val="clear" w:pos="0"/>
        </w:tabs>
        <w:rPr>
          <w:rFonts w:eastAsia="黑体"/>
          <w:color w:val="auto"/>
          <w:sz w:val="28"/>
          <w:szCs w:val="28"/>
        </w:rPr>
      </w:pPr>
      <w:r>
        <w:rPr>
          <w:rFonts w:eastAsia="黑体"/>
          <w:color w:val="auto"/>
          <w:sz w:val="28"/>
          <w:szCs w:val="28"/>
        </w:rPr>
        <w:t>地表水环境</w:t>
      </w:r>
    </w:p>
    <w:p>
      <w:pPr>
        <w:pStyle w:val="9"/>
        <w:spacing w:before="120" w:beforeLines="50"/>
        <w:rPr>
          <w:color w:val="auto"/>
        </w:rPr>
      </w:pPr>
      <w:r>
        <w:rPr>
          <w:color w:val="auto"/>
        </w:rPr>
        <w:t>评价等级</w:t>
      </w:r>
    </w:p>
    <w:p>
      <w:pPr>
        <w:ind w:firstLine="480"/>
        <w:rPr>
          <w:color w:val="auto"/>
        </w:rPr>
      </w:pPr>
      <w:r>
        <w:rPr>
          <w:rFonts w:hint="eastAsia"/>
          <w:color w:val="auto"/>
        </w:rPr>
        <w:t>根据《环境影响评价技术导则  地表水环境》（HJ2.3-2018）中的有关规定，建设项目地表水环境影响评价等级按照影响类型、排放方式、排放量或影响情况、受纳水体环境质量现状、水环境保护目标等综合确定。本项目猪舍清洗废水、猪尿、生活污水经黑膜沼气池发酵后最终产生沼液用于周边农田作液体有机肥，无废水外排。</w:t>
      </w:r>
    </w:p>
    <w:p>
      <w:pPr>
        <w:ind w:firstLine="480"/>
        <w:rPr>
          <w:color w:val="auto"/>
        </w:rPr>
      </w:pPr>
      <w:r>
        <w:rPr>
          <w:rFonts w:hint="eastAsia"/>
          <w:color w:val="auto"/>
        </w:rPr>
        <w:t>根据《环境影响评价技术导则  地表水环境》（HJ2.3-2018）中第5.2条表1注1</w:t>
      </w:r>
      <w:r>
        <w:rPr>
          <w:color w:val="auto"/>
        </w:rPr>
        <w:t>0</w:t>
      </w:r>
      <w:r>
        <w:rPr>
          <w:rFonts w:hint="eastAsia"/>
          <w:color w:val="auto"/>
        </w:rPr>
        <w:t>：“建设项目生产工艺中有废水产生，但作为回水利用，不排放到外环境的，按三级B评价”。故，本项目评价等级为三级B。因此本次地表水环境影响评价主要评价内容包括：</w:t>
      </w:r>
      <w:r>
        <w:rPr>
          <w:color w:val="auto"/>
        </w:rPr>
        <w:t>主要针对项目区废水的处理工艺、废水零排放的可靠性及合理性进行分析。</w:t>
      </w:r>
    </w:p>
    <w:p>
      <w:pPr>
        <w:pStyle w:val="9"/>
        <w:spacing w:before="120" w:beforeLines="50"/>
        <w:rPr>
          <w:color w:val="auto"/>
        </w:rPr>
      </w:pPr>
      <w:r>
        <w:rPr>
          <w:color w:val="auto"/>
        </w:rPr>
        <w:t>评价范围</w:t>
      </w:r>
    </w:p>
    <w:p>
      <w:pPr>
        <w:pStyle w:val="16"/>
        <w:ind w:firstLine="480"/>
        <w:rPr>
          <w:rFonts w:ascii="Times New Roman" w:hAnsi="Times New Roman"/>
          <w:color w:val="auto"/>
        </w:rPr>
      </w:pPr>
      <w:r>
        <w:rPr>
          <w:rFonts w:ascii="Times New Roman" w:hAnsi="Times New Roman"/>
          <w:color w:val="auto"/>
        </w:rPr>
        <w:t>本项目的养殖废水和生活污水经处理后资源化利用，不外排。因此，本次环评重点评价废水的处理工艺、废水零排放的可靠性、合理性以及废水资源化利用的可行性及合理性。</w:t>
      </w:r>
    </w:p>
    <w:p>
      <w:pPr>
        <w:pStyle w:val="8"/>
        <w:tabs>
          <w:tab w:val="clear" w:pos="0"/>
        </w:tabs>
        <w:rPr>
          <w:rFonts w:eastAsia="黑体"/>
          <w:color w:val="auto"/>
          <w:sz w:val="28"/>
          <w:szCs w:val="28"/>
        </w:rPr>
      </w:pPr>
      <w:r>
        <w:rPr>
          <w:rFonts w:eastAsia="黑体"/>
          <w:color w:val="auto"/>
          <w:sz w:val="28"/>
          <w:szCs w:val="28"/>
        </w:rPr>
        <w:t>地下水环境</w:t>
      </w:r>
    </w:p>
    <w:p>
      <w:pPr>
        <w:pStyle w:val="9"/>
        <w:spacing w:before="120" w:beforeLines="50"/>
        <w:rPr>
          <w:color w:val="auto"/>
        </w:rPr>
      </w:pPr>
      <w:r>
        <w:rPr>
          <w:color w:val="auto"/>
        </w:rPr>
        <w:t>评价等级</w:t>
      </w:r>
    </w:p>
    <w:p>
      <w:pPr>
        <w:ind w:firstLine="480"/>
        <w:rPr>
          <w:color w:val="auto"/>
        </w:rPr>
      </w:pPr>
      <w:r>
        <w:rPr>
          <w:color w:val="auto"/>
        </w:rPr>
        <w:t>根据建设项目资料，本项目为畜禽养殖项目，其分类属于《环境影响评价技术导则  地下水环境》（HJ 610-2016）附录A中</w:t>
      </w:r>
      <w:r>
        <w:rPr>
          <w:rFonts w:hint="eastAsia"/>
          <w:color w:val="auto"/>
        </w:rPr>
        <w:t>“</w:t>
      </w:r>
      <w:r>
        <w:rPr>
          <w:color w:val="auto"/>
        </w:rPr>
        <w:t xml:space="preserve">B </w:t>
      </w:r>
      <w:r>
        <w:rPr>
          <w:b/>
          <w:color w:val="auto"/>
        </w:rPr>
        <w:t xml:space="preserve">农、林、牧、渔、海洋 </w:t>
      </w:r>
      <w:r>
        <w:rPr>
          <w:color w:val="auto"/>
        </w:rPr>
        <w:t xml:space="preserve">第14项 </w:t>
      </w:r>
      <w:r>
        <w:rPr>
          <w:b/>
          <w:color w:val="auto"/>
        </w:rPr>
        <w:t>畜禽养殖场、养殖小区</w:t>
      </w:r>
      <w:r>
        <w:rPr>
          <w:rFonts w:hint="eastAsia"/>
          <w:b/>
          <w:color w:val="auto"/>
        </w:rPr>
        <w:t>”</w:t>
      </w:r>
      <w:r>
        <w:rPr>
          <w:color w:val="auto"/>
        </w:rPr>
        <w:t>中的</w:t>
      </w:r>
      <w:r>
        <w:rPr>
          <w:rFonts w:hint="eastAsia"/>
          <w:b/>
          <w:color w:val="auto"/>
        </w:rPr>
        <w:t>“</w:t>
      </w:r>
      <w:r>
        <w:rPr>
          <w:b/>
          <w:color w:val="auto"/>
        </w:rPr>
        <w:t>年出栏生猪5000头（其他畜禽种类折合猪的养殖规模）及以上</w:t>
      </w:r>
      <w:r>
        <w:rPr>
          <w:rFonts w:hint="eastAsia"/>
          <w:b/>
          <w:color w:val="auto"/>
        </w:rPr>
        <w:t>”</w:t>
      </w:r>
      <w:r>
        <w:rPr>
          <w:color w:val="auto"/>
        </w:rPr>
        <w:t>，编制报告书类别为</w:t>
      </w:r>
      <w:r>
        <w:rPr>
          <w:b/>
          <w:color w:val="auto"/>
        </w:rPr>
        <w:t>Ⅲ类建设项目</w:t>
      </w:r>
      <w:r>
        <w:rPr>
          <w:color w:val="auto"/>
        </w:rPr>
        <w:t>。</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default" w:ascii="Times New Roman" w:hAnsi="Times New Roman" w:cs="Times New Roman"/>
          <w:color w:val="auto"/>
          <w:u w:val="none" w:color="auto"/>
          <w:lang w:val="en-US" w:eastAsia="zh-CN"/>
        </w:rPr>
      </w:pPr>
      <w:r>
        <w:rPr>
          <w:rFonts w:hint="default" w:ascii="Times New Roman" w:hAnsi="Times New Roman" w:eastAsia="宋体" w:cs="Times New Roman"/>
          <w:b/>
          <w:color w:val="auto"/>
          <w:kern w:val="2"/>
          <w:sz w:val="21"/>
          <w:szCs w:val="21"/>
          <w:u w:val="none" w:color="auto"/>
          <w:lang w:val="en-US" w:eastAsia="zh-CN" w:bidi="ar-SA"/>
        </w:rPr>
        <w:t>表</w:t>
      </w:r>
      <w:r>
        <w:rPr>
          <w:rFonts w:hint="eastAsia" w:ascii="Times New Roman" w:hAnsi="Times New Roman" w:cs="Times New Roman"/>
          <w:b/>
          <w:color w:val="auto"/>
          <w:kern w:val="2"/>
          <w:sz w:val="21"/>
          <w:szCs w:val="21"/>
          <w:u w:val="none" w:color="auto"/>
          <w:lang w:val="en-US" w:eastAsia="zh-CN" w:bidi="ar-SA"/>
        </w:rPr>
        <w:t>2.6</w:t>
      </w:r>
      <w:r>
        <w:rPr>
          <w:rFonts w:hint="default" w:ascii="Times New Roman" w:hAnsi="Times New Roman" w:eastAsia="宋体" w:cs="Times New Roman"/>
          <w:b/>
          <w:color w:val="auto"/>
          <w:kern w:val="2"/>
          <w:sz w:val="21"/>
          <w:szCs w:val="21"/>
          <w:u w:val="none" w:color="auto"/>
          <w:lang w:val="en-US" w:eastAsia="zh-CN" w:bidi="ar-SA"/>
        </w:rPr>
        <w:t>-</w:t>
      </w:r>
      <w:r>
        <w:rPr>
          <w:rFonts w:hint="eastAsia" w:ascii="Times New Roman" w:hAnsi="Times New Roman" w:cs="Times New Roman"/>
          <w:b/>
          <w:color w:val="auto"/>
          <w:kern w:val="2"/>
          <w:sz w:val="21"/>
          <w:szCs w:val="21"/>
          <w:u w:val="none" w:color="auto"/>
          <w:lang w:val="en-US" w:eastAsia="zh-CN" w:bidi="ar-SA"/>
        </w:rPr>
        <w:t>4</w:t>
      </w:r>
      <w:r>
        <w:rPr>
          <w:rFonts w:hint="default" w:ascii="Times New Roman" w:hAnsi="Times New Roman" w:eastAsia="宋体" w:cs="Times New Roman"/>
          <w:b/>
          <w:color w:val="auto"/>
          <w:kern w:val="2"/>
          <w:sz w:val="21"/>
          <w:szCs w:val="21"/>
          <w:u w:val="none" w:color="auto"/>
          <w:lang w:val="en-US" w:eastAsia="zh-CN" w:bidi="ar-SA"/>
        </w:rPr>
        <w:t xml:space="preserve"> 评价等级判定因素</w:t>
      </w:r>
    </w:p>
    <w:tbl>
      <w:tblPr>
        <w:tblStyle w:val="5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72"/>
        <w:gridCol w:w="3180"/>
        <w:gridCol w:w="918"/>
        <w:gridCol w:w="1960"/>
        <w:gridCol w:w="11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85" w:type="pct"/>
            <w:vMerge w:val="restart"/>
            <w:tcBorders>
              <w:tl2br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right"/>
              <w:textAlignment w:val="auto"/>
              <w:outlineLvl w:val="9"/>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环评类别</w:t>
            </w:r>
          </w:p>
          <w:p>
            <w:pPr>
              <w:pStyle w:val="95"/>
              <w:keepNext w:val="0"/>
              <w:keepLines w:val="0"/>
              <w:pageBreakBefore w:val="0"/>
              <w:widowControl w:val="0"/>
              <w:kinsoku/>
              <w:wordWrap/>
              <w:overflowPunct/>
              <w:topLinePunct w:val="0"/>
              <w:autoSpaceDE w:val="0"/>
              <w:autoSpaceDN w:val="0"/>
              <w:bidi w:val="0"/>
              <w:adjustRightInd w:val="0"/>
              <w:snapToGrid/>
              <w:spacing w:line="0" w:lineRule="atLeast"/>
              <w:ind w:firstLine="0" w:firstLineChars="0"/>
              <w:jc w:val="left"/>
              <w:textAlignment w:val="auto"/>
              <w:outlineLvl w:val="9"/>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行业类别</w:t>
            </w:r>
          </w:p>
        </w:tc>
        <w:tc>
          <w:tcPr>
            <w:tcW w:w="1767" w:type="pct"/>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vertAlign w:val="baseline"/>
                <w:lang w:val="en-US" w:eastAsia="zh-CN"/>
              </w:rPr>
              <w:t>报告书</w:t>
            </w:r>
          </w:p>
        </w:tc>
        <w:tc>
          <w:tcPr>
            <w:tcW w:w="510" w:type="pct"/>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vertAlign w:val="baseline"/>
                <w:lang w:val="en-US" w:eastAsia="zh-CN"/>
              </w:rPr>
              <w:t>报告表</w:t>
            </w:r>
          </w:p>
        </w:tc>
        <w:tc>
          <w:tcPr>
            <w:tcW w:w="1736"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vertAlign w:val="baseline"/>
                <w:lang w:val="en-US" w:eastAsia="zh-CN"/>
              </w:rPr>
              <w:t>地下水环境影响评价项目类别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85" w:type="pct"/>
            <w:vMerge w:val="continue"/>
            <w:noWrap w:val="0"/>
            <w:vAlign w:val="center"/>
          </w:tcPr>
          <w:p>
            <w:pPr>
              <w:pStyle w:val="95"/>
              <w:keepNext w:val="0"/>
              <w:keepLines w:val="0"/>
              <w:pageBreakBefore w:val="0"/>
              <w:widowControl w:val="0"/>
              <w:kinsoku/>
              <w:wordWrap/>
              <w:overflowPunct/>
              <w:topLinePunct w:val="0"/>
              <w:bidi w:val="0"/>
              <w:snapToGrid/>
              <w:spacing w:line="0" w:lineRule="atLeast"/>
              <w:jc w:val="center"/>
              <w:textAlignment w:val="auto"/>
              <w:rPr>
                <w:rFonts w:hint="default" w:ascii="Times New Roman" w:hAnsi="Times New Roman" w:eastAsia="宋体" w:cs="Times New Roman"/>
                <w:color w:val="auto"/>
                <w:sz w:val="21"/>
                <w:szCs w:val="21"/>
                <w:u w:val="none" w:color="auto"/>
                <w:lang w:val="en-US" w:eastAsia="zh-CN"/>
              </w:rPr>
            </w:pPr>
          </w:p>
        </w:tc>
        <w:tc>
          <w:tcPr>
            <w:tcW w:w="1767"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p>
        </w:tc>
        <w:tc>
          <w:tcPr>
            <w:tcW w:w="510"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p>
        </w:tc>
        <w:tc>
          <w:tcPr>
            <w:tcW w:w="10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vertAlign w:val="baseline"/>
                <w:lang w:val="en-US" w:eastAsia="zh-CN"/>
              </w:rPr>
              <w:t>报告书</w:t>
            </w:r>
          </w:p>
        </w:tc>
        <w:tc>
          <w:tcPr>
            <w:tcW w:w="647"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vertAlign w:val="baseline"/>
                <w:lang w:val="en-US" w:eastAsia="zh-CN"/>
              </w:rPr>
              <w:t>报告表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5000" w:type="pct"/>
            <w:gridSpan w:val="5"/>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left"/>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eastAsia" w:eastAsia="宋体" w:cs="Times New Roman"/>
                <w:color w:val="auto"/>
                <w:sz w:val="21"/>
                <w:szCs w:val="21"/>
                <w:u w:val="none" w:color="auto"/>
                <w:vertAlign w:val="baseline"/>
                <w:lang w:val="en-US" w:eastAsia="zh-CN"/>
              </w:rPr>
              <w:t>B</w:t>
            </w:r>
            <w:r>
              <w:rPr>
                <w:rFonts w:hint="eastAsia" w:ascii="Times New Roman" w:hAnsi="Times New Roman" w:eastAsia="宋体" w:cs="Times New Roman"/>
                <w:color w:val="auto"/>
                <w:sz w:val="21"/>
                <w:szCs w:val="21"/>
                <w:u w:val="none" w:color="auto"/>
                <w:vertAlign w:val="baseline"/>
                <w:lang w:val="en-US" w:eastAsia="zh-CN"/>
              </w:rPr>
              <w:t xml:space="preserve"> </w:t>
            </w:r>
            <w:r>
              <w:rPr>
                <w:rFonts w:hint="eastAsia" w:eastAsia="宋体" w:cs="Times New Roman"/>
                <w:color w:val="auto"/>
                <w:sz w:val="21"/>
                <w:szCs w:val="21"/>
                <w:u w:val="none" w:color="auto"/>
                <w:vertAlign w:val="baseline"/>
                <w:lang w:val="en-US" w:eastAsia="zh-CN"/>
              </w:rPr>
              <w:t>农、林、牧、渔、海洋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85"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eastAsia" w:ascii="Times New Roman" w:hAnsi="Times New Roman" w:eastAsia="宋体" w:cs="Times New Roman"/>
                <w:color w:val="auto"/>
                <w:sz w:val="21"/>
                <w:szCs w:val="21"/>
                <w:u w:val="none" w:color="auto"/>
                <w:vertAlign w:val="baseline"/>
                <w:lang w:val="en-US" w:eastAsia="zh-CN"/>
              </w:rPr>
              <w:t>14.畜禽养殖场、养殖小区</w:t>
            </w:r>
          </w:p>
        </w:tc>
        <w:tc>
          <w:tcPr>
            <w:tcW w:w="1767"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eastAsia" w:ascii="Times New Roman" w:hAnsi="Times New Roman" w:eastAsia="宋体" w:cs="Times New Roman"/>
                <w:color w:val="auto"/>
                <w:sz w:val="21"/>
                <w:szCs w:val="21"/>
                <w:u w:val="none" w:color="auto"/>
                <w:vertAlign w:val="baseline"/>
                <w:lang w:val="en-US" w:eastAsia="zh-CN"/>
              </w:rPr>
              <w:t>年出栏生猪 5000 头（其他畜禽种类折合猪的养殖规模）及以上；涉及环境敏感区的</w:t>
            </w:r>
          </w:p>
        </w:tc>
        <w:tc>
          <w:tcPr>
            <w:tcW w:w="51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w:t>
            </w:r>
          </w:p>
        </w:tc>
        <w:tc>
          <w:tcPr>
            <w:tcW w:w="10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default" w:ascii="Times New Roman" w:hAnsi="Times New Roman" w:eastAsia="宋体" w:cs="Times New Roman"/>
                <w:b/>
                <w:bCs/>
                <w:color w:val="auto"/>
                <w:sz w:val="21"/>
                <w:szCs w:val="21"/>
                <w:u w:val="none" w:color="auto"/>
                <w:vertAlign w:val="baseline"/>
                <w:lang w:val="en-US" w:eastAsia="zh-CN"/>
              </w:rPr>
              <w:t>Ⅲ类</w:t>
            </w:r>
          </w:p>
        </w:tc>
        <w:tc>
          <w:tcPr>
            <w:tcW w:w="647"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right="0" w:rightChars="0"/>
              <w:jc w:val="center"/>
              <w:textAlignment w:val="auto"/>
              <w:outlineLvl w:val="9"/>
              <w:rPr>
                <w:rFonts w:hint="default" w:ascii="Times New Roman" w:hAnsi="Times New Roman" w:eastAsia="宋体" w:cs="Times New Roman"/>
                <w:color w:val="auto"/>
                <w:sz w:val="21"/>
                <w:szCs w:val="21"/>
                <w:u w:val="none" w:color="auto"/>
                <w:vertAlign w:val="baseline"/>
                <w:lang w:val="en-US" w:eastAsia="zh-CN"/>
              </w:rPr>
            </w:pPr>
            <w:r>
              <w:rPr>
                <w:rFonts w:hint="eastAsia" w:ascii="Times New Roman" w:hAnsi="Times New Roman" w:eastAsia="宋体" w:cs="Times New Roman"/>
                <w:color w:val="auto"/>
                <w:sz w:val="21"/>
                <w:szCs w:val="21"/>
                <w:u w:val="none" w:color="auto"/>
                <w:vertAlign w:val="baseline"/>
                <w:lang w:val="en-US" w:eastAsia="zh-CN"/>
              </w:rPr>
              <w:t>/</w:t>
            </w:r>
          </w:p>
        </w:tc>
      </w:tr>
    </w:tbl>
    <w:p>
      <w:pPr>
        <w:ind w:left="0" w:leftChars="0" w:firstLine="480" w:firstLineChars="200"/>
        <w:rPr>
          <w:color w:val="auto"/>
        </w:rPr>
      </w:pPr>
      <w:r>
        <w:rPr>
          <w:color w:val="auto"/>
        </w:rPr>
        <w:t>根据《环境影响评价技术导则  地下水环境》（HJ 610-2016）中评价工作等级的划分应根据建设项目行业分类和地下水环境敏感程度分级进行判定，具体情况见表2.</w:t>
      </w:r>
      <w:r>
        <w:rPr>
          <w:rFonts w:hint="eastAsia"/>
          <w:color w:val="auto"/>
          <w:lang w:val="en-US" w:eastAsia="zh-CN"/>
        </w:rPr>
        <w:t>6</w:t>
      </w:r>
      <w:r>
        <w:rPr>
          <w:color w:val="auto"/>
        </w:rPr>
        <w:t>-</w:t>
      </w:r>
      <w:r>
        <w:rPr>
          <w:rFonts w:hint="eastAsia"/>
          <w:color w:val="auto"/>
          <w:lang w:val="en-US" w:eastAsia="zh-CN"/>
        </w:rPr>
        <w:t>5</w:t>
      </w:r>
      <w:r>
        <w:rPr>
          <w:color w:val="auto"/>
        </w:rPr>
        <w:t>。</w:t>
      </w:r>
    </w:p>
    <w:p>
      <w:pPr>
        <w:pStyle w:val="166"/>
        <w:spacing w:before="120" w:beforeLines="0"/>
        <w:rPr>
          <w:color w:val="auto"/>
        </w:rPr>
      </w:pPr>
      <w:r>
        <w:rPr>
          <w:color w:val="auto"/>
        </w:rPr>
        <w:t>表2.</w:t>
      </w:r>
      <w:r>
        <w:rPr>
          <w:rFonts w:hint="eastAsia"/>
          <w:color w:val="auto"/>
          <w:lang w:val="en-US" w:eastAsia="zh-CN"/>
        </w:rPr>
        <w:t>6</w:t>
      </w:r>
      <w:r>
        <w:rPr>
          <w:color w:val="auto"/>
        </w:rPr>
        <w:t>-</w:t>
      </w:r>
      <w:r>
        <w:rPr>
          <w:rFonts w:hint="eastAsia"/>
          <w:color w:val="auto"/>
          <w:lang w:val="en-US" w:eastAsia="zh-CN"/>
        </w:rPr>
        <w:t xml:space="preserve">5 </w:t>
      </w:r>
      <w:r>
        <w:rPr>
          <w:color w:val="auto"/>
        </w:rPr>
        <w:t>地下水环境敏感程度分级表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4"/>
        <w:gridCol w:w="74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74" w:type="dxa"/>
            <w:noWrap w:val="0"/>
            <w:vAlign w:val="center"/>
          </w:tcPr>
          <w:p>
            <w:pPr>
              <w:pStyle w:val="274"/>
              <w:spacing w:line="240" w:lineRule="auto"/>
              <w:rPr>
                <w:b/>
                <w:bCs/>
                <w:color w:val="auto"/>
              </w:rPr>
            </w:pPr>
            <w:r>
              <w:rPr>
                <w:b/>
                <w:bCs/>
                <w:color w:val="auto"/>
              </w:rPr>
              <w:t>分级</w:t>
            </w:r>
          </w:p>
        </w:tc>
        <w:tc>
          <w:tcPr>
            <w:tcW w:w="7429" w:type="dxa"/>
            <w:noWrap w:val="0"/>
            <w:vAlign w:val="center"/>
          </w:tcPr>
          <w:p>
            <w:pPr>
              <w:pStyle w:val="274"/>
              <w:spacing w:line="240" w:lineRule="auto"/>
              <w:rPr>
                <w:b/>
                <w:bCs/>
                <w:color w:val="auto"/>
              </w:rPr>
            </w:pPr>
            <w:r>
              <w:rPr>
                <w:b/>
                <w:bCs/>
                <w:color w:val="auto"/>
              </w:rPr>
              <w:t>项目场地的地下水环境敏感特征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74" w:type="dxa"/>
            <w:noWrap w:val="0"/>
            <w:vAlign w:val="center"/>
          </w:tcPr>
          <w:p>
            <w:pPr>
              <w:pStyle w:val="274"/>
              <w:spacing w:line="240" w:lineRule="auto"/>
              <w:rPr>
                <w:color w:val="auto"/>
              </w:rPr>
            </w:pPr>
            <w:r>
              <w:rPr>
                <w:color w:val="auto"/>
              </w:rPr>
              <w:t>敏感</w:t>
            </w:r>
          </w:p>
        </w:tc>
        <w:tc>
          <w:tcPr>
            <w:tcW w:w="7429" w:type="dxa"/>
            <w:noWrap w:val="0"/>
            <w:vAlign w:val="center"/>
          </w:tcPr>
          <w:p>
            <w:pPr>
              <w:pStyle w:val="274"/>
              <w:spacing w:line="240" w:lineRule="auto"/>
              <w:jc w:val="both"/>
              <w:rPr>
                <w:color w:val="auto"/>
              </w:rPr>
            </w:pPr>
            <w:r>
              <w:rPr>
                <w:color w:val="auto"/>
              </w:rPr>
              <w:t>集中式饮用水水源（包括已建成的在用、备用、应急水源地，在建和规划的水源地）准保护区；除集中式饮用水水源地以外的国家或地方政府设定的与地下水环境相关的其它保护区，如热水、矿泉水、温泉等特殊地下水资源保护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wBefore w:w="0" w:type="dxa"/>
          <w:wAfter w:w="0" w:type="dxa"/>
          <w:trHeight w:val="340" w:hRule="atLeast"/>
          <w:jc w:val="center"/>
        </w:trPr>
        <w:tc>
          <w:tcPr>
            <w:tcW w:w="1574" w:type="dxa"/>
            <w:noWrap w:val="0"/>
            <w:vAlign w:val="center"/>
          </w:tcPr>
          <w:p>
            <w:pPr>
              <w:pStyle w:val="274"/>
              <w:spacing w:line="240" w:lineRule="auto"/>
              <w:rPr>
                <w:color w:val="auto"/>
              </w:rPr>
            </w:pPr>
            <w:r>
              <w:rPr>
                <w:color w:val="auto"/>
              </w:rPr>
              <w:t>较敏感（√）</w:t>
            </w:r>
          </w:p>
        </w:tc>
        <w:tc>
          <w:tcPr>
            <w:tcW w:w="7429" w:type="dxa"/>
            <w:noWrap w:val="0"/>
            <w:vAlign w:val="center"/>
          </w:tcPr>
          <w:p>
            <w:pPr>
              <w:pStyle w:val="274"/>
              <w:spacing w:line="240" w:lineRule="auto"/>
              <w:jc w:val="both"/>
              <w:rPr>
                <w:color w:val="auto"/>
              </w:rPr>
            </w:pPr>
            <w:r>
              <w:rPr>
                <w:color w:val="auto"/>
              </w:rPr>
              <w:t>集中式饮用水水源（包括已建成的在用、备用、应急水源，在建和规划的饮用水水源）准保护区以外的补给径流区；未划定准保护区的集中水式饮用水水源，其保护区以外的补给径流区；</w:t>
            </w:r>
            <w:r>
              <w:rPr>
                <w:b/>
                <w:color w:val="auto"/>
              </w:rPr>
              <w:t>分散式饮用水水源地；</w:t>
            </w:r>
            <w:r>
              <w:rPr>
                <w:color w:val="auto"/>
              </w:rPr>
              <w:t>特殊地下水资源（如矿泉水、温泉等）保护区以外的分布区等其他未列入上述敏感分级的环境敏感区。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74" w:type="dxa"/>
            <w:noWrap w:val="0"/>
            <w:vAlign w:val="center"/>
          </w:tcPr>
          <w:p>
            <w:pPr>
              <w:pStyle w:val="274"/>
              <w:spacing w:line="240" w:lineRule="auto"/>
              <w:rPr>
                <w:color w:val="auto"/>
              </w:rPr>
            </w:pPr>
            <w:r>
              <w:rPr>
                <w:color w:val="auto"/>
              </w:rPr>
              <w:t>不敏感</w:t>
            </w:r>
          </w:p>
        </w:tc>
        <w:tc>
          <w:tcPr>
            <w:tcW w:w="7429" w:type="dxa"/>
            <w:noWrap w:val="0"/>
            <w:vAlign w:val="center"/>
          </w:tcPr>
          <w:p>
            <w:pPr>
              <w:pStyle w:val="274"/>
              <w:spacing w:line="240" w:lineRule="auto"/>
              <w:rPr>
                <w:color w:val="auto"/>
              </w:rPr>
            </w:pPr>
            <w:r>
              <w:rPr>
                <w:color w:val="auto"/>
              </w:rPr>
              <w:t>上述地区之外的其它地区。</w:t>
            </w:r>
          </w:p>
        </w:tc>
      </w:tr>
    </w:tbl>
    <w:p>
      <w:pPr>
        <w:spacing w:before="120" w:beforeLines="50"/>
        <w:ind w:firstLine="480"/>
        <w:rPr>
          <w:color w:val="auto"/>
        </w:rPr>
      </w:pPr>
      <w:r>
        <w:rPr>
          <w:color w:val="auto"/>
        </w:rPr>
        <w:t>根据现场调查和资料收集，本项目所在地不属于《环境影响评价技术导则  地下水环境》（HJ 610-2016）中所指的地下集中式饮用水水源地，也没有国家或地方政府设定的地下水环境相关其他保护区，项目养殖区域下游乡镇生活用水均为自来水，农村用水部分用水来自集中供水。项目养殖区周围部分分散居民以</w:t>
      </w:r>
      <w:r>
        <w:rPr>
          <w:rFonts w:hint="eastAsia"/>
          <w:color w:val="auto"/>
        </w:rPr>
        <w:t>井</w:t>
      </w:r>
      <w:r>
        <w:rPr>
          <w:color w:val="auto"/>
        </w:rPr>
        <w:t>水作为生活饮用 水源，每口井水供水规模小于1000人，属于地下水分散式饮用水水源地。因此，评价区地下水环境敏感程度属于</w:t>
      </w:r>
      <w:r>
        <w:rPr>
          <w:rFonts w:hint="eastAsia"/>
          <w:color w:val="auto"/>
        </w:rPr>
        <w:t>“</w:t>
      </w:r>
      <w:r>
        <w:rPr>
          <w:b/>
          <w:color w:val="auto"/>
        </w:rPr>
        <w:t>较敏感</w:t>
      </w:r>
      <w:r>
        <w:rPr>
          <w:rFonts w:hint="eastAsia"/>
          <w:color w:val="auto"/>
        </w:rPr>
        <w:t>”</w:t>
      </w:r>
      <w:r>
        <w:rPr>
          <w:color w:val="auto"/>
        </w:rPr>
        <w:t>。</w:t>
      </w:r>
    </w:p>
    <w:p>
      <w:pPr>
        <w:ind w:firstLine="480"/>
        <w:rPr>
          <w:color w:val="auto"/>
        </w:rPr>
      </w:pPr>
      <w:r>
        <w:rPr>
          <w:color w:val="auto"/>
        </w:rPr>
        <w:t>根据项目敏感程度，结合《环境影响评价技术导则  地下水环境》（HJ 610-2016）中建设项目评价工作等级划分表的要求，地下水评价等级划分情况见表2.6-</w:t>
      </w:r>
      <w:r>
        <w:rPr>
          <w:rFonts w:hint="eastAsia"/>
          <w:color w:val="auto"/>
          <w:lang w:val="en-US" w:eastAsia="zh-CN"/>
        </w:rPr>
        <w:t>6</w:t>
      </w:r>
      <w:r>
        <w:rPr>
          <w:color w:val="auto"/>
        </w:rPr>
        <w:t>。</w:t>
      </w:r>
    </w:p>
    <w:p>
      <w:pPr>
        <w:pStyle w:val="166"/>
        <w:spacing w:before="120" w:beforeLines="0"/>
        <w:rPr>
          <w:color w:val="auto"/>
        </w:rPr>
      </w:pPr>
      <w:r>
        <w:rPr>
          <w:color w:val="auto"/>
        </w:rPr>
        <w:t>表2.6-</w:t>
      </w:r>
      <w:r>
        <w:rPr>
          <w:rFonts w:hint="eastAsia"/>
          <w:color w:val="auto"/>
          <w:lang w:val="en-US" w:eastAsia="zh-CN"/>
        </w:rPr>
        <w:t>6</w:t>
      </w:r>
      <w:r>
        <w:rPr>
          <w:color w:val="auto"/>
        </w:rPr>
        <w:t xml:space="preserve">    地下水评价工作等级分级表</w:t>
      </w:r>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0"/>
        <w:gridCol w:w="2220"/>
        <w:gridCol w:w="1905"/>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820" w:type="dxa"/>
            <w:tcBorders>
              <w:top w:val="single" w:color="auto" w:sz="12" w:space="0"/>
              <w:left w:val="nil"/>
              <w:tl2br w:val="single" w:color="auto" w:sz="4" w:space="0"/>
            </w:tcBorders>
            <w:noWrap w:val="0"/>
            <w:vAlign w:val="center"/>
          </w:tcPr>
          <w:p>
            <w:pPr>
              <w:pStyle w:val="274"/>
              <w:spacing w:line="240" w:lineRule="auto"/>
              <w:jc w:val="right"/>
              <w:rPr>
                <w:b/>
                <w:bCs/>
                <w:color w:val="auto"/>
              </w:rPr>
            </w:pPr>
            <w:r>
              <w:rPr>
                <w:b/>
                <w:bCs/>
                <w:color w:val="auto"/>
              </w:rPr>
              <w:t xml:space="preserve">    项目类别</w:t>
            </w:r>
          </w:p>
          <w:p>
            <w:pPr>
              <w:pStyle w:val="274"/>
              <w:spacing w:line="240" w:lineRule="auto"/>
              <w:jc w:val="left"/>
              <w:rPr>
                <w:b/>
                <w:bCs/>
                <w:color w:val="auto"/>
              </w:rPr>
            </w:pPr>
            <w:r>
              <w:rPr>
                <w:b/>
                <w:bCs/>
                <w:color w:val="auto"/>
              </w:rPr>
              <w:t>环境敏感程度</w:t>
            </w:r>
          </w:p>
        </w:tc>
        <w:tc>
          <w:tcPr>
            <w:tcW w:w="2220" w:type="dxa"/>
            <w:tcBorders>
              <w:top w:val="single" w:color="auto" w:sz="12" w:space="0"/>
            </w:tcBorders>
            <w:noWrap w:val="0"/>
            <w:vAlign w:val="center"/>
          </w:tcPr>
          <w:p>
            <w:pPr>
              <w:pStyle w:val="274"/>
              <w:spacing w:line="240" w:lineRule="auto"/>
              <w:rPr>
                <w:b/>
                <w:bCs/>
                <w:color w:val="auto"/>
              </w:rPr>
            </w:pPr>
            <w:r>
              <w:rPr>
                <w:b/>
                <w:bCs/>
                <w:color w:val="auto"/>
              </w:rPr>
              <w:t>Ⅰ类项目</w:t>
            </w:r>
          </w:p>
        </w:tc>
        <w:tc>
          <w:tcPr>
            <w:tcW w:w="1905" w:type="dxa"/>
            <w:tcBorders>
              <w:top w:val="single" w:color="auto" w:sz="12" w:space="0"/>
            </w:tcBorders>
            <w:noWrap w:val="0"/>
            <w:vAlign w:val="center"/>
          </w:tcPr>
          <w:p>
            <w:pPr>
              <w:pStyle w:val="274"/>
              <w:spacing w:line="240" w:lineRule="auto"/>
              <w:rPr>
                <w:b/>
                <w:bCs/>
                <w:color w:val="auto"/>
              </w:rPr>
            </w:pPr>
            <w:r>
              <w:rPr>
                <w:b/>
                <w:bCs/>
                <w:color w:val="auto"/>
              </w:rPr>
              <w:t>Ⅱ类项目</w:t>
            </w:r>
          </w:p>
        </w:tc>
        <w:tc>
          <w:tcPr>
            <w:tcW w:w="2058" w:type="dxa"/>
            <w:tcBorders>
              <w:top w:val="single" w:color="auto" w:sz="12" w:space="0"/>
              <w:right w:val="nil"/>
            </w:tcBorders>
            <w:noWrap w:val="0"/>
            <w:vAlign w:val="center"/>
          </w:tcPr>
          <w:p>
            <w:pPr>
              <w:pStyle w:val="274"/>
              <w:spacing w:line="240" w:lineRule="auto"/>
              <w:rPr>
                <w:b/>
                <w:bCs/>
                <w:color w:val="auto"/>
              </w:rPr>
            </w:pPr>
            <w:r>
              <w:rPr>
                <w:b/>
                <w:bCs/>
                <w:color w:val="auto"/>
              </w:rPr>
              <w:t>Ⅲ类项目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820" w:type="dxa"/>
            <w:tcBorders>
              <w:left w:val="nil"/>
            </w:tcBorders>
            <w:noWrap w:val="0"/>
            <w:vAlign w:val="center"/>
          </w:tcPr>
          <w:p>
            <w:pPr>
              <w:pStyle w:val="274"/>
              <w:spacing w:line="240" w:lineRule="auto"/>
              <w:rPr>
                <w:color w:val="auto"/>
              </w:rPr>
            </w:pPr>
            <w:r>
              <w:rPr>
                <w:color w:val="auto"/>
              </w:rPr>
              <w:t>敏感</w:t>
            </w:r>
          </w:p>
        </w:tc>
        <w:tc>
          <w:tcPr>
            <w:tcW w:w="2220" w:type="dxa"/>
            <w:noWrap w:val="0"/>
            <w:vAlign w:val="center"/>
          </w:tcPr>
          <w:p>
            <w:pPr>
              <w:pStyle w:val="274"/>
              <w:spacing w:line="240" w:lineRule="auto"/>
              <w:rPr>
                <w:color w:val="auto"/>
              </w:rPr>
            </w:pPr>
            <w:r>
              <w:rPr>
                <w:color w:val="auto"/>
              </w:rPr>
              <w:t>一</w:t>
            </w:r>
          </w:p>
        </w:tc>
        <w:tc>
          <w:tcPr>
            <w:tcW w:w="1905" w:type="dxa"/>
            <w:noWrap w:val="0"/>
            <w:vAlign w:val="center"/>
          </w:tcPr>
          <w:p>
            <w:pPr>
              <w:pStyle w:val="274"/>
              <w:spacing w:line="240" w:lineRule="auto"/>
              <w:rPr>
                <w:color w:val="auto"/>
              </w:rPr>
            </w:pPr>
            <w:r>
              <w:rPr>
                <w:color w:val="auto"/>
              </w:rPr>
              <w:t>一</w:t>
            </w:r>
          </w:p>
        </w:tc>
        <w:tc>
          <w:tcPr>
            <w:tcW w:w="2058" w:type="dxa"/>
            <w:tcBorders>
              <w:bottom w:val="single" w:color="auto" w:sz="4" w:space="0"/>
              <w:right w:val="nil"/>
            </w:tcBorders>
            <w:noWrap w:val="0"/>
            <w:vAlign w:val="center"/>
          </w:tcPr>
          <w:p>
            <w:pPr>
              <w:pStyle w:val="274"/>
              <w:spacing w:line="240" w:lineRule="auto"/>
              <w:rPr>
                <w:color w:val="auto"/>
              </w:rPr>
            </w:pPr>
            <w:r>
              <w:rPr>
                <w:color w:val="auto"/>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820" w:type="dxa"/>
            <w:tcBorders>
              <w:left w:val="nil"/>
            </w:tcBorders>
            <w:shd w:val="clear" w:color="auto" w:fill="auto"/>
            <w:noWrap w:val="0"/>
            <w:vAlign w:val="center"/>
          </w:tcPr>
          <w:p>
            <w:pPr>
              <w:pStyle w:val="274"/>
              <w:spacing w:line="240" w:lineRule="auto"/>
              <w:rPr>
                <w:color w:val="auto"/>
              </w:rPr>
            </w:pPr>
            <w:r>
              <w:rPr>
                <w:color w:val="auto"/>
              </w:rPr>
              <w:t>较敏感</w:t>
            </w:r>
          </w:p>
        </w:tc>
        <w:tc>
          <w:tcPr>
            <w:tcW w:w="2220" w:type="dxa"/>
            <w:shd w:val="clear" w:color="auto" w:fill="auto"/>
            <w:noWrap w:val="0"/>
            <w:vAlign w:val="center"/>
          </w:tcPr>
          <w:p>
            <w:pPr>
              <w:pStyle w:val="274"/>
              <w:spacing w:line="240" w:lineRule="auto"/>
              <w:rPr>
                <w:color w:val="auto"/>
              </w:rPr>
            </w:pPr>
            <w:r>
              <w:rPr>
                <w:color w:val="auto"/>
              </w:rPr>
              <w:t>一</w:t>
            </w:r>
          </w:p>
        </w:tc>
        <w:tc>
          <w:tcPr>
            <w:tcW w:w="1905" w:type="dxa"/>
            <w:shd w:val="clear" w:color="auto" w:fill="auto"/>
            <w:noWrap w:val="0"/>
            <w:vAlign w:val="center"/>
          </w:tcPr>
          <w:p>
            <w:pPr>
              <w:pStyle w:val="274"/>
              <w:spacing w:line="240" w:lineRule="auto"/>
              <w:rPr>
                <w:color w:val="auto"/>
              </w:rPr>
            </w:pPr>
            <w:r>
              <w:rPr>
                <w:color w:val="auto"/>
              </w:rPr>
              <w:t>二</w:t>
            </w:r>
          </w:p>
        </w:tc>
        <w:tc>
          <w:tcPr>
            <w:tcW w:w="2058" w:type="dxa"/>
            <w:tcBorders>
              <w:bottom w:val="single" w:color="auto" w:sz="4" w:space="0"/>
              <w:right w:val="nil"/>
            </w:tcBorders>
            <w:shd w:val="pct10" w:color="auto" w:fill="auto"/>
            <w:noWrap w:val="0"/>
            <w:vAlign w:val="center"/>
          </w:tcPr>
          <w:p>
            <w:pPr>
              <w:pStyle w:val="274"/>
              <w:spacing w:line="240" w:lineRule="auto"/>
              <w:rPr>
                <w:b/>
                <w:color w:val="auto"/>
              </w:rPr>
            </w:pPr>
            <w:r>
              <w:rPr>
                <w:b/>
                <w:color w:val="auto"/>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820" w:type="dxa"/>
            <w:tcBorders>
              <w:left w:val="nil"/>
              <w:bottom w:val="single" w:color="auto" w:sz="12" w:space="0"/>
            </w:tcBorders>
            <w:noWrap w:val="0"/>
            <w:vAlign w:val="center"/>
          </w:tcPr>
          <w:p>
            <w:pPr>
              <w:pStyle w:val="274"/>
              <w:spacing w:line="240" w:lineRule="auto"/>
              <w:rPr>
                <w:color w:val="auto"/>
              </w:rPr>
            </w:pPr>
            <w:r>
              <w:rPr>
                <w:color w:val="auto"/>
              </w:rPr>
              <w:t>不敏感</w:t>
            </w:r>
          </w:p>
        </w:tc>
        <w:tc>
          <w:tcPr>
            <w:tcW w:w="2220" w:type="dxa"/>
            <w:tcBorders>
              <w:bottom w:val="single" w:color="auto" w:sz="12" w:space="0"/>
            </w:tcBorders>
            <w:noWrap w:val="0"/>
            <w:vAlign w:val="center"/>
          </w:tcPr>
          <w:p>
            <w:pPr>
              <w:pStyle w:val="274"/>
              <w:spacing w:line="240" w:lineRule="auto"/>
              <w:rPr>
                <w:color w:val="auto"/>
              </w:rPr>
            </w:pPr>
            <w:r>
              <w:rPr>
                <w:color w:val="auto"/>
              </w:rPr>
              <w:t>二</w:t>
            </w:r>
          </w:p>
        </w:tc>
        <w:tc>
          <w:tcPr>
            <w:tcW w:w="1905" w:type="dxa"/>
            <w:tcBorders>
              <w:bottom w:val="single" w:color="auto" w:sz="12" w:space="0"/>
            </w:tcBorders>
            <w:noWrap w:val="0"/>
            <w:vAlign w:val="center"/>
          </w:tcPr>
          <w:p>
            <w:pPr>
              <w:pStyle w:val="274"/>
              <w:spacing w:line="240" w:lineRule="auto"/>
              <w:rPr>
                <w:color w:val="auto"/>
              </w:rPr>
            </w:pPr>
            <w:r>
              <w:rPr>
                <w:color w:val="auto"/>
              </w:rPr>
              <w:t>三</w:t>
            </w:r>
          </w:p>
        </w:tc>
        <w:tc>
          <w:tcPr>
            <w:tcW w:w="2058" w:type="dxa"/>
            <w:tcBorders>
              <w:bottom w:val="single" w:color="auto" w:sz="12" w:space="0"/>
              <w:right w:val="nil"/>
            </w:tcBorders>
            <w:noWrap w:val="0"/>
            <w:vAlign w:val="center"/>
          </w:tcPr>
          <w:p>
            <w:pPr>
              <w:pStyle w:val="274"/>
              <w:spacing w:line="240" w:lineRule="auto"/>
              <w:rPr>
                <w:color w:val="auto"/>
              </w:rPr>
            </w:pPr>
            <w:r>
              <w:rPr>
                <w:color w:val="auto"/>
              </w:rPr>
              <w:t>三</w:t>
            </w:r>
          </w:p>
        </w:tc>
      </w:tr>
    </w:tbl>
    <w:p>
      <w:pPr>
        <w:spacing w:before="120" w:beforeLines="50"/>
        <w:ind w:firstLine="480"/>
        <w:rPr>
          <w:color w:val="auto"/>
        </w:rPr>
      </w:pPr>
      <w:r>
        <w:rPr>
          <w:color w:val="auto"/>
        </w:rPr>
        <w:t>根据《环境影响评价技术导则  地下水环境》（HJ 610-2016）提供的评价等级划分原则与方法，本项目类别为Ⅲ类项目，环境敏感程度为“较敏感”，判定本项目地下水环境评价等级为三级。</w:t>
      </w:r>
    </w:p>
    <w:p>
      <w:pPr>
        <w:pStyle w:val="9"/>
        <w:spacing w:before="120" w:beforeLines="50"/>
        <w:rPr>
          <w:color w:val="auto"/>
        </w:rPr>
      </w:pPr>
      <w:r>
        <w:rPr>
          <w:color w:val="auto"/>
        </w:rPr>
        <w:t>评价范围</w:t>
      </w:r>
    </w:p>
    <w:p>
      <w:pPr>
        <w:pStyle w:val="16"/>
        <w:spacing w:line="360" w:lineRule="auto"/>
        <w:ind w:firstLine="480"/>
        <w:rPr>
          <w:rFonts w:ascii="Times New Roman" w:hAnsi="Times New Roman"/>
          <w:color w:val="auto"/>
        </w:rPr>
      </w:pPr>
      <w:r>
        <w:rPr>
          <w:rFonts w:ascii="Times New Roman" w:hAnsi="Times New Roman"/>
          <w:color w:val="auto"/>
        </w:rPr>
        <w:t>地下水环境影响评价范围为建设项目所在区域同一水文地质单元，采用查表法确定地下水评价范围为建设项目所在地及周边</w:t>
      </w:r>
      <w:r>
        <w:rPr>
          <w:rFonts w:hint="eastAsia" w:ascii="Times New Roman" w:hAnsi="Times New Roman"/>
          <w:color w:val="auto"/>
        </w:rPr>
        <w:t>独立水文地质单元，不大于</w:t>
      </w:r>
      <w:r>
        <w:rPr>
          <w:rFonts w:ascii="Times New Roman" w:hAnsi="Times New Roman"/>
          <w:color w:val="auto"/>
        </w:rPr>
        <w:t>6km</w:t>
      </w:r>
      <w:r>
        <w:rPr>
          <w:rFonts w:ascii="Times New Roman" w:hAnsi="Times New Roman"/>
          <w:color w:val="auto"/>
          <w:vertAlign w:val="superscript"/>
        </w:rPr>
        <w:t>2</w:t>
      </w:r>
      <w:r>
        <w:rPr>
          <w:rFonts w:ascii="Times New Roman" w:hAnsi="Times New Roman"/>
          <w:color w:val="auto"/>
        </w:rPr>
        <w:t>的范围。</w:t>
      </w:r>
    </w:p>
    <w:p>
      <w:pPr>
        <w:pStyle w:val="8"/>
        <w:tabs>
          <w:tab w:val="clear" w:pos="0"/>
        </w:tabs>
        <w:rPr>
          <w:rFonts w:eastAsia="黑体"/>
          <w:color w:val="auto"/>
          <w:sz w:val="28"/>
          <w:szCs w:val="28"/>
        </w:rPr>
      </w:pPr>
      <w:r>
        <w:rPr>
          <w:rFonts w:eastAsia="黑体"/>
          <w:color w:val="auto"/>
          <w:sz w:val="28"/>
          <w:szCs w:val="28"/>
        </w:rPr>
        <w:t>声环境</w:t>
      </w:r>
    </w:p>
    <w:p>
      <w:pPr>
        <w:pStyle w:val="9"/>
        <w:spacing w:before="120" w:beforeLines="50"/>
        <w:rPr>
          <w:color w:val="auto"/>
        </w:rPr>
      </w:pPr>
      <w:r>
        <w:rPr>
          <w:color w:val="auto"/>
        </w:rPr>
        <w:t>评价等级</w:t>
      </w:r>
    </w:p>
    <w:p>
      <w:pPr>
        <w:ind w:firstLine="480"/>
        <w:rPr>
          <w:color w:val="auto"/>
        </w:rPr>
      </w:pPr>
      <w:r>
        <w:rPr>
          <w:color w:val="auto"/>
        </w:rPr>
        <w:t>根据《环境影响评价技术导则  声环境》（HJ2.4-2009）的规定，结合项目特点，本项目声环境影响评价工作等级判定见表2.</w:t>
      </w:r>
      <w:r>
        <w:rPr>
          <w:rFonts w:hint="eastAsia"/>
          <w:color w:val="auto"/>
          <w:lang w:val="en-US" w:eastAsia="zh-CN"/>
        </w:rPr>
        <w:t>6</w:t>
      </w:r>
      <w:r>
        <w:rPr>
          <w:color w:val="auto"/>
        </w:rPr>
        <w:t>-</w:t>
      </w:r>
      <w:r>
        <w:rPr>
          <w:rFonts w:hint="eastAsia"/>
          <w:color w:val="auto"/>
          <w:lang w:val="en-US" w:eastAsia="zh-CN"/>
        </w:rPr>
        <w:t>7</w:t>
      </w:r>
      <w:r>
        <w:rPr>
          <w:color w:val="auto"/>
        </w:rPr>
        <w:t>。</w:t>
      </w:r>
    </w:p>
    <w:p>
      <w:pPr>
        <w:pStyle w:val="166"/>
        <w:spacing w:before="120" w:beforeLines="0" w:line="240" w:lineRule="auto"/>
        <w:rPr>
          <w:color w:val="auto"/>
        </w:rPr>
      </w:pPr>
      <w:r>
        <w:rPr>
          <w:color w:val="auto"/>
        </w:rPr>
        <w:t>表2.</w:t>
      </w:r>
      <w:r>
        <w:rPr>
          <w:rFonts w:hint="eastAsia"/>
          <w:color w:val="auto"/>
          <w:lang w:val="en-US" w:eastAsia="zh-CN"/>
        </w:rPr>
        <w:t>6</w:t>
      </w:r>
      <w:r>
        <w:rPr>
          <w:color w:val="auto"/>
        </w:rPr>
        <w:noBreakHyphen/>
      </w:r>
      <w:r>
        <w:rPr>
          <w:rFonts w:hint="eastAsia"/>
          <w:color w:val="auto"/>
          <w:lang w:val="en-US" w:eastAsia="zh-CN"/>
        </w:rPr>
        <w:t xml:space="preserve">7 </w:t>
      </w:r>
      <w:r>
        <w:rPr>
          <w:color w:val="auto"/>
        </w:rPr>
        <w:t>声环境影响评价工作等级判定表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75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评价工作等级</w:t>
            </w:r>
          </w:p>
        </w:tc>
        <w:tc>
          <w:tcPr>
            <w:tcW w:w="4214"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评价工作等级分级判据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一级</w:t>
            </w:r>
          </w:p>
        </w:tc>
        <w:tc>
          <w:tcPr>
            <w:tcW w:w="4214"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符合《声环境质量标准》（GB3096-2008）规定的0类声功能区域以及对噪声有特别限制要求的保护区等敏感目标，或建设项目建设前后评价范围内敏感保护目标噪声级增高量达5dB（A）以上【不含dB（A）】，或受影响人口数量显著增多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二级</w:t>
            </w:r>
          </w:p>
        </w:tc>
        <w:tc>
          <w:tcPr>
            <w:tcW w:w="4214"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符合《声环境质量标准》（GB3096-2008）规定的1，2类声功能区域以及对噪声有特别限制要求的保护区等敏感目标，或建设项目建设前后评价范围内敏感保护目标噪声及增高量达3~5dB（A）以上【含5dB（A）】，或受噪声影响人口数量增加较多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三级</w:t>
            </w:r>
          </w:p>
        </w:tc>
        <w:tc>
          <w:tcPr>
            <w:tcW w:w="4214"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default" w:ascii="Times New Roman" w:hAnsi="Times New Roman" w:eastAsia="宋体"/>
                <w:b w:val="0"/>
                <w:bCs/>
                <w:color w:val="auto"/>
                <w:sz w:val="21"/>
                <w:szCs w:val="21"/>
                <w:lang w:val="en-US" w:eastAsia="zh-CN"/>
              </w:rPr>
            </w:pPr>
            <w:r>
              <w:rPr>
                <w:rFonts w:hint="default" w:ascii="Times New Roman" w:hAnsi="Times New Roman" w:eastAsia="宋体"/>
                <w:b w:val="0"/>
                <w:bCs/>
                <w:color w:val="auto"/>
                <w:sz w:val="21"/>
                <w:szCs w:val="21"/>
                <w:lang w:val="en-US" w:eastAsia="zh-CN"/>
              </w:rPr>
              <w:t>符合《声环境质量标准》（GB3096-2008）规定的3，4类声功能区域以及对噪声有特别限制要求的保护区等敏感目标，或建设项目建设前后评价范围内敏感保护目标噪声及增高量达3dB（A）以下【不含3dB（A）】，且受噪声影响人口数量变化大时。</w:t>
            </w:r>
          </w:p>
        </w:tc>
      </w:tr>
    </w:tbl>
    <w:p>
      <w:pPr>
        <w:spacing w:before="120" w:beforeLines="50"/>
        <w:ind w:firstLine="480"/>
        <w:rPr>
          <w:color w:val="auto"/>
        </w:rPr>
      </w:pPr>
      <w:r>
        <w:rPr>
          <w:color w:val="auto"/>
        </w:rPr>
        <w:t>本项目位于</w:t>
      </w:r>
      <w:r>
        <w:rPr>
          <w:rFonts w:hint="eastAsia"/>
          <w:color w:val="auto"/>
          <w:lang w:eastAsia="zh-CN"/>
        </w:rPr>
        <w:t>游仙区盐泉镇通远村（原葫芦村4社）</w:t>
      </w:r>
      <w:r>
        <w:rPr>
          <w:color w:val="auto"/>
        </w:rPr>
        <w:t>，为2类声环境功能区。项目建设前后评价范围内敏感目标噪声级增高量在3dB(A)以下（不含3dB(A)），且受影响人口数量变化不大。根据《环境影响评价技术导则  声环境》（HJ/T2.4-2009），确定本次声环境影响评价等级为二级。</w:t>
      </w:r>
    </w:p>
    <w:p>
      <w:pPr>
        <w:pStyle w:val="9"/>
        <w:spacing w:before="120" w:beforeLines="50"/>
        <w:rPr>
          <w:color w:val="auto"/>
        </w:rPr>
      </w:pPr>
      <w:r>
        <w:rPr>
          <w:color w:val="auto"/>
        </w:rPr>
        <w:t>评价范围</w:t>
      </w:r>
    </w:p>
    <w:p>
      <w:pPr>
        <w:pStyle w:val="16"/>
        <w:spacing w:line="360" w:lineRule="auto"/>
        <w:ind w:firstLine="480"/>
        <w:rPr>
          <w:rFonts w:ascii="Times New Roman" w:hAnsi="Times New Roman"/>
          <w:color w:val="auto"/>
        </w:rPr>
      </w:pPr>
      <w:r>
        <w:rPr>
          <w:rFonts w:ascii="Times New Roman" w:hAnsi="Times New Roman"/>
          <w:color w:val="auto"/>
        </w:rPr>
        <w:t>声环境影响评价范围确定为项目厂区边界外200m范围内的区域。</w:t>
      </w:r>
    </w:p>
    <w:p>
      <w:pPr>
        <w:pStyle w:val="8"/>
        <w:tabs>
          <w:tab w:val="clear" w:pos="0"/>
        </w:tabs>
        <w:rPr>
          <w:rFonts w:eastAsia="黑体"/>
          <w:color w:val="auto"/>
          <w:sz w:val="28"/>
          <w:szCs w:val="28"/>
        </w:rPr>
      </w:pPr>
      <w:r>
        <w:rPr>
          <w:rFonts w:eastAsia="黑体"/>
          <w:color w:val="auto"/>
          <w:sz w:val="28"/>
          <w:szCs w:val="28"/>
        </w:rPr>
        <w:t>环境风险</w:t>
      </w:r>
    </w:p>
    <w:p>
      <w:pPr>
        <w:pStyle w:val="9"/>
        <w:spacing w:before="120" w:beforeLines="50"/>
        <w:rPr>
          <w:color w:val="auto"/>
        </w:rPr>
      </w:pPr>
      <w:r>
        <w:rPr>
          <w:color w:val="auto"/>
        </w:rPr>
        <w:t>评价等级</w:t>
      </w:r>
    </w:p>
    <w:p>
      <w:pPr>
        <w:ind w:firstLine="480"/>
        <w:rPr>
          <w:color w:val="auto"/>
        </w:rPr>
      </w:pPr>
      <w:r>
        <w:rPr>
          <w:rFonts w:hint="eastAsia"/>
          <w:color w:val="auto"/>
        </w:rPr>
        <w:t>本项目场区涉及沼气、柴油的使用，Q＜1。</w:t>
      </w:r>
      <w:r>
        <w:rPr>
          <w:color w:val="auto"/>
        </w:rPr>
        <w:t>根据《建设项目环境风险评价技术导则》（HJ169-2018）第4.3节中确定评价工作级别的方法，确定本项目环境风险评价等级为简单分析。</w:t>
      </w:r>
    </w:p>
    <w:p>
      <w:pPr>
        <w:pStyle w:val="166"/>
        <w:spacing w:before="120" w:beforeLines="0"/>
        <w:rPr>
          <w:color w:val="auto"/>
        </w:rPr>
      </w:pPr>
      <w:r>
        <w:rPr>
          <w:color w:val="auto"/>
        </w:rPr>
        <w:t>表2.</w:t>
      </w:r>
      <w:r>
        <w:rPr>
          <w:rFonts w:hint="eastAsia"/>
          <w:color w:val="auto"/>
          <w:lang w:val="en-US" w:eastAsia="zh-CN"/>
        </w:rPr>
        <w:t>6</w:t>
      </w:r>
      <w:r>
        <w:rPr>
          <w:color w:val="auto"/>
        </w:rPr>
        <w:t>-</w:t>
      </w:r>
      <w:r>
        <w:rPr>
          <w:rFonts w:hint="eastAsia"/>
          <w:color w:val="auto"/>
          <w:lang w:val="en-US" w:eastAsia="zh-CN"/>
        </w:rPr>
        <w:t xml:space="preserve">8 </w:t>
      </w:r>
      <w:r>
        <w:rPr>
          <w:color w:val="auto"/>
        </w:rPr>
        <w:t>项目环境风险评价等级判别表</w:t>
      </w:r>
    </w:p>
    <w:tbl>
      <w:tblPr>
        <w:tblStyle w:val="51"/>
        <w:tblW w:w="0" w:type="auto"/>
        <w:jc w:val="center"/>
        <w:tblLayout w:type="fixed"/>
        <w:tblCellMar>
          <w:top w:w="0" w:type="dxa"/>
          <w:left w:w="0" w:type="dxa"/>
          <w:bottom w:w="0" w:type="dxa"/>
          <w:right w:w="0" w:type="dxa"/>
        </w:tblCellMar>
      </w:tblPr>
      <w:tblGrid>
        <w:gridCol w:w="1718"/>
        <w:gridCol w:w="1278"/>
        <w:gridCol w:w="1573"/>
        <w:gridCol w:w="1659"/>
        <w:gridCol w:w="2559"/>
      </w:tblGrid>
      <w:tr>
        <w:tblPrEx>
          <w:tblCellMar>
            <w:top w:w="0" w:type="dxa"/>
            <w:left w:w="0" w:type="dxa"/>
            <w:bottom w:w="0" w:type="dxa"/>
            <w:right w:w="0" w:type="dxa"/>
          </w:tblCellMar>
        </w:tblPrEx>
        <w:trPr>
          <w:wBefore w:w="0" w:type="dxa"/>
          <w:wAfter w:w="0" w:type="dxa"/>
          <w:trHeight w:val="340" w:hRule="exact"/>
          <w:jc w:val="center"/>
        </w:trPr>
        <w:tc>
          <w:tcPr>
            <w:tcW w:w="1718" w:type="dxa"/>
            <w:tcBorders>
              <w:top w:val="single" w:color="auto" w:sz="12" w:space="0"/>
              <w:bottom w:val="single" w:color="000000" w:sz="6" w:space="0"/>
              <w:right w:val="single" w:color="000000" w:sz="4" w:space="0"/>
            </w:tcBorders>
            <w:shd w:val="clear" w:color="auto" w:fill="auto"/>
            <w:noWrap w:val="0"/>
            <w:vAlign w:val="center"/>
          </w:tcPr>
          <w:p>
            <w:pPr>
              <w:pStyle w:val="332"/>
              <w:kinsoku w:val="0"/>
              <w:overflowPunct w:val="0"/>
              <w:jc w:val="center"/>
              <w:rPr>
                <w:b/>
                <w:color w:val="auto"/>
                <w:sz w:val="20"/>
                <w:szCs w:val="20"/>
              </w:rPr>
            </w:pPr>
            <w:r>
              <w:rPr>
                <w:b/>
                <w:color w:val="auto"/>
                <w:sz w:val="20"/>
                <w:szCs w:val="20"/>
              </w:rPr>
              <w:t>环境风险潜势</w:t>
            </w:r>
          </w:p>
        </w:tc>
        <w:tc>
          <w:tcPr>
            <w:tcW w:w="1278" w:type="dxa"/>
            <w:tcBorders>
              <w:top w:val="single" w:color="auto" w:sz="12"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jc w:val="center"/>
              <w:rPr>
                <w:b/>
                <w:color w:val="auto"/>
                <w:sz w:val="20"/>
                <w:szCs w:val="20"/>
              </w:rPr>
            </w:pPr>
            <w:r>
              <w:rPr>
                <w:b/>
                <w:color w:val="auto"/>
                <w:sz w:val="20"/>
                <w:szCs w:val="20"/>
              </w:rPr>
              <w:t>Ⅳ、Ⅳ</w:t>
            </w:r>
            <w:r>
              <w:rPr>
                <w:b/>
                <w:color w:val="auto"/>
                <w:position w:val="7"/>
                <w:sz w:val="20"/>
                <w:szCs w:val="20"/>
              </w:rPr>
              <w:t>+</w:t>
            </w:r>
          </w:p>
        </w:tc>
        <w:tc>
          <w:tcPr>
            <w:tcW w:w="1573" w:type="dxa"/>
            <w:tcBorders>
              <w:top w:val="single" w:color="auto" w:sz="12"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jc w:val="center"/>
              <w:rPr>
                <w:b/>
                <w:color w:val="auto"/>
                <w:sz w:val="20"/>
                <w:szCs w:val="20"/>
              </w:rPr>
            </w:pPr>
            <w:r>
              <w:rPr>
                <w:b/>
                <w:color w:val="auto"/>
                <w:w w:val="99"/>
                <w:sz w:val="20"/>
                <w:szCs w:val="20"/>
              </w:rPr>
              <w:t>Ⅲ</w:t>
            </w:r>
          </w:p>
        </w:tc>
        <w:tc>
          <w:tcPr>
            <w:tcW w:w="1659" w:type="dxa"/>
            <w:tcBorders>
              <w:top w:val="single" w:color="auto" w:sz="12"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ind w:right="1"/>
              <w:jc w:val="center"/>
              <w:rPr>
                <w:b/>
                <w:color w:val="auto"/>
                <w:sz w:val="20"/>
                <w:szCs w:val="20"/>
              </w:rPr>
            </w:pPr>
            <w:r>
              <w:rPr>
                <w:b/>
                <w:color w:val="auto"/>
                <w:w w:val="99"/>
                <w:sz w:val="20"/>
                <w:szCs w:val="20"/>
              </w:rPr>
              <w:t>Ⅱ</w:t>
            </w:r>
          </w:p>
        </w:tc>
        <w:tc>
          <w:tcPr>
            <w:tcW w:w="2559" w:type="dxa"/>
            <w:tcBorders>
              <w:top w:val="single" w:color="auto" w:sz="12" w:space="0"/>
              <w:left w:val="single" w:color="000000" w:sz="4" w:space="0"/>
              <w:bottom w:val="single" w:color="000000" w:sz="6" w:space="0"/>
            </w:tcBorders>
            <w:shd w:val="pct10" w:color="auto" w:fill="auto"/>
            <w:noWrap w:val="0"/>
            <w:vAlign w:val="center"/>
          </w:tcPr>
          <w:p>
            <w:pPr>
              <w:pStyle w:val="332"/>
              <w:kinsoku w:val="0"/>
              <w:overflowPunct w:val="0"/>
              <w:jc w:val="center"/>
              <w:rPr>
                <w:b/>
                <w:color w:val="auto"/>
                <w:sz w:val="20"/>
                <w:szCs w:val="20"/>
              </w:rPr>
            </w:pPr>
            <w:r>
              <w:rPr>
                <w:b/>
                <w:color w:val="auto"/>
                <w:w w:val="99"/>
                <w:sz w:val="20"/>
                <w:szCs w:val="20"/>
              </w:rPr>
              <w:t>Ⅰ</w:t>
            </w:r>
          </w:p>
        </w:tc>
      </w:tr>
      <w:tr>
        <w:tblPrEx>
          <w:tblCellMar>
            <w:top w:w="0" w:type="dxa"/>
            <w:left w:w="0" w:type="dxa"/>
            <w:bottom w:w="0" w:type="dxa"/>
            <w:right w:w="0" w:type="dxa"/>
          </w:tblCellMar>
        </w:tblPrEx>
        <w:trPr>
          <w:wBefore w:w="0" w:type="dxa"/>
          <w:wAfter w:w="0" w:type="dxa"/>
          <w:trHeight w:val="340" w:hRule="exact"/>
          <w:jc w:val="center"/>
        </w:trPr>
        <w:tc>
          <w:tcPr>
            <w:tcW w:w="1718" w:type="dxa"/>
            <w:tcBorders>
              <w:top w:val="single" w:color="000000" w:sz="6" w:space="0"/>
              <w:bottom w:val="single" w:color="000000" w:sz="6" w:space="0"/>
              <w:right w:val="single" w:color="000000" w:sz="4" w:space="0"/>
            </w:tcBorders>
            <w:shd w:val="clear" w:color="auto" w:fill="auto"/>
            <w:noWrap w:val="0"/>
            <w:vAlign w:val="center"/>
          </w:tcPr>
          <w:p>
            <w:pPr>
              <w:pStyle w:val="332"/>
              <w:kinsoku w:val="0"/>
              <w:overflowPunct w:val="0"/>
              <w:jc w:val="center"/>
              <w:rPr>
                <w:color w:val="auto"/>
                <w:sz w:val="20"/>
                <w:szCs w:val="20"/>
              </w:rPr>
            </w:pPr>
            <w:r>
              <w:rPr>
                <w:color w:val="auto"/>
                <w:sz w:val="20"/>
                <w:szCs w:val="20"/>
              </w:rPr>
              <w:t>评价工作等级</w:t>
            </w:r>
          </w:p>
        </w:tc>
        <w:tc>
          <w:tcPr>
            <w:tcW w:w="1278" w:type="dxa"/>
            <w:tcBorders>
              <w:top w:val="single" w:color="000000" w:sz="6"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ind w:right="1"/>
              <w:jc w:val="center"/>
              <w:rPr>
                <w:color w:val="auto"/>
                <w:sz w:val="20"/>
                <w:szCs w:val="20"/>
              </w:rPr>
            </w:pPr>
            <w:r>
              <w:rPr>
                <w:color w:val="auto"/>
                <w:w w:val="99"/>
                <w:sz w:val="20"/>
                <w:szCs w:val="20"/>
              </w:rPr>
              <w:t>一</w:t>
            </w:r>
          </w:p>
        </w:tc>
        <w:tc>
          <w:tcPr>
            <w:tcW w:w="1573" w:type="dxa"/>
            <w:tcBorders>
              <w:top w:val="single" w:color="000000" w:sz="6"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ind w:left="1"/>
              <w:jc w:val="center"/>
              <w:rPr>
                <w:color w:val="auto"/>
                <w:sz w:val="20"/>
                <w:szCs w:val="20"/>
              </w:rPr>
            </w:pPr>
            <w:r>
              <w:rPr>
                <w:color w:val="auto"/>
                <w:w w:val="99"/>
                <w:sz w:val="20"/>
                <w:szCs w:val="20"/>
              </w:rPr>
              <w:t>二</w:t>
            </w:r>
          </w:p>
        </w:tc>
        <w:tc>
          <w:tcPr>
            <w:tcW w:w="1659" w:type="dxa"/>
            <w:tcBorders>
              <w:top w:val="single" w:color="000000" w:sz="6" w:space="0"/>
              <w:left w:val="single" w:color="000000" w:sz="4" w:space="0"/>
              <w:bottom w:val="single" w:color="000000" w:sz="6" w:space="0"/>
              <w:right w:val="single" w:color="000000" w:sz="4" w:space="0"/>
            </w:tcBorders>
            <w:shd w:val="clear" w:color="auto" w:fill="auto"/>
            <w:noWrap w:val="0"/>
            <w:vAlign w:val="center"/>
          </w:tcPr>
          <w:p>
            <w:pPr>
              <w:pStyle w:val="332"/>
              <w:kinsoku w:val="0"/>
              <w:overflowPunct w:val="0"/>
              <w:ind w:right="1"/>
              <w:jc w:val="center"/>
              <w:rPr>
                <w:color w:val="auto"/>
                <w:sz w:val="20"/>
                <w:szCs w:val="20"/>
              </w:rPr>
            </w:pPr>
            <w:r>
              <w:rPr>
                <w:color w:val="auto"/>
                <w:w w:val="99"/>
                <w:sz w:val="20"/>
                <w:szCs w:val="20"/>
              </w:rPr>
              <w:t>三</w:t>
            </w:r>
          </w:p>
        </w:tc>
        <w:tc>
          <w:tcPr>
            <w:tcW w:w="2559" w:type="dxa"/>
            <w:tcBorders>
              <w:top w:val="single" w:color="000000" w:sz="6" w:space="0"/>
              <w:left w:val="single" w:color="000000" w:sz="4" w:space="0"/>
              <w:bottom w:val="single" w:color="000000" w:sz="6" w:space="0"/>
            </w:tcBorders>
            <w:shd w:val="pct10" w:color="auto" w:fill="auto"/>
            <w:noWrap w:val="0"/>
            <w:vAlign w:val="center"/>
          </w:tcPr>
          <w:p>
            <w:pPr>
              <w:pStyle w:val="332"/>
              <w:kinsoku w:val="0"/>
              <w:overflowPunct w:val="0"/>
              <w:jc w:val="center"/>
              <w:rPr>
                <w:b/>
                <w:color w:val="auto"/>
                <w:sz w:val="20"/>
                <w:szCs w:val="20"/>
              </w:rPr>
            </w:pPr>
            <w:r>
              <w:rPr>
                <w:b/>
                <w:color w:val="auto"/>
                <w:sz w:val="20"/>
                <w:szCs w:val="20"/>
              </w:rPr>
              <w:t>简单分析</w:t>
            </w:r>
            <w:r>
              <w:rPr>
                <w:b/>
                <w:color w:val="auto"/>
                <w:spacing w:val="-52"/>
                <w:sz w:val="20"/>
                <w:szCs w:val="20"/>
              </w:rPr>
              <w:t xml:space="preserve"> </w:t>
            </w:r>
            <w:r>
              <w:rPr>
                <w:b/>
                <w:color w:val="auto"/>
                <w:position w:val="7"/>
                <w:sz w:val="20"/>
                <w:szCs w:val="20"/>
              </w:rPr>
              <w:t>a</w:t>
            </w:r>
          </w:p>
        </w:tc>
      </w:tr>
      <w:tr>
        <w:tblPrEx>
          <w:tblCellMar>
            <w:top w:w="0" w:type="dxa"/>
            <w:left w:w="0" w:type="dxa"/>
            <w:bottom w:w="0" w:type="dxa"/>
            <w:right w:w="0" w:type="dxa"/>
          </w:tblCellMar>
        </w:tblPrEx>
        <w:trPr>
          <w:wBefore w:w="0" w:type="dxa"/>
          <w:wAfter w:w="0" w:type="dxa"/>
          <w:trHeight w:val="340" w:hRule="exact"/>
          <w:jc w:val="center"/>
        </w:trPr>
        <w:tc>
          <w:tcPr>
            <w:tcW w:w="8787" w:type="dxa"/>
            <w:gridSpan w:val="5"/>
            <w:tcBorders>
              <w:top w:val="single" w:color="000000" w:sz="6" w:space="0"/>
              <w:bottom w:val="single" w:color="auto" w:sz="12" w:space="0"/>
            </w:tcBorders>
            <w:noWrap w:val="0"/>
            <w:vAlign w:val="center"/>
          </w:tcPr>
          <w:p>
            <w:pPr>
              <w:pStyle w:val="332"/>
              <w:kinsoku w:val="0"/>
              <w:overflowPunct w:val="0"/>
              <w:ind w:left="99" w:right="101"/>
              <w:rPr>
                <w:color w:val="auto"/>
                <w:sz w:val="20"/>
                <w:szCs w:val="20"/>
              </w:rPr>
            </w:pPr>
            <w:r>
              <w:rPr>
                <w:color w:val="auto"/>
                <w:position w:val="7"/>
                <w:sz w:val="20"/>
                <w:szCs w:val="20"/>
              </w:rPr>
              <w:t>a</w:t>
            </w:r>
            <w:r>
              <w:rPr>
                <w:color w:val="auto"/>
                <w:sz w:val="20"/>
                <w:szCs w:val="20"/>
              </w:rPr>
              <w:t>是相对于详细评价工作内容而言，在描述危险物质、环境影响途经、环境危害后果、风险防范措施等方面给出定性的说明。</w:t>
            </w:r>
          </w:p>
        </w:tc>
      </w:tr>
    </w:tbl>
    <w:p>
      <w:pPr>
        <w:spacing w:before="120" w:beforeLines="50"/>
        <w:ind w:firstLine="480"/>
        <w:rPr>
          <w:color w:val="auto"/>
        </w:rPr>
      </w:pPr>
      <w:r>
        <w:rPr>
          <w:color w:val="auto"/>
        </w:rPr>
        <w:t>根据《建设项目环境风险评价技术导则》（HJ169-2018）附录C.1.1当Q＜1时，该项目环境风险潜势为Ⅰ，因此本项目风险评级等级为简单分析，主要针对项目涉及的危险物质、环境影响途经、环境危害后果、风险防范措施等方面给出定性的说明。</w:t>
      </w:r>
    </w:p>
    <w:p>
      <w:pPr>
        <w:pStyle w:val="9"/>
        <w:spacing w:before="120" w:beforeLines="50"/>
        <w:rPr>
          <w:color w:val="auto"/>
        </w:rPr>
      </w:pPr>
      <w:r>
        <w:rPr>
          <w:color w:val="auto"/>
        </w:rPr>
        <w:t>评价范围</w:t>
      </w:r>
    </w:p>
    <w:p>
      <w:pPr>
        <w:pStyle w:val="16"/>
        <w:spacing w:line="360" w:lineRule="auto"/>
        <w:ind w:firstLine="480"/>
        <w:rPr>
          <w:rFonts w:ascii="Times New Roman" w:hAnsi="Times New Roman"/>
          <w:color w:val="auto"/>
        </w:rPr>
      </w:pPr>
      <w:r>
        <w:rPr>
          <w:rFonts w:hint="eastAsia" w:ascii="Times New Roman" w:hAnsi="Times New Roman"/>
          <w:color w:val="auto"/>
        </w:rPr>
        <w:t>本项目的环境风险评价等级简单分析，根据《建设项目环境风险评价技术导则》（HJ169-2018）附录A，简单分析未包含评价范围，但需明确周边环境敏感目标分布情况。</w:t>
      </w:r>
    </w:p>
    <w:p>
      <w:pPr>
        <w:pStyle w:val="8"/>
        <w:tabs>
          <w:tab w:val="clear" w:pos="0"/>
        </w:tabs>
        <w:rPr>
          <w:rFonts w:eastAsia="黑体"/>
          <w:color w:val="auto"/>
          <w:sz w:val="28"/>
          <w:szCs w:val="28"/>
        </w:rPr>
      </w:pPr>
      <w:r>
        <w:rPr>
          <w:rFonts w:eastAsia="黑体"/>
          <w:color w:val="auto"/>
          <w:sz w:val="28"/>
          <w:szCs w:val="28"/>
        </w:rPr>
        <w:t>生态环境</w:t>
      </w:r>
    </w:p>
    <w:p>
      <w:pPr>
        <w:pStyle w:val="9"/>
        <w:spacing w:before="120" w:beforeLines="50"/>
        <w:rPr>
          <w:color w:val="auto"/>
        </w:rPr>
      </w:pPr>
      <w:r>
        <w:rPr>
          <w:color w:val="auto"/>
        </w:rPr>
        <w:t>评价等级</w:t>
      </w:r>
    </w:p>
    <w:p>
      <w:pPr>
        <w:ind w:firstLine="480"/>
        <w:rPr>
          <w:color w:val="auto"/>
        </w:rPr>
      </w:pPr>
      <w:r>
        <w:rPr>
          <w:color w:val="auto"/>
        </w:rPr>
        <w:t>按照《环境影响评价技术导则  生态影响》（HJ19-2011）中的有关规定，生态影响评价工作等级划分见表2.</w:t>
      </w:r>
      <w:r>
        <w:rPr>
          <w:rFonts w:hint="eastAsia"/>
          <w:color w:val="auto"/>
          <w:lang w:val="en-US" w:eastAsia="zh-CN"/>
        </w:rPr>
        <w:t>6</w:t>
      </w:r>
      <w:r>
        <w:rPr>
          <w:color w:val="auto"/>
        </w:rPr>
        <w:t>-</w:t>
      </w:r>
      <w:r>
        <w:rPr>
          <w:rFonts w:hint="eastAsia"/>
          <w:color w:val="auto"/>
          <w:lang w:val="en-US" w:eastAsia="zh-CN"/>
        </w:rPr>
        <w:t>9</w:t>
      </w:r>
      <w:r>
        <w:rPr>
          <w:color w:val="auto"/>
        </w:rPr>
        <w:t>。</w:t>
      </w:r>
    </w:p>
    <w:p>
      <w:pPr>
        <w:pStyle w:val="166"/>
        <w:spacing w:before="0" w:beforeLines="0" w:line="240" w:lineRule="auto"/>
        <w:rPr>
          <w:color w:val="auto"/>
        </w:rPr>
      </w:pPr>
      <w:r>
        <w:rPr>
          <w:color w:val="auto"/>
        </w:rPr>
        <w:t>表2.</w:t>
      </w:r>
      <w:r>
        <w:rPr>
          <w:rFonts w:hint="eastAsia"/>
          <w:color w:val="auto"/>
          <w:lang w:val="en-US" w:eastAsia="zh-CN"/>
        </w:rPr>
        <w:t>6</w:t>
      </w:r>
      <w:r>
        <w:rPr>
          <w:color w:val="auto"/>
        </w:rPr>
        <w:t>-</w:t>
      </w:r>
      <w:r>
        <w:rPr>
          <w:rFonts w:hint="eastAsia"/>
          <w:color w:val="auto"/>
          <w:lang w:val="en-US" w:eastAsia="zh-CN"/>
        </w:rPr>
        <w:t xml:space="preserve">9 </w:t>
      </w:r>
      <w:r>
        <w:rPr>
          <w:color w:val="auto"/>
        </w:rPr>
        <w:t>生态影响评价工作等级划分表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2280"/>
        <w:gridCol w:w="2280"/>
        <w:gridCol w:w="22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62" w:type="dxa"/>
            <w:vMerge w:val="restart"/>
            <w:noWrap w:val="0"/>
            <w:vAlign w:val="center"/>
          </w:tcPr>
          <w:p>
            <w:pPr>
              <w:pStyle w:val="274"/>
              <w:rPr>
                <w:b/>
                <w:bCs/>
                <w:color w:val="auto"/>
              </w:rPr>
            </w:pPr>
            <w:r>
              <w:rPr>
                <w:b/>
                <w:bCs/>
                <w:color w:val="auto"/>
              </w:rPr>
              <w:t>影响区域生态敏感性</w:t>
            </w:r>
          </w:p>
        </w:tc>
        <w:tc>
          <w:tcPr>
            <w:tcW w:w="6841" w:type="dxa"/>
            <w:gridSpan w:val="3"/>
            <w:noWrap w:val="0"/>
            <w:vAlign w:val="center"/>
          </w:tcPr>
          <w:p>
            <w:pPr>
              <w:pStyle w:val="274"/>
              <w:rPr>
                <w:b/>
                <w:bCs/>
                <w:color w:val="auto"/>
              </w:rPr>
            </w:pPr>
            <w:r>
              <w:rPr>
                <w:b/>
                <w:bCs/>
                <w:color w:val="auto"/>
              </w:rPr>
              <w:t>工程占地（水域）范围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62" w:type="dxa"/>
            <w:vMerge w:val="continue"/>
            <w:noWrap w:val="0"/>
            <w:vAlign w:val="center"/>
          </w:tcPr>
          <w:p>
            <w:pPr>
              <w:pStyle w:val="274"/>
              <w:rPr>
                <w:b/>
                <w:bCs/>
                <w:color w:val="auto"/>
              </w:rPr>
            </w:pPr>
          </w:p>
        </w:tc>
        <w:tc>
          <w:tcPr>
            <w:tcW w:w="2280" w:type="dxa"/>
            <w:noWrap w:val="0"/>
            <w:vAlign w:val="center"/>
          </w:tcPr>
          <w:p>
            <w:pPr>
              <w:pStyle w:val="274"/>
              <w:rPr>
                <w:b/>
                <w:bCs/>
                <w:color w:val="auto"/>
              </w:rPr>
            </w:pPr>
            <w:r>
              <w:rPr>
                <w:b/>
                <w:bCs/>
                <w:color w:val="auto"/>
              </w:rPr>
              <w:t>面积≥20km</w:t>
            </w:r>
            <w:r>
              <w:rPr>
                <w:b/>
                <w:bCs/>
                <w:color w:val="auto"/>
                <w:vertAlign w:val="superscript"/>
              </w:rPr>
              <w:t>2</w:t>
            </w:r>
            <w:r>
              <w:rPr>
                <w:b/>
                <w:bCs/>
                <w:color w:val="auto"/>
              </w:rPr>
              <w:t>或长度≥100km</w:t>
            </w:r>
          </w:p>
        </w:tc>
        <w:tc>
          <w:tcPr>
            <w:tcW w:w="2280" w:type="dxa"/>
            <w:noWrap w:val="0"/>
            <w:vAlign w:val="center"/>
          </w:tcPr>
          <w:p>
            <w:pPr>
              <w:pStyle w:val="274"/>
              <w:rPr>
                <w:b/>
                <w:bCs/>
                <w:color w:val="auto"/>
              </w:rPr>
            </w:pPr>
            <w:r>
              <w:rPr>
                <w:b/>
                <w:bCs/>
                <w:color w:val="auto"/>
              </w:rPr>
              <w:t>面积2km</w:t>
            </w:r>
            <w:r>
              <w:rPr>
                <w:b/>
                <w:bCs/>
                <w:color w:val="auto"/>
                <w:vertAlign w:val="superscript"/>
              </w:rPr>
              <w:t>2</w:t>
            </w:r>
            <w:r>
              <w:rPr>
                <w:b/>
                <w:bCs/>
                <w:color w:val="auto"/>
              </w:rPr>
              <w:t>～20km</w:t>
            </w:r>
            <w:r>
              <w:rPr>
                <w:b/>
                <w:bCs/>
                <w:color w:val="auto"/>
                <w:vertAlign w:val="superscript"/>
              </w:rPr>
              <w:t>2</w:t>
            </w:r>
            <w:r>
              <w:rPr>
                <w:b/>
                <w:bCs/>
                <w:color w:val="auto"/>
              </w:rPr>
              <w:t>或长度50km～100km</w:t>
            </w:r>
          </w:p>
        </w:tc>
        <w:tc>
          <w:tcPr>
            <w:tcW w:w="2281" w:type="dxa"/>
            <w:noWrap w:val="0"/>
            <w:vAlign w:val="center"/>
          </w:tcPr>
          <w:p>
            <w:pPr>
              <w:pStyle w:val="274"/>
              <w:rPr>
                <w:b/>
                <w:bCs/>
                <w:color w:val="auto"/>
              </w:rPr>
            </w:pPr>
            <w:r>
              <w:rPr>
                <w:b/>
                <w:bCs/>
                <w:color w:val="auto"/>
              </w:rPr>
              <w:t>面积≤2km</w:t>
            </w:r>
            <w:r>
              <w:rPr>
                <w:b/>
                <w:bCs/>
                <w:color w:val="auto"/>
                <w:vertAlign w:val="superscript"/>
              </w:rPr>
              <w:t>2</w:t>
            </w:r>
            <w:r>
              <w:rPr>
                <w:b/>
                <w:bCs/>
                <w:color w:val="auto"/>
              </w:rPr>
              <w:t>或长度≤50km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62" w:type="dxa"/>
            <w:noWrap w:val="0"/>
            <w:vAlign w:val="center"/>
          </w:tcPr>
          <w:p>
            <w:pPr>
              <w:pStyle w:val="274"/>
              <w:rPr>
                <w:color w:val="auto"/>
              </w:rPr>
            </w:pPr>
            <w:r>
              <w:rPr>
                <w:color w:val="auto"/>
              </w:rPr>
              <w:t>特殊生态敏感区</w:t>
            </w:r>
          </w:p>
        </w:tc>
        <w:tc>
          <w:tcPr>
            <w:tcW w:w="2280" w:type="dxa"/>
            <w:tcBorders>
              <w:bottom w:val="single" w:color="auto" w:sz="4" w:space="0"/>
            </w:tcBorders>
            <w:noWrap w:val="0"/>
            <w:vAlign w:val="center"/>
          </w:tcPr>
          <w:p>
            <w:pPr>
              <w:pStyle w:val="274"/>
              <w:rPr>
                <w:color w:val="auto"/>
              </w:rPr>
            </w:pPr>
            <w:r>
              <w:rPr>
                <w:color w:val="auto"/>
              </w:rPr>
              <w:t>一级</w:t>
            </w:r>
          </w:p>
        </w:tc>
        <w:tc>
          <w:tcPr>
            <w:tcW w:w="2280" w:type="dxa"/>
            <w:tcBorders>
              <w:bottom w:val="single" w:color="auto" w:sz="4" w:space="0"/>
            </w:tcBorders>
            <w:noWrap w:val="0"/>
            <w:vAlign w:val="center"/>
          </w:tcPr>
          <w:p>
            <w:pPr>
              <w:pStyle w:val="274"/>
              <w:rPr>
                <w:color w:val="auto"/>
              </w:rPr>
            </w:pPr>
            <w:r>
              <w:rPr>
                <w:color w:val="auto"/>
              </w:rPr>
              <w:t>一级</w:t>
            </w:r>
          </w:p>
        </w:tc>
        <w:tc>
          <w:tcPr>
            <w:tcW w:w="2281" w:type="dxa"/>
            <w:tcBorders>
              <w:bottom w:val="single" w:color="auto" w:sz="4" w:space="0"/>
            </w:tcBorders>
            <w:noWrap w:val="0"/>
            <w:vAlign w:val="center"/>
          </w:tcPr>
          <w:p>
            <w:pPr>
              <w:pStyle w:val="274"/>
              <w:rPr>
                <w:color w:val="auto"/>
              </w:rPr>
            </w:pPr>
            <w:r>
              <w:rPr>
                <w:color w:val="auto"/>
              </w:rPr>
              <w:t>一级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62" w:type="dxa"/>
            <w:noWrap w:val="0"/>
            <w:vAlign w:val="center"/>
          </w:tcPr>
          <w:p>
            <w:pPr>
              <w:pStyle w:val="274"/>
              <w:rPr>
                <w:color w:val="auto"/>
              </w:rPr>
            </w:pPr>
            <w:r>
              <w:rPr>
                <w:color w:val="auto"/>
              </w:rPr>
              <w:t>重要生态敏感区</w:t>
            </w:r>
          </w:p>
        </w:tc>
        <w:tc>
          <w:tcPr>
            <w:tcW w:w="2280" w:type="dxa"/>
            <w:tcBorders>
              <w:top w:val="single" w:color="auto" w:sz="4" w:space="0"/>
              <w:bottom w:val="single" w:color="auto" w:sz="4" w:space="0"/>
            </w:tcBorders>
            <w:noWrap w:val="0"/>
            <w:vAlign w:val="center"/>
          </w:tcPr>
          <w:p>
            <w:pPr>
              <w:pStyle w:val="274"/>
              <w:rPr>
                <w:color w:val="auto"/>
              </w:rPr>
            </w:pPr>
            <w:r>
              <w:rPr>
                <w:color w:val="auto"/>
              </w:rPr>
              <w:t>一级</w:t>
            </w:r>
          </w:p>
        </w:tc>
        <w:tc>
          <w:tcPr>
            <w:tcW w:w="2280" w:type="dxa"/>
            <w:tcBorders>
              <w:top w:val="single" w:color="auto" w:sz="4" w:space="0"/>
              <w:bottom w:val="single" w:color="auto" w:sz="4" w:space="0"/>
            </w:tcBorders>
            <w:noWrap w:val="0"/>
            <w:vAlign w:val="center"/>
          </w:tcPr>
          <w:p>
            <w:pPr>
              <w:pStyle w:val="274"/>
              <w:rPr>
                <w:color w:val="auto"/>
              </w:rPr>
            </w:pPr>
            <w:r>
              <w:rPr>
                <w:color w:val="auto"/>
              </w:rPr>
              <w:t>二级</w:t>
            </w:r>
          </w:p>
        </w:tc>
        <w:tc>
          <w:tcPr>
            <w:tcW w:w="2281" w:type="dxa"/>
            <w:tcBorders>
              <w:top w:val="single" w:color="auto" w:sz="4" w:space="0"/>
              <w:bottom w:val="single" w:color="auto" w:sz="4" w:space="0"/>
            </w:tcBorders>
            <w:noWrap w:val="0"/>
            <w:vAlign w:val="center"/>
          </w:tcPr>
          <w:p>
            <w:pPr>
              <w:pStyle w:val="274"/>
              <w:rPr>
                <w:color w:val="auto"/>
              </w:rPr>
            </w:pPr>
            <w:r>
              <w:rPr>
                <w:color w:val="auto"/>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7" w:hRule="atLeast"/>
          <w:jc w:val="center"/>
        </w:trPr>
        <w:tc>
          <w:tcPr>
            <w:tcW w:w="2162" w:type="dxa"/>
            <w:shd w:val="clear" w:color="auto" w:fill="auto"/>
            <w:noWrap w:val="0"/>
            <w:vAlign w:val="center"/>
          </w:tcPr>
          <w:p>
            <w:pPr>
              <w:pStyle w:val="274"/>
              <w:rPr>
                <w:color w:val="auto"/>
              </w:rPr>
            </w:pPr>
            <w:r>
              <w:rPr>
                <w:color w:val="auto"/>
              </w:rPr>
              <w:t>一般区域</w:t>
            </w:r>
          </w:p>
        </w:tc>
        <w:tc>
          <w:tcPr>
            <w:tcW w:w="2280" w:type="dxa"/>
            <w:tcBorders>
              <w:top w:val="single" w:color="auto" w:sz="4" w:space="0"/>
            </w:tcBorders>
            <w:shd w:val="clear" w:color="auto" w:fill="auto"/>
            <w:noWrap w:val="0"/>
            <w:vAlign w:val="center"/>
          </w:tcPr>
          <w:p>
            <w:pPr>
              <w:pStyle w:val="274"/>
              <w:rPr>
                <w:color w:val="auto"/>
              </w:rPr>
            </w:pPr>
            <w:r>
              <w:rPr>
                <w:color w:val="auto"/>
              </w:rPr>
              <w:t>二级</w:t>
            </w:r>
          </w:p>
        </w:tc>
        <w:tc>
          <w:tcPr>
            <w:tcW w:w="2280" w:type="dxa"/>
            <w:tcBorders>
              <w:top w:val="single" w:color="auto" w:sz="4" w:space="0"/>
            </w:tcBorders>
            <w:shd w:val="clear" w:color="auto" w:fill="auto"/>
            <w:noWrap w:val="0"/>
            <w:vAlign w:val="center"/>
          </w:tcPr>
          <w:p>
            <w:pPr>
              <w:pStyle w:val="274"/>
              <w:rPr>
                <w:color w:val="auto"/>
              </w:rPr>
            </w:pPr>
            <w:r>
              <w:rPr>
                <w:color w:val="auto"/>
              </w:rPr>
              <w:t>三级</w:t>
            </w:r>
          </w:p>
        </w:tc>
        <w:tc>
          <w:tcPr>
            <w:tcW w:w="2281" w:type="dxa"/>
            <w:tcBorders>
              <w:top w:val="single" w:color="auto" w:sz="4" w:space="0"/>
              <w:bottom w:val="single" w:color="auto" w:sz="12" w:space="0"/>
            </w:tcBorders>
            <w:shd w:val="pct10" w:color="auto" w:fill="auto"/>
            <w:noWrap w:val="0"/>
            <w:vAlign w:val="center"/>
          </w:tcPr>
          <w:p>
            <w:pPr>
              <w:pStyle w:val="274"/>
              <w:rPr>
                <w:b/>
                <w:color w:val="auto"/>
              </w:rPr>
            </w:pPr>
            <w:r>
              <w:rPr>
                <w:b/>
                <w:color w:val="auto"/>
              </w:rPr>
              <w:t>三级</w:t>
            </w:r>
          </w:p>
        </w:tc>
      </w:tr>
    </w:tbl>
    <w:p>
      <w:pPr>
        <w:spacing w:before="120" w:beforeLines="50"/>
        <w:ind w:firstLine="480"/>
        <w:rPr>
          <w:color w:val="auto"/>
        </w:rPr>
      </w:pPr>
      <w:r>
        <w:rPr>
          <w:color w:val="auto"/>
        </w:rPr>
        <w:t>本项目总用地面积为</w:t>
      </w:r>
      <w:r>
        <w:rPr>
          <w:rFonts w:hint="eastAsia"/>
          <w:color w:val="auto"/>
          <w:lang w:val="en-US" w:eastAsia="zh-CN"/>
        </w:rPr>
        <w:t>38.57亩</w:t>
      </w:r>
      <w:r>
        <w:rPr>
          <w:color w:val="auto"/>
        </w:rPr>
        <w:t>，工程占地范围≤2km</w:t>
      </w:r>
      <w:r>
        <w:rPr>
          <w:color w:val="auto"/>
          <w:vertAlign w:val="superscript"/>
        </w:rPr>
        <w:t>2</w:t>
      </w:r>
      <w:r>
        <w:rPr>
          <w:color w:val="auto"/>
        </w:rPr>
        <w:t>；项目影响区域不属于特殊生态敏感区和重要生态敏感区，为一般区域。根据《环境影响评价技术导则  生态影响》（HJ19-2011），本项目生态环境影响评价工作等级定为三级，对生态环境影响作简单分析。</w:t>
      </w:r>
    </w:p>
    <w:p>
      <w:pPr>
        <w:pStyle w:val="9"/>
        <w:spacing w:before="120" w:beforeLines="50"/>
        <w:rPr>
          <w:color w:val="auto"/>
        </w:rPr>
      </w:pPr>
      <w:r>
        <w:rPr>
          <w:color w:val="auto"/>
        </w:rPr>
        <w:t>评价范围</w:t>
      </w:r>
    </w:p>
    <w:p>
      <w:pPr>
        <w:ind w:firstLine="480"/>
        <w:rPr>
          <w:color w:val="auto"/>
        </w:rPr>
      </w:pPr>
      <w:r>
        <w:rPr>
          <w:rFonts w:hint="eastAsia"/>
          <w:color w:val="auto"/>
        </w:rPr>
        <w:t>结合本项目特点，确定生态影响评价范围为项目用地范围内。</w:t>
      </w:r>
    </w:p>
    <w:p>
      <w:pPr>
        <w:pStyle w:val="8"/>
        <w:tabs>
          <w:tab w:val="clear" w:pos="0"/>
        </w:tabs>
        <w:rPr>
          <w:rFonts w:eastAsia="黑体"/>
          <w:color w:val="auto"/>
          <w:sz w:val="28"/>
          <w:szCs w:val="28"/>
        </w:rPr>
      </w:pPr>
      <w:r>
        <w:rPr>
          <w:rFonts w:eastAsia="黑体"/>
          <w:color w:val="auto"/>
          <w:sz w:val="28"/>
          <w:szCs w:val="28"/>
        </w:rPr>
        <w:t>土壤环境</w:t>
      </w:r>
    </w:p>
    <w:p>
      <w:pPr>
        <w:pStyle w:val="9"/>
        <w:spacing w:before="120" w:beforeLines="50"/>
        <w:rPr>
          <w:color w:val="auto"/>
        </w:rPr>
      </w:pPr>
      <w:r>
        <w:rPr>
          <w:color w:val="auto"/>
        </w:rPr>
        <w:t>评价等级</w:t>
      </w:r>
    </w:p>
    <w:p>
      <w:pPr>
        <w:pStyle w:val="16"/>
        <w:spacing w:line="440" w:lineRule="exact"/>
        <w:ind w:firstLine="480"/>
        <w:rPr>
          <w:rFonts w:ascii="Times New Roman" w:hAnsi="Times New Roman"/>
          <w:color w:val="auto"/>
        </w:rPr>
      </w:pPr>
      <w:r>
        <w:rPr>
          <w:rFonts w:ascii="Times New Roman" w:hAnsi="Times New Roman"/>
          <w:color w:val="auto"/>
        </w:rPr>
        <w:t>根据项目建设内容及其对土壤环境可能产生的影响，判定本项目土壤影响类型为污染影响型。根据行业特征、工艺特点或规模大小等将建设项目类别分为Ⅰ类、Ⅱ类、Ⅲ类、Ⅳ类，分类详见《环境影响评价技术导则  土壤环境》（HJ964-2018）附录A（以下简称 附录A）。其中Ⅰ类、Ⅱ类及Ⅲ类建设项目的土壤环境影响评价应执行导则要求，Ⅳ类建设项目可不开展土壤环境影响评价；自身为敏感目标的建设项目，可根据需要仅对土壤环境现状进行调查。</w:t>
      </w:r>
    </w:p>
    <w:p>
      <w:pPr>
        <w:pStyle w:val="16"/>
        <w:spacing w:line="440" w:lineRule="exact"/>
        <w:ind w:firstLine="480"/>
        <w:rPr>
          <w:rFonts w:ascii="Times New Roman" w:hAnsi="Times New Roman"/>
          <w:color w:val="auto"/>
        </w:rPr>
      </w:pPr>
      <w:r>
        <w:rPr>
          <w:rFonts w:hint="eastAsia" w:ascii="宋体" w:hAnsi="宋体" w:cs="宋体"/>
          <w:color w:val="auto"/>
        </w:rPr>
        <w:t>①</w:t>
      </w:r>
      <w:r>
        <w:rPr>
          <w:rFonts w:ascii="Times New Roman" w:hAnsi="Times New Roman"/>
          <w:color w:val="auto"/>
        </w:rPr>
        <w:t>项目类别</w:t>
      </w:r>
    </w:p>
    <w:p>
      <w:pPr>
        <w:pStyle w:val="16"/>
        <w:spacing w:line="440" w:lineRule="exact"/>
        <w:ind w:firstLine="480"/>
        <w:rPr>
          <w:rFonts w:ascii="Times New Roman" w:hAnsi="Times New Roman"/>
          <w:color w:val="auto"/>
        </w:rPr>
      </w:pPr>
      <w:r>
        <w:rPr>
          <w:rFonts w:ascii="Times New Roman" w:hAnsi="Times New Roman"/>
          <w:color w:val="auto"/>
        </w:rPr>
        <w:t>根据附录A，本项目出栏生猪</w:t>
      </w:r>
      <w:r>
        <w:rPr>
          <w:rFonts w:hint="eastAsia" w:ascii="Times New Roman" w:hAnsi="Times New Roman"/>
          <w:color w:val="auto"/>
          <w:lang w:val="en-US" w:eastAsia="zh-CN"/>
        </w:rPr>
        <w:t>14000</w:t>
      </w:r>
      <w:r>
        <w:rPr>
          <w:rFonts w:ascii="Times New Roman" w:hAnsi="Times New Roman"/>
          <w:color w:val="auto"/>
        </w:rPr>
        <w:t>头，小于10万头；因此本项目属于农林牧渔业中的年出栏生猪5000头（其他畜禽种类折合猪的养殖规模）及以上的畜禽养殖场或养殖小区类项目，属Ⅲ类项目。</w:t>
      </w:r>
      <w:r>
        <w:rPr>
          <w:rFonts w:hint="eastAsia" w:ascii="Times New Roman" w:hAnsi="Times New Roman"/>
          <w:color w:val="auto"/>
        </w:rPr>
        <w:t>具体情况</w:t>
      </w:r>
      <w:r>
        <w:rPr>
          <w:rFonts w:ascii="Times New Roman" w:hAnsi="Times New Roman"/>
          <w:color w:val="auto"/>
        </w:rPr>
        <w:t>详见表</w:t>
      </w:r>
      <w:r>
        <w:rPr>
          <w:rFonts w:hint="eastAsia" w:ascii="Times New Roman" w:hAnsi="Times New Roman"/>
          <w:color w:val="auto"/>
        </w:rPr>
        <w:t>2.</w:t>
      </w:r>
      <w:r>
        <w:rPr>
          <w:rFonts w:hint="eastAsia" w:ascii="Times New Roman" w:hAnsi="Times New Roman"/>
          <w:color w:val="auto"/>
          <w:lang w:val="en-US" w:eastAsia="zh-CN"/>
        </w:rPr>
        <w:t>6</w:t>
      </w:r>
      <w:r>
        <w:rPr>
          <w:rFonts w:hint="eastAsia" w:ascii="Times New Roman" w:hAnsi="Times New Roman"/>
          <w:color w:val="auto"/>
        </w:rPr>
        <w:t>-</w:t>
      </w:r>
      <w:r>
        <w:rPr>
          <w:rFonts w:hint="eastAsia" w:ascii="Times New Roman" w:hAnsi="Times New Roman"/>
          <w:color w:val="auto"/>
          <w:lang w:val="en-US" w:eastAsia="zh-CN"/>
        </w:rPr>
        <w:t>10</w:t>
      </w:r>
      <w:r>
        <w:rPr>
          <w:rFonts w:ascii="Times New Roman" w:hAnsi="Times New Roman"/>
          <w:color w:val="auto"/>
        </w:rPr>
        <w:t>。</w:t>
      </w:r>
    </w:p>
    <w:p>
      <w:pPr>
        <w:pStyle w:val="166"/>
        <w:spacing w:before="120" w:beforeLines="0"/>
        <w:rPr>
          <w:color w:val="auto"/>
        </w:rPr>
      </w:pPr>
      <w:r>
        <w:rPr>
          <w:color w:val="auto"/>
        </w:rPr>
        <w:t>表2.</w:t>
      </w:r>
      <w:r>
        <w:rPr>
          <w:rFonts w:hint="eastAsia"/>
          <w:color w:val="auto"/>
          <w:lang w:val="en-US" w:eastAsia="zh-CN"/>
        </w:rPr>
        <w:t>6</w:t>
      </w:r>
      <w:r>
        <w:rPr>
          <w:color w:val="auto"/>
        </w:rPr>
        <w:t>-</w:t>
      </w:r>
      <w:r>
        <w:rPr>
          <w:rFonts w:hint="eastAsia"/>
          <w:color w:val="auto"/>
          <w:lang w:val="en-US" w:eastAsia="zh-CN"/>
        </w:rPr>
        <w:t xml:space="preserve">10 </w:t>
      </w:r>
      <w:r>
        <w:rPr>
          <w:color w:val="auto"/>
        </w:rPr>
        <w:t>土壤环境影响评价项目类别</w:t>
      </w:r>
    </w:p>
    <w:tbl>
      <w:tblPr>
        <w:tblStyle w:val="51"/>
        <w:tblW w:w="0" w:type="auto"/>
        <w:tblInd w:w="0" w:type="dxa"/>
        <w:tblLayout w:type="fixed"/>
        <w:tblCellMar>
          <w:top w:w="0" w:type="dxa"/>
          <w:left w:w="0" w:type="dxa"/>
          <w:bottom w:w="0" w:type="dxa"/>
          <w:right w:w="0" w:type="dxa"/>
        </w:tblCellMar>
      </w:tblPr>
      <w:tblGrid>
        <w:gridCol w:w="1608"/>
        <w:gridCol w:w="1353"/>
        <w:gridCol w:w="3104"/>
        <w:gridCol w:w="1982"/>
        <w:gridCol w:w="740"/>
      </w:tblGrid>
      <w:tr>
        <w:tblPrEx>
          <w:tblCellMar>
            <w:top w:w="0" w:type="dxa"/>
            <w:left w:w="0" w:type="dxa"/>
            <w:bottom w:w="0" w:type="dxa"/>
            <w:right w:w="0" w:type="dxa"/>
          </w:tblCellMar>
        </w:tblPrEx>
        <w:trPr>
          <w:wBefore w:w="0" w:type="dxa"/>
          <w:wAfter w:w="0" w:type="dxa"/>
          <w:trHeight w:val="340" w:hRule="atLeast"/>
        </w:trPr>
        <w:tc>
          <w:tcPr>
            <w:tcW w:w="1608" w:type="dxa"/>
            <w:tcBorders>
              <w:top w:val="single" w:color="auto" w:sz="12" w:space="0"/>
              <w:bottom w:val="single" w:color="000000" w:sz="4" w:space="0"/>
              <w:right w:val="single" w:color="000000" w:sz="4" w:space="0"/>
              <w:tl2br w:val="single" w:color="auto" w:sz="4" w:space="0"/>
            </w:tcBorders>
            <w:noWrap w:val="0"/>
            <w:vAlign w:val="center"/>
          </w:tcPr>
          <w:p>
            <w:pPr>
              <w:pStyle w:val="332"/>
              <w:kinsoku w:val="0"/>
              <w:overflowPunct w:val="0"/>
              <w:ind w:right="48" w:rightChars="20"/>
              <w:jc w:val="center"/>
              <w:rPr>
                <w:b/>
                <w:color w:val="auto"/>
                <w:sz w:val="20"/>
                <w:szCs w:val="20"/>
              </w:rPr>
            </w:pPr>
            <w:r>
              <w:rPr>
                <w:b/>
                <w:color w:val="auto"/>
                <w:sz w:val="20"/>
                <w:szCs w:val="20"/>
              </w:rPr>
              <w:t xml:space="preserve">      项目类别</w:t>
            </w:r>
          </w:p>
          <w:p>
            <w:pPr>
              <w:pStyle w:val="332"/>
              <w:kinsoku w:val="0"/>
              <w:overflowPunct w:val="0"/>
              <w:rPr>
                <w:b/>
                <w:color w:val="auto"/>
                <w:sz w:val="20"/>
                <w:szCs w:val="20"/>
              </w:rPr>
            </w:pPr>
            <w:r>
              <w:rPr>
                <w:b/>
                <w:color w:val="auto"/>
                <w:sz w:val="20"/>
                <w:szCs w:val="20"/>
              </w:rPr>
              <w:t>行业类型</w:t>
            </w:r>
          </w:p>
        </w:tc>
        <w:tc>
          <w:tcPr>
            <w:tcW w:w="1353" w:type="dxa"/>
            <w:tcBorders>
              <w:top w:val="single" w:color="auto" w:sz="12" w:space="0"/>
              <w:left w:val="single" w:color="000000" w:sz="4" w:space="0"/>
              <w:bottom w:val="single" w:color="000000" w:sz="4" w:space="0"/>
              <w:right w:val="single" w:color="000000" w:sz="4" w:space="0"/>
            </w:tcBorders>
            <w:noWrap w:val="0"/>
            <w:vAlign w:val="center"/>
          </w:tcPr>
          <w:p>
            <w:pPr>
              <w:pStyle w:val="332"/>
              <w:kinsoku w:val="0"/>
              <w:overflowPunct w:val="0"/>
              <w:jc w:val="center"/>
              <w:rPr>
                <w:b/>
                <w:color w:val="auto"/>
                <w:sz w:val="20"/>
                <w:szCs w:val="20"/>
              </w:rPr>
            </w:pPr>
            <w:r>
              <w:rPr>
                <w:b/>
                <w:color w:val="auto"/>
                <w:sz w:val="20"/>
                <w:szCs w:val="20"/>
              </w:rPr>
              <w:t>Ⅰ类</w:t>
            </w:r>
          </w:p>
        </w:tc>
        <w:tc>
          <w:tcPr>
            <w:tcW w:w="3104" w:type="dxa"/>
            <w:tcBorders>
              <w:top w:val="single" w:color="auto" w:sz="12" w:space="0"/>
              <w:left w:val="single" w:color="000000" w:sz="4" w:space="0"/>
              <w:bottom w:val="single" w:color="000000" w:sz="4" w:space="0"/>
              <w:right w:val="single" w:color="000000" w:sz="4" w:space="0"/>
            </w:tcBorders>
            <w:noWrap w:val="0"/>
            <w:vAlign w:val="center"/>
          </w:tcPr>
          <w:p>
            <w:pPr>
              <w:pStyle w:val="332"/>
              <w:kinsoku w:val="0"/>
              <w:overflowPunct w:val="0"/>
              <w:jc w:val="center"/>
              <w:rPr>
                <w:b/>
                <w:color w:val="auto"/>
                <w:sz w:val="20"/>
                <w:szCs w:val="20"/>
              </w:rPr>
            </w:pPr>
            <w:r>
              <w:rPr>
                <w:b/>
                <w:color w:val="auto"/>
                <w:sz w:val="20"/>
                <w:szCs w:val="20"/>
              </w:rPr>
              <w:t>Ⅱ类</w:t>
            </w:r>
          </w:p>
        </w:tc>
        <w:tc>
          <w:tcPr>
            <w:tcW w:w="1982" w:type="dxa"/>
            <w:tcBorders>
              <w:top w:val="single" w:color="auto" w:sz="12" w:space="0"/>
              <w:left w:val="single" w:color="000000" w:sz="4" w:space="0"/>
              <w:bottom w:val="single" w:color="000000" w:sz="4" w:space="0"/>
              <w:right w:val="single" w:color="000000" w:sz="4" w:space="0"/>
            </w:tcBorders>
            <w:noWrap w:val="0"/>
            <w:vAlign w:val="center"/>
          </w:tcPr>
          <w:p>
            <w:pPr>
              <w:pStyle w:val="332"/>
              <w:kinsoku w:val="0"/>
              <w:overflowPunct w:val="0"/>
              <w:jc w:val="center"/>
              <w:rPr>
                <w:b/>
                <w:color w:val="auto"/>
                <w:sz w:val="20"/>
                <w:szCs w:val="20"/>
              </w:rPr>
            </w:pPr>
            <w:r>
              <w:rPr>
                <w:b/>
                <w:color w:val="auto"/>
                <w:sz w:val="20"/>
                <w:szCs w:val="20"/>
              </w:rPr>
              <w:t>Ⅲ类</w:t>
            </w:r>
          </w:p>
        </w:tc>
        <w:tc>
          <w:tcPr>
            <w:tcW w:w="740" w:type="dxa"/>
            <w:tcBorders>
              <w:top w:val="single" w:color="auto" w:sz="12" w:space="0"/>
              <w:left w:val="single" w:color="000000" w:sz="4" w:space="0"/>
              <w:bottom w:val="single" w:color="000000" w:sz="4" w:space="0"/>
            </w:tcBorders>
            <w:noWrap w:val="0"/>
            <w:vAlign w:val="center"/>
          </w:tcPr>
          <w:p>
            <w:pPr>
              <w:pStyle w:val="332"/>
              <w:kinsoku w:val="0"/>
              <w:overflowPunct w:val="0"/>
              <w:jc w:val="center"/>
              <w:rPr>
                <w:b/>
                <w:color w:val="auto"/>
                <w:sz w:val="20"/>
                <w:szCs w:val="20"/>
              </w:rPr>
            </w:pPr>
            <w:r>
              <w:rPr>
                <w:b/>
                <w:color w:val="auto"/>
                <w:sz w:val="20"/>
                <w:szCs w:val="20"/>
              </w:rPr>
              <w:t>Ⅳ类</w:t>
            </w:r>
          </w:p>
        </w:tc>
      </w:tr>
      <w:tr>
        <w:tblPrEx>
          <w:tblCellMar>
            <w:top w:w="0" w:type="dxa"/>
            <w:left w:w="0" w:type="dxa"/>
            <w:bottom w:w="0" w:type="dxa"/>
            <w:right w:w="0" w:type="dxa"/>
          </w:tblCellMar>
        </w:tblPrEx>
        <w:trPr>
          <w:wBefore w:w="0" w:type="dxa"/>
          <w:wAfter w:w="0" w:type="dxa"/>
          <w:trHeight w:val="340" w:hRule="atLeast"/>
        </w:trPr>
        <w:tc>
          <w:tcPr>
            <w:tcW w:w="1608" w:type="dxa"/>
            <w:tcBorders>
              <w:top w:val="single" w:color="000000" w:sz="4" w:space="0"/>
              <w:bottom w:val="single" w:color="auto" w:sz="12" w:space="0"/>
              <w:right w:val="single" w:color="000000" w:sz="4" w:space="0"/>
            </w:tcBorders>
            <w:shd w:val="clear" w:color="auto" w:fill="auto"/>
            <w:noWrap w:val="0"/>
            <w:vAlign w:val="center"/>
          </w:tcPr>
          <w:p>
            <w:pPr>
              <w:pStyle w:val="332"/>
              <w:kinsoku w:val="0"/>
              <w:overflowPunct w:val="0"/>
              <w:jc w:val="center"/>
              <w:rPr>
                <w:color w:val="auto"/>
                <w:sz w:val="20"/>
                <w:szCs w:val="20"/>
              </w:rPr>
            </w:pPr>
            <w:r>
              <w:rPr>
                <w:color w:val="auto"/>
                <w:sz w:val="20"/>
                <w:szCs w:val="20"/>
              </w:rPr>
              <w:t>农林牧渔业</w:t>
            </w:r>
          </w:p>
        </w:tc>
        <w:tc>
          <w:tcPr>
            <w:tcW w:w="1353" w:type="dxa"/>
            <w:tcBorders>
              <w:top w:val="single" w:color="000000" w:sz="4" w:space="0"/>
              <w:left w:val="single" w:color="000000" w:sz="4" w:space="0"/>
              <w:bottom w:val="single" w:color="auto" w:sz="12" w:space="0"/>
              <w:right w:val="single" w:color="000000" w:sz="4" w:space="0"/>
            </w:tcBorders>
            <w:shd w:val="clear" w:color="auto" w:fill="auto"/>
            <w:noWrap w:val="0"/>
            <w:vAlign w:val="center"/>
          </w:tcPr>
          <w:p>
            <w:pPr>
              <w:pStyle w:val="332"/>
              <w:kinsoku w:val="0"/>
              <w:overflowPunct w:val="0"/>
              <w:jc w:val="center"/>
              <w:rPr>
                <w:color w:val="auto"/>
                <w:sz w:val="20"/>
                <w:szCs w:val="20"/>
              </w:rPr>
            </w:pPr>
            <w:r>
              <w:rPr>
                <w:color w:val="auto"/>
                <w:sz w:val="20"/>
                <w:szCs w:val="20"/>
              </w:rPr>
              <w:t>灌溉面积大于50万亩的灌区工程</w:t>
            </w:r>
          </w:p>
        </w:tc>
        <w:tc>
          <w:tcPr>
            <w:tcW w:w="3104" w:type="dxa"/>
            <w:tcBorders>
              <w:top w:val="single" w:color="000000" w:sz="4" w:space="0"/>
              <w:left w:val="single" w:color="000000" w:sz="4" w:space="0"/>
              <w:bottom w:val="single" w:color="auto" w:sz="12" w:space="0"/>
              <w:right w:val="single" w:color="000000" w:sz="4" w:space="0"/>
            </w:tcBorders>
            <w:shd w:val="clear" w:color="auto" w:fill="auto"/>
            <w:noWrap w:val="0"/>
            <w:vAlign w:val="center"/>
          </w:tcPr>
          <w:p>
            <w:pPr>
              <w:pStyle w:val="332"/>
              <w:kinsoku w:val="0"/>
              <w:overflowPunct w:val="0"/>
              <w:jc w:val="center"/>
              <w:rPr>
                <w:color w:val="auto"/>
                <w:sz w:val="20"/>
                <w:szCs w:val="20"/>
              </w:rPr>
            </w:pPr>
            <w:r>
              <w:rPr>
                <w:color w:val="auto"/>
                <w:sz w:val="20"/>
                <w:szCs w:val="20"/>
              </w:rPr>
              <w:t>新建</w:t>
            </w:r>
            <w:r>
              <w:rPr>
                <w:color w:val="auto"/>
                <w:spacing w:val="-53"/>
                <w:sz w:val="20"/>
                <w:szCs w:val="20"/>
              </w:rPr>
              <w:t xml:space="preserve"> </w:t>
            </w:r>
            <w:r>
              <w:rPr>
                <w:color w:val="auto"/>
                <w:sz w:val="20"/>
                <w:szCs w:val="20"/>
              </w:rPr>
              <w:t>5万亩至</w:t>
            </w:r>
            <w:r>
              <w:rPr>
                <w:color w:val="auto"/>
                <w:spacing w:val="-56"/>
                <w:sz w:val="20"/>
                <w:szCs w:val="20"/>
              </w:rPr>
              <w:t xml:space="preserve"> </w:t>
            </w:r>
            <w:r>
              <w:rPr>
                <w:color w:val="auto"/>
                <w:sz w:val="20"/>
                <w:szCs w:val="20"/>
              </w:rPr>
              <w:t>50万亩的、改造</w:t>
            </w:r>
            <w:r>
              <w:rPr>
                <w:color w:val="auto"/>
                <w:spacing w:val="-56"/>
                <w:sz w:val="20"/>
                <w:szCs w:val="20"/>
              </w:rPr>
              <w:t xml:space="preserve"> </w:t>
            </w:r>
            <w:r>
              <w:rPr>
                <w:color w:val="auto"/>
                <w:sz w:val="20"/>
                <w:szCs w:val="20"/>
              </w:rPr>
              <w:t>30万亩及以上的灌区工程；年出栏生猪</w:t>
            </w:r>
            <w:r>
              <w:rPr>
                <w:color w:val="auto"/>
                <w:spacing w:val="-58"/>
                <w:sz w:val="20"/>
                <w:szCs w:val="20"/>
              </w:rPr>
              <w:t xml:space="preserve"> </w:t>
            </w:r>
            <w:r>
              <w:rPr>
                <w:color w:val="auto"/>
                <w:sz w:val="20"/>
                <w:szCs w:val="20"/>
              </w:rPr>
              <w:t>10</w:t>
            </w:r>
            <w:r>
              <w:rPr>
                <w:color w:val="auto"/>
                <w:spacing w:val="-5"/>
                <w:sz w:val="20"/>
                <w:szCs w:val="20"/>
              </w:rPr>
              <w:t>万头（其他畜禽种类折合猪的</w:t>
            </w:r>
            <w:r>
              <w:rPr>
                <w:color w:val="auto"/>
                <w:sz w:val="20"/>
                <w:szCs w:val="20"/>
              </w:rPr>
              <w:t>养殖规模）及以上的畜禽养殖场或养殖小区</w:t>
            </w:r>
          </w:p>
        </w:tc>
        <w:tc>
          <w:tcPr>
            <w:tcW w:w="1982" w:type="dxa"/>
            <w:tcBorders>
              <w:top w:val="single" w:color="000000" w:sz="4" w:space="0"/>
              <w:left w:val="single" w:color="000000" w:sz="4" w:space="0"/>
              <w:bottom w:val="single" w:color="auto" w:sz="12" w:space="0"/>
              <w:right w:val="single" w:color="000000" w:sz="4" w:space="0"/>
            </w:tcBorders>
            <w:shd w:val="pct10" w:color="auto" w:fill="auto"/>
            <w:noWrap w:val="0"/>
            <w:vAlign w:val="center"/>
          </w:tcPr>
          <w:p>
            <w:pPr>
              <w:pStyle w:val="332"/>
              <w:kinsoku w:val="0"/>
              <w:overflowPunct w:val="0"/>
              <w:jc w:val="center"/>
              <w:rPr>
                <w:color w:val="auto"/>
                <w:sz w:val="20"/>
                <w:szCs w:val="20"/>
              </w:rPr>
            </w:pPr>
            <w:r>
              <w:rPr>
                <w:color w:val="auto"/>
                <w:sz w:val="20"/>
                <w:szCs w:val="20"/>
              </w:rPr>
              <w:t>年出栏生猪</w:t>
            </w:r>
            <w:r>
              <w:rPr>
                <w:color w:val="auto"/>
                <w:spacing w:val="-55"/>
                <w:sz w:val="20"/>
                <w:szCs w:val="20"/>
              </w:rPr>
              <w:t xml:space="preserve"> </w:t>
            </w:r>
            <w:r>
              <w:rPr>
                <w:color w:val="auto"/>
                <w:sz w:val="20"/>
                <w:szCs w:val="20"/>
              </w:rPr>
              <w:t>5000头（其他畜禽种类折合猪的养殖规模）及以上的畜禽养殖场或养殖小区</w:t>
            </w:r>
          </w:p>
        </w:tc>
        <w:tc>
          <w:tcPr>
            <w:tcW w:w="740" w:type="dxa"/>
            <w:tcBorders>
              <w:top w:val="single" w:color="000000" w:sz="4" w:space="0"/>
              <w:left w:val="single" w:color="000000" w:sz="4" w:space="0"/>
              <w:bottom w:val="single" w:color="auto" w:sz="12" w:space="0"/>
            </w:tcBorders>
            <w:noWrap w:val="0"/>
            <w:vAlign w:val="center"/>
          </w:tcPr>
          <w:p>
            <w:pPr>
              <w:pStyle w:val="332"/>
              <w:kinsoku w:val="0"/>
              <w:overflowPunct w:val="0"/>
              <w:jc w:val="center"/>
              <w:rPr>
                <w:color w:val="auto"/>
                <w:sz w:val="20"/>
                <w:szCs w:val="20"/>
              </w:rPr>
            </w:pPr>
            <w:r>
              <w:rPr>
                <w:color w:val="auto"/>
                <w:sz w:val="20"/>
                <w:szCs w:val="20"/>
              </w:rPr>
              <w:t>其他</w:t>
            </w:r>
          </w:p>
        </w:tc>
      </w:tr>
    </w:tbl>
    <w:p>
      <w:pPr>
        <w:pStyle w:val="16"/>
        <w:spacing w:before="120" w:beforeLines="50" w:line="440" w:lineRule="exact"/>
        <w:ind w:firstLine="480"/>
        <w:rPr>
          <w:rFonts w:ascii="Times New Roman" w:hAnsi="Times New Roman"/>
          <w:color w:val="auto"/>
        </w:rPr>
      </w:pPr>
      <w:r>
        <w:rPr>
          <w:rFonts w:hint="eastAsia" w:ascii="宋体" w:hAnsi="宋体" w:cs="宋体"/>
          <w:color w:val="auto"/>
        </w:rPr>
        <w:t>②</w:t>
      </w:r>
      <w:r>
        <w:rPr>
          <w:rFonts w:ascii="Times New Roman" w:hAnsi="Times New Roman"/>
          <w:color w:val="auto"/>
        </w:rPr>
        <w:t>项目占地规模</w:t>
      </w:r>
    </w:p>
    <w:p>
      <w:pPr>
        <w:pStyle w:val="16"/>
        <w:spacing w:line="440" w:lineRule="exact"/>
        <w:ind w:firstLine="480"/>
        <w:rPr>
          <w:rFonts w:ascii="Times New Roman" w:hAnsi="Times New Roman"/>
          <w:color w:val="auto"/>
        </w:rPr>
      </w:pPr>
      <w:r>
        <w:rPr>
          <w:rFonts w:ascii="Times New Roman" w:hAnsi="Times New Roman"/>
          <w:color w:val="auto"/>
        </w:rPr>
        <w:t>本项目占地</w:t>
      </w:r>
      <w:r>
        <w:rPr>
          <w:rFonts w:hint="eastAsia" w:ascii="Times New Roman" w:hAnsi="Times New Roman"/>
          <w:color w:val="auto"/>
          <w:lang w:val="en-US" w:eastAsia="zh-CN"/>
        </w:rPr>
        <w:t>38.57亩</w:t>
      </w:r>
      <w:r>
        <w:rPr>
          <w:rFonts w:ascii="Times New Roman" w:hAnsi="Times New Roman"/>
          <w:color w:val="auto"/>
        </w:rPr>
        <w:t>，占地规模属于</w:t>
      </w:r>
      <w:r>
        <w:rPr>
          <w:rFonts w:hint="eastAsia" w:ascii="Times New Roman" w:hAnsi="Times New Roman"/>
          <w:b/>
          <w:bCs/>
          <w:color w:val="auto"/>
        </w:rPr>
        <w:t>小</w:t>
      </w:r>
      <w:r>
        <w:rPr>
          <w:rFonts w:ascii="Times New Roman" w:hAnsi="Times New Roman"/>
          <w:b/>
          <w:bCs/>
          <w:color w:val="auto"/>
        </w:rPr>
        <w:t>型</w:t>
      </w:r>
      <w:r>
        <w:rPr>
          <w:rFonts w:ascii="Times New Roman" w:hAnsi="Times New Roman"/>
          <w:bCs/>
          <w:color w:val="auto"/>
        </w:rPr>
        <w:t>（</w:t>
      </w:r>
      <w:r>
        <w:rPr>
          <w:rFonts w:hint="eastAsia" w:ascii="Times New Roman" w:hAnsi="Times New Roman"/>
          <w:bCs/>
          <w:color w:val="auto"/>
        </w:rPr>
        <w:t>≤</w:t>
      </w:r>
      <w:r>
        <w:rPr>
          <w:rFonts w:ascii="Times New Roman" w:hAnsi="Times New Roman"/>
          <w:color w:val="auto"/>
        </w:rPr>
        <w:t>5hm</w:t>
      </w:r>
      <w:r>
        <w:rPr>
          <w:rFonts w:ascii="Times New Roman" w:hAnsi="Times New Roman"/>
          <w:color w:val="auto"/>
          <w:vertAlign w:val="superscript"/>
        </w:rPr>
        <w:t>2</w:t>
      </w:r>
      <w:r>
        <w:rPr>
          <w:rFonts w:ascii="Times New Roman" w:hAnsi="Times New Roman"/>
          <w:color w:val="auto"/>
        </w:rPr>
        <w:t>）。</w:t>
      </w:r>
    </w:p>
    <w:p>
      <w:pPr>
        <w:pStyle w:val="16"/>
        <w:spacing w:line="440" w:lineRule="exact"/>
        <w:ind w:firstLine="480"/>
        <w:rPr>
          <w:rFonts w:ascii="Times New Roman" w:hAnsi="Times New Roman"/>
          <w:color w:val="auto"/>
        </w:rPr>
      </w:pPr>
      <w:r>
        <w:rPr>
          <w:rFonts w:hint="eastAsia" w:ascii="宋体" w:hAnsi="宋体" w:cs="宋体"/>
          <w:color w:val="auto"/>
        </w:rPr>
        <w:t>③</w:t>
      </w:r>
      <w:r>
        <w:rPr>
          <w:rFonts w:ascii="Times New Roman" w:hAnsi="Times New Roman"/>
          <w:color w:val="auto"/>
        </w:rPr>
        <w:t>项目所在地周边土壤环境敏感程度</w:t>
      </w:r>
    </w:p>
    <w:p>
      <w:pPr>
        <w:pStyle w:val="16"/>
        <w:spacing w:line="440" w:lineRule="exact"/>
        <w:ind w:firstLine="480"/>
        <w:rPr>
          <w:rFonts w:ascii="Times New Roman" w:hAnsi="Times New Roman"/>
          <w:color w:val="auto"/>
        </w:rPr>
      </w:pPr>
      <w:r>
        <w:rPr>
          <w:rFonts w:ascii="Times New Roman" w:hAnsi="Times New Roman"/>
          <w:color w:val="auto"/>
        </w:rPr>
        <w:t>建设项目所在地周边的土壤环境敏感程度可分为敏感、较敏感、不敏感，判定依据见表</w:t>
      </w:r>
      <w:r>
        <w:rPr>
          <w:rFonts w:hint="eastAsia" w:ascii="Times New Roman" w:hAnsi="Times New Roman"/>
          <w:color w:val="auto"/>
        </w:rPr>
        <w:t>2.</w:t>
      </w:r>
      <w:r>
        <w:rPr>
          <w:rFonts w:hint="eastAsia" w:ascii="Times New Roman" w:hAnsi="Times New Roman"/>
          <w:color w:val="auto"/>
          <w:lang w:val="en-US" w:eastAsia="zh-CN"/>
        </w:rPr>
        <w:t>6</w:t>
      </w:r>
      <w:r>
        <w:rPr>
          <w:rFonts w:hint="eastAsia" w:ascii="Times New Roman" w:hAnsi="Times New Roman"/>
          <w:color w:val="auto"/>
        </w:rPr>
        <w:t>-1</w:t>
      </w:r>
      <w:r>
        <w:rPr>
          <w:rFonts w:hint="eastAsia" w:ascii="Times New Roman" w:hAnsi="Times New Roman"/>
          <w:color w:val="auto"/>
          <w:lang w:val="en-US" w:eastAsia="zh-CN"/>
        </w:rPr>
        <w:t>1</w:t>
      </w:r>
      <w:r>
        <w:rPr>
          <w:rFonts w:ascii="Times New Roman" w:hAnsi="Times New Roman"/>
          <w:color w:val="auto"/>
        </w:rPr>
        <w:t>：</w:t>
      </w:r>
      <w:r>
        <w:rPr>
          <w:rFonts w:hint="eastAsia" w:ascii="Times New Roman" w:hAnsi="Times New Roman"/>
          <w:color w:val="auto"/>
        </w:rPr>
        <w:t xml:space="preserve"> </w:t>
      </w:r>
    </w:p>
    <w:p>
      <w:pPr>
        <w:pStyle w:val="166"/>
        <w:spacing w:before="120" w:beforeLines="0"/>
        <w:rPr>
          <w:color w:val="auto"/>
        </w:rPr>
      </w:pPr>
    </w:p>
    <w:p>
      <w:pPr>
        <w:pStyle w:val="166"/>
        <w:spacing w:before="120" w:beforeLines="0"/>
        <w:rPr>
          <w:color w:val="auto"/>
        </w:rPr>
      </w:pPr>
      <w:r>
        <w:rPr>
          <w:color w:val="auto"/>
        </w:rPr>
        <w:t>表2.</w:t>
      </w:r>
      <w:r>
        <w:rPr>
          <w:rFonts w:hint="eastAsia"/>
          <w:color w:val="auto"/>
          <w:lang w:val="en-US" w:eastAsia="zh-CN"/>
        </w:rPr>
        <w:t>6</w:t>
      </w:r>
      <w:r>
        <w:rPr>
          <w:color w:val="auto"/>
        </w:rPr>
        <w:t>-1</w:t>
      </w:r>
      <w:r>
        <w:rPr>
          <w:rFonts w:hint="eastAsia"/>
          <w:color w:val="auto"/>
          <w:lang w:val="en-US" w:eastAsia="zh-CN"/>
        </w:rPr>
        <w:t xml:space="preserve">1 </w:t>
      </w:r>
      <w:r>
        <w:rPr>
          <w:color w:val="auto"/>
        </w:rPr>
        <w:t>项目敏感程度分级表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521"/>
        <w:gridCol w:w="4222"/>
        <w:gridCol w:w="3044"/>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tblHeader/>
          <w:jc w:val="center"/>
        </w:trPr>
        <w:tc>
          <w:tcPr>
            <w:tcW w:w="1521" w:type="dxa"/>
            <w:noWrap w:val="0"/>
            <w:vAlign w:val="center"/>
          </w:tcPr>
          <w:p>
            <w:pPr>
              <w:pStyle w:val="332"/>
              <w:kinsoku w:val="0"/>
              <w:overflowPunct w:val="0"/>
              <w:jc w:val="center"/>
              <w:rPr>
                <w:color w:val="auto"/>
                <w:sz w:val="20"/>
                <w:szCs w:val="20"/>
              </w:rPr>
            </w:pPr>
            <w:r>
              <w:rPr>
                <w:b/>
                <w:bCs/>
                <w:color w:val="auto"/>
                <w:sz w:val="20"/>
                <w:szCs w:val="20"/>
              </w:rPr>
              <w:t>敏感程度</w:t>
            </w:r>
          </w:p>
        </w:tc>
        <w:tc>
          <w:tcPr>
            <w:tcW w:w="4222" w:type="dxa"/>
            <w:noWrap w:val="0"/>
            <w:vAlign w:val="center"/>
          </w:tcPr>
          <w:p>
            <w:pPr>
              <w:pStyle w:val="332"/>
              <w:kinsoku w:val="0"/>
              <w:overflowPunct w:val="0"/>
              <w:jc w:val="center"/>
              <w:rPr>
                <w:color w:val="auto"/>
                <w:sz w:val="20"/>
                <w:szCs w:val="20"/>
              </w:rPr>
            </w:pPr>
            <w:r>
              <w:rPr>
                <w:b/>
                <w:bCs/>
                <w:color w:val="auto"/>
                <w:sz w:val="20"/>
                <w:szCs w:val="20"/>
              </w:rPr>
              <w:t>判别依据</w:t>
            </w:r>
          </w:p>
        </w:tc>
        <w:tc>
          <w:tcPr>
            <w:tcW w:w="3044" w:type="dxa"/>
            <w:noWrap w:val="0"/>
            <w:vAlign w:val="center"/>
          </w:tcPr>
          <w:p>
            <w:pPr>
              <w:pStyle w:val="332"/>
              <w:kinsoku w:val="0"/>
              <w:overflowPunct w:val="0"/>
              <w:jc w:val="center"/>
              <w:rPr>
                <w:color w:val="auto"/>
                <w:sz w:val="20"/>
                <w:szCs w:val="20"/>
              </w:rPr>
            </w:pPr>
            <w:r>
              <w:rPr>
                <w:b/>
                <w:bCs/>
                <w:color w:val="auto"/>
                <w:sz w:val="20"/>
                <w:szCs w:val="20"/>
              </w:rPr>
              <w:t>本项目</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521" w:type="dxa"/>
            <w:noWrap w:val="0"/>
            <w:vAlign w:val="center"/>
          </w:tcPr>
          <w:p>
            <w:pPr>
              <w:pStyle w:val="332"/>
              <w:kinsoku w:val="0"/>
              <w:overflowPunct w:val="0"/>
              <w:ind w:right="2"/>
              <w:jc w:val="center"/>
              <w:rPr>
                <w:color w:val="auto"/>
                <w:sz w:val="20"/>
                <w:szCs w:val="20"/>
              </w:rPr>
            </w:pPr>
            <w:r>
              <w:rPr>
                <w:color w:val="auto"/>
                <w:sz w:val="20"/>
                <w:szCs w:val="20"/>
              </w:rPr>
              <w:t>敏感</w:t>
            </w:r>
          </w:p>
        </w:tc>
        <w:tc>
          <w:tcPr>
            <w:tcW w:w="4222" w:type="dxa"/>
            <w:noWrap w:val="0"/>
            <w:vAlign w:val="center"/>
          </w:tcPr>
          <w:p>
            <w:pPr>
              <w:pStyle w:val="332"/>
              <w:kinsoku w:val="0"/>
              <w:overflowPunct w:val="0"/>
              <w:ind w:right="1"/>
              <w:jc w:val="center"/>
              <w:rPr>
                <w:color w:val="auto"/>
                <w:sz w:val="20"/>
                <w:szCs w:val="20"/>
              </w:rPr>
            </w:pPr>
            <w:r>
              <w:rPr>
                <w:color w:val="auto"/>
                <w:sz w:val="20"/>
                <w:szCs w:val="20"/>
              </w:rPr>
              <w:t>建设项目周边存在耕地、园地、牧草地、饮用水水源地或居民区、学校、医院、疗养院、养老院等土壤环境敏感目标的</w:t>
            </w:r>
          </w:p>
        </w:tc>
        <w:tc>
          <w:tcPr>
            <w:tcW w:w="3044" w:type="dxa"/>
            <w:vMerge w:val="restart"/>
            <w:noWrap w:val="0"/>
            <w:vAlign w:val="center"/>
          </w:tcPr>
          <w:p>
            <w:pPr>
              <w:pStyle w:val="332"/>
              <w:ind w:right="74"/>
              <w:jc w:val="center"/>
              <w:rPr>
                <w:color w:val="auto"/>
                <w:sz w:val="20"/>
                <w:szCs w:val="20"/>
              </w:rPr>
            </w:pPr>
            <w:r>
              <w:rPr>
                <w:color w:val="auto"/>
                <w:spacing w:val="-2"/>
                <w:sz w:val="20"/>
                <w:szCs w:val="20"/>
              </w:rPr>
              <w:t>本项目位于</w:t>
            </w:r>
            <w:r>
              <w:rPr>
                <w:rFonts w:hint="eastAsia"/>
                <w:color w:val="auto"/>
                <w:spacing w:val="-2"/>
                <w:sz w:val="20"/>
                <w:szCs w:val="20"/>
                <w:lang w:eastAsia="zh-CN"/>
              </w:rPr>
              <w:t>绵阳市游仙区盐泉镇通远村（原葫芦村4社）</w:t>
            </w:r>
            <w:r>
              <w:rPr>
                <w:rFonts w:hint="eastAsia"/>
                <w:color w:val="auto"/>
                <w:spacing w:val="-2"/>
                <w:sz w:val="20"/>
                <w:szCs w:val="20"/>
              </w:rPr>
              <w:t>山上</w:t>
            </w:r>
            <w:r>
              <w:rPr>
                <w:color w:val="auto"/>
                <w:spacing w:val="-2"/>
                <w:sz w:val="20"/>
                <w:szCs w:val="20"/>
              </w:rPr>
              <w:t>，根据现场调查，本项目厂址周边均存在耕地，因此本项目所在区域土</w:t>
            </w:r>
            <w:r>
              <w:rPr>
                <w:color w:val="auto"/>
                <w:sz w:val="20"/>
                <w:szCs w:val="20"/>
              </w:rPr>
              <w:t>壤环境敏感程度为</w:t>
            </w:r>
            <w:r>
              <w:rPr>
                <w:rFonts w:hint="eastAsia"/>
                <w:color w:val="auto"/>
                <w:sz w:val="20"/>
                <w:szCs w:val="20"/>
              </w:rPr>
              <w:t>“</w:t>
            </w:r>
            <w:r>
              <w:rPr>
                <w:b/>
                <w:bCs/>
                <w:color w:val="auto"/>
                <w:sz w:val="20"/>
                <w:szCs w:val="20"/>
              </w:rPr>
              <w:t>敏感</w:t>
            </w:r>
            <w:r>
              <w:rPr>
                <w:rFonts w:hint="eastAsia"/>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521" w:type="dxa"/>
            <w:noWrap w:val="0"/>
            <w:vAlign w:val="center"/>
          </w:tcPr>
          <w:p>
            <w:pPr>
              <w:pStyle w:val="332"/>
              <w:kinsoku w:val="0"/>
              <w:overflowPunct w:val="0"/>
              <w:jc w:val="center"/>
              <w:rPr>
                <w:color w:val="auto"/>
                <w:sz w:val="20"/>
                <w:szCs w:val="20"/>
              </w:rPr>
            </w:pPr>
            <w:r>
              <w:rPr>
                <w:color w:val="auto"/>
                <w:sz w:val="20"/>
                <w:szCs w:val="20"/>
              </w:rPr>
              <w:t>较敏感</w:t>
            </w:r>
          </w:p>
        </w:tc>
        <w:tc>
          <w:tcPr>
            <w:tcW w:w="4222" w:type="dxa"/>
            <w:noWrap w:val="0"/>
            <w:vAlign w:val="center"/>
          </w:tcPr>
          <w:p>
            <w:pPr>
              <w:pStyle w:val="332"/>
              <w:kinsoku w:val="0"/>
              <w:overflowPunct w:val="0"/>
              <w:jc w:val="center"/>
              <w:rPr>
                <w:color w:val="auto"/>
                <w:sz w:val="20"/>
                <w:szCs w:val="20"/>
              </w:rPr>
            </w:pPr>
            <w:r>
              <w:rPr>
                <w:color w:val="auto"/>
                <w:sz w:val="20"/>
                <w:szCs w:val="20"/>
              </w:rPr>
              <w:t>建设项目周边存在其他土壤环境敏感目标的</w:t>
            </w:r>
          </w:p>
        </w:tc>
        <w:tc>
          <w:tcPr>
            <w:tcW w:w="3044" w:type="dxa"/>
            <w:vMerge w:val="continue"/>
            <w:noWrap w:val="0"/>
            <w:vAlign w:val="center"/>
          </w:tcPr>
          <w:p>
            <w:pPr>
              <w:pStyle w:val="332"/>
              <w:kinsoku w:val="0"/>
              <w:overflowPunct w:val="0"/>
              <w:ind w:left="421"/>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521" w:type="dxa"/>
            <w:noWrap w:val="0"/>
            <w:vAlign w:val="center"/>
          </w:tcPr>
          <w:p>
            <w:pPr>
              <w:pStyle w:val="332"/>
              <w:kinsoku w:val="0"/>
              <w:overflowPunct w:val="0"/>
              <w:jc w:val="center"/>
              <w:rPr>
                <w:color w:val="auto"/>
                <w:sz w:val="20"/>
                <w:szCs w:val="20"/>
              </w:rPr>
            </w:pPr>
            <w:r>
              <w:rPr>
                <w:color w:val="auto"/>
                <w:sz w:val="20"/>
                <w:szCs w:val="20"/>
              </w:rPr>
              <w:t>不敏感</w:t>
            </w:r>
          </w:p>
        </w:tc>
        <w:tc>
          <w:tcPr>
            <w:tcW w:w="4222" w:type="dxa"/>
            <w:noWrap w:val="0"/>
            <w:vAlign w:val="center"/>
          </w:tcPr>
          <w:p>
            <w:pPr>
              <w:pStyle w:val="332"/>
              <w:kinsoku w:val="0"/>
              <w:overflowPunct w:val="0"/>
              <w:ind w:right="1"/>
              <w:jc w:val="center"/>
              <w:rPr>
                <w:color w:val="auto"/>
                <w:sz w:val="20"/>
                <w:szCs w:val="20"/>
              </w:rPr>
            </w:pPr>
            <w:r>
              <w:rPr>
                <w:color w:val="auto"/>
                <w:sz w:val="20"/>
                <w:szCs w:val="20"/>
              </w:rPr>
              <w:t>其他情况</w:t>
            </w:r>
          </w:p>
        </w:tc>
        <w:tc>
          <w:tcPr>
            <w:tcW w:w="3044" w:type="dxa"/>
            <w:vMerge w:val="continue"/>
            <w:noWrap w:val="0"/>
            <w:vAlign w:val="center"/>
          </w:tcPr>
          <w:p>
            <w:pPr>
              <w:pStyle w:val="332"/>
              <w:kinsoku w:val="0"/>
              <w:overflowPunct w:val="0"/>
              <w:ind w:right="1"/>
              <w:jc w:val="center"/>
              <w:rPr>
                <w:color w:val="auto"/>
                <w:sz w:val="20"/>
                <w:szCs w:val="20"/>
              </w:rPr>
            </w:pPr>
          </w:p>
        </w:tc>
      </w:tr>
    </w:tbl>
    <w:p>
      <w:pPr>
        <w:pStyle w:val="16"/>
        <w:spacing w:line="440" w:lineRule="exact"/>
        <w:ind w:firstLine="480"/>
        <w:rPr>
          <w:rFonts w:ascii="Times New Roman" w:hAnsi="Times New Roman"/>
          <w:color w:val="auto"/>
        </w:rPr>
      </w:pPr>
      <w:r>
        <w:rPr>
          <w:rFonts w:ascii="Times New Roman" w:hAnsi="Times New Roman"/>
          <w:color w:val="auto"/>
        </w:rPr>
        <w:t>本项目</w:t>
      </w:r>
      <w:r>
        <w:rPr>
          <w:rFonts w:hint="eastAsia" w:ascii="Times New Roman" w:hAnsi="Times New Roman"/>
          <w:color w:val="auto"/>
          <w:lang w:eastAsia="zh-CN"/>
        </w:rPr>
        <w:t>绵阳市游仙区盐泉镇通远村（原葫芦村4社）</w:t>
      </w:r>
      <w:r>
        <w:rPr>
          <w:rFonts w:hint="eastAsia" w:ascii="Times New Roman" w:hAnsi="Times New Roman"/>
          <w:color w:val="auto"/>
        </w:rPr>
        <w:t>山上</w:t>
      </w:r>
      <w:r>
        <w:rPr>
          <w:rFonts w:ascii="Times New Roman" w:hAnsi="Times New Roman"/>
          <w:color w:val="auto"/>
        </w:rPr>
        <w:t>，根据现场调查，本项目厂址周边均存在耕地，因此本项目所在区域土壤环境敏感程度为</w:t>
      </w:r>
      <w:r>
        <w:rPr>
          <w:rFonts w:hint="eastAsia" w:ascii="Times New Roman" w:hAnsi="Times New Roman"/>
          <w:color w:val="auto"/>
        </w:rPr>
        <w:t>“</w:t>
      </w:r>
      <w:r>
        <w:rPr>
          <w:rFonts w:ascii="Times New Roman" w:hAnsi="Times New Roman"/>
          <w:b/>
          <w:color w:val="auto"/>
        </w:rPr>
        <w:t>敏感</w:t>
      </w:r>
      <w:r>
        <w:rPr>
          <w:rFonts w:hint="eastAsia" w:ascii="Times New Roman" w:hAnsi="Times New Roman"/>
          <w:color w:val="auto"/>
        </w:rPr>
        <w:t>”</w:t>
      </w:r>
      <w:r>
        <w:rPr>
          <w:rFonts w:ascii="Times New Roman" w:hAnsi="Times New Roman"/>
          <w:color w:val="auto"/>
        </w:rPr>
        <w:t>。</w:t>
      </w:r>
    </w:p>
    <w:p>
      <w:pPr>
        <w:pStyle w:val="16"/>
        <w:spacing w:line="440" w:lineRule="exact"/>
        <w:ind w:firstLine="480"/>
        <w:rPr>
          <w:rFonts w:ascii="Times New Roman" w:hAnsi="Times New Roman"/>
          <w:color w:val="auto"/>
        </w:rPr>
      </w:pPr>
      <w:r>
        <w:rPr>
          <w:rFonts w:hint="eastAsia" w:ascii="宋体" w:hAnsi="宋体" w:cs="宋体"/>
          <w:color w:val="auto"/>
        </w:rPr>
        <w:t>④</w:t>
      </w:r>
      <w:r>
        <w:rPr>
          <w:rFonts w:ascii="Times New Roman" w:hAnsi="Times New Roman"/>
          <w:color w:val="auto"/>
        </w:rPr>
        <w:t>评价等级</w:t>
      </w:r>
    </w:p>
    <w:p>
      <w:pPr>
        <w:pStyle w:val="16"/>
        <w:spacing w:line="440" w:lineRule="exact"/>
        <w:ind w:firstLine="480"/>
        <w:rPr>
          <w:rFonts w:ascii="Times New Roman" w:hAnsi="Times New Roman"/>
          <w:color w:val="auto"/>
        </w:rPr>
      </w:pPr>
      <w:r>
        <w:rPr>
          <w:rFonts w:ascii="Times New Roman" w:hAnsi="Times New Roman"/>
          <w:color w:val="auto"/>
        </w:rPr>
        <w:t>根据上述识别结果，本项目为污染影响型建设项目，为农林牧渔业中的年出栏生猪5000头（其他畜禽种类折合猪的养殖规模）及以上的畜禽养殖场或养殖小区类项目，属Ⅲ类项目。占地规模属</w:t>
      </w:r>
      <w:r>
        <w:rPr>
          <w:rFonts w:hint="eastAsia" w:ascii="Times New Roman" w:hAnsi="Times New Roman"/>
          <w:color w:val="auto"/>
        </w:rPr>
        <w:t>小</w:t>
      </w:r>
      <w:r>
        <w:rPr>
          <w:rFonts w:ascii="Times New Roman" w:hAnsi="Times New Roman"/>
          <w:color w:val="auto"/>
        </w:rPr>
        <w:t>型，土壤环境敏感程度为敏感，综合判定评价等级为</w:t>
      </w:r>
      <w:r>
        <w:rPr>
          <w:rFonts w:hint="eastAsia" w:ascii="Times New Roman" w:hAnsi="Times New Roman"/>
          <w:color w:val="auto"/>
        </w:rPr>
        <w:t>“</w:t>
      </w:r>
      <w:r>
        <w:rPr>
          <w:rFonts w:ascii="Times New Roman" w:hAnsi="Times New Roman"/>
          <w:b/>
          <w:color w:val="auto"/>
        </w:rPr>
        <w:t>三级</w:t>
      </w:r>
      <w:r>
        <w:rPr>
          <w:rFonts w:hint="eastAsia" w:ascii="Times New Roman" w:hAnsi="Times New Roman"/>
          <w:color w:val="auto"/>
        </w:rPr>
        <w:t>”</w:t>
      </w:r>
      <w:r>
        <w:rPr>
          <w:rFonts w:ascii="Times New Roman" w:hAnsi="Times New Roman"/>
          <w:color w:val="auto"/>
        </w:rPr>
        <w:t>。</w:t>
      </w:r>
    </w:p>
    <w:p>
      <w:pPr>
        <w:pStyle w:val="166"/>
        <w:spacing w:before="120" w:beforeLines="0" w:line="240" w:lineRule="auto"/>
        <w:rPr>
          <w:color w:val="auto"/>
        </w:rPr>
      </w:pPr>
      <w:r>
        <w:rPr>
          <w:color w:val="auto"/>
        </w:rPr>
        <w:t>表2.</w:t>
      </w:r>
      <w:r>
        <w:rPr>
          <w:rFonts w:hint="eastAsia"/>
          <w:color w:val="auto"/>
          <w:lang w:val="en-US" w:eastAsia="zh-CN"/>
        </w:rPr>
        <w:t>6</w:t>
      </w:r>
      <w:r>
        <w:rPr>
          <w:color w:val="auto"/>
        </w:rPr>
        <w:t>-1</w:t>
      </w:r>
      <w:r>
        <w:rPr>
          <w:rFonts w:hint="eastAsia"/>
          <w:color w:val="auto"/>
          <w:lang w:val="en-US" w:eastAsia="zh-CN"/>
        </w:rPr>
        <w:t xml:space="preserve">2 </w:t>
      </w:r>
      <w:r>
        <w:rPr>
          <w:color w:val="auto"/>
        </w:rPr>
        <w:t>污染影响型评价工作等级划分表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3"/>
        <w:gridCol w:w="712"/>
        <w:gridCol w:w="790"/>
        <w:gridCol w:w="794"/>
        <w:gridCol w:w="790"/>
        <w:gridCol w:w="790"/>
        <w:gridCol w:w="794"/>
        <w:gridCol w:w="792"/>
        <w:gridCol w:w="792"/>
        <w:gridCol w:w="7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953" w:type="dxa"/>
            <w:vMerge w:val="restart"/>
            <w:noWrap w:val="0"/>
            <w:vAlign w:val="center"/>
          </w:tcPr>
          <w:p>
            <w:pPr>
              <w:spacing w:line="320" w:lineRule="exact"/>
              <w:ind w:firstLine="0" w:firstLineChars="0"/>
              <w:jc w:val="center"/>
              <w:rPr>
                <w:b/>
                <w:color w:val="auto"/>
                <w:sz w:val="20"/>
                <w:szCs w:val="20"/>
              </w:rPr>
            </w:pPr>
            <w:r>
              <w:rPr>
                <w:color w:val="auto"/>
                <w:sz w:val="20"/>
                <w:szCs w:val="20"/>
                <w:lang/>
              </w:rPr>
              <mc:AlternateContent>
                <mc:Choice Requires="wpg">
                  <w:drawing>
                    <wp:anchor distT="0" distB="0" distL="114300" distR="114300" simplePos="0" relativeHeight="251659264" behindDoc="0" locked="0" layoutInCell="1" allowOverlap="1">
                      <wp:simplePos x="0" y="0"/>
                      <wp:positionH relativeFrom="column">
                        <wp:posOffset>-26035</wp:posOffset>
                      </wp:positionH>
                      <wp:positionV relativeFrom="paragraph">
                        <wp:posOffset>6985</wp:posOffset>
                      </wp:positionV>
                      <wp:extent cx="1191895" cy="589915"/>
                      <wp:effectExtent l="1270" t="3810" r="6985" b="15875"/>
                      <wp:wrapNone/>
                      <wp:docPr id="3" name="组合 3"/>
                      <wp:cNvGraphicFramePr/>
                      <a:graphic xmlns:a="http://schemas.openxmlformats.org/drawingml/2006/main">
                        <a:graphicData uri="http://schemas.microsoft.com/office/word/2010/wordprocessingGroup">
                          <wpg:wgp>
                            <wpg:cNvGrpSpPr/>
                            <wpg:grpSpPr>
                              <a:xfrm>
                                <a:off x="0" y="0"/>
                                <a:ext cx="1191895" cy="589915"/>
                                <a:chOff x="0" y="0"/>
                                <a:chExt cx="1877" cy="929"/>
                              </a:xfrm>
                            </wpg:grpSpPr>
                            <wps:wsp>
                              <wps:cNvPr id="1" name="直接连接符 5"/>
                              <wps:cNvSpPr/>
                              <wps:spPr>
                                <a:xfrm flipH="1" flipV="1">
                                  <a:off x="677" y="0"/>
                                  <a:ext cx="1182" cy="929"/>
                                </a:xfrm>
                                <a:prstGeom prst="line">
                                  <a:avLst/>
                                </a:prstGeom>
                                <a:ln w="6350" cap="flat" cmpd="sng">
                                  <a:solidFill>
                                    <a:srgbClr val="000000"/>
                                  </a:solidFill>
                                  <a:prstDash val="solid"/>
                                  <a:headEnd type="none" w="med" len="med"/>
                                  <a:tailEnd type="none" w="med" len="med"/>
                                </a:ln>
                              </wps:spPr>
                              <wps:bodyPr upright="1"/>
                            </wps:wsp>
                            <wps:wsp>
                              <wps:cNvPr id="2" name="直接连接符 6"/>
                              <wps:cNvSpPr/>
                              <wps:spPr>
                                <a:xfrm flipH="1" flipV="1">
                                  <a:off x="0" y="484"/>
                                  <a:ext cx="1877" cy="444"/>
                                </a:xfrm>
                                <a:prstGeom prst="line">
                                  <a:avLst/>
                                </a:prstGeom>
                                <a:ln w="63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05pt;margin-top:0.55pt;height:46.45pt;width:93.85pt;z-index:251659264;mso-width-relative:page;mso-height-relative:page;" coordsize="1877,929" o:gfxdata="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GeFkL3XAAAABwEAAA8AAAAAAAAAAQAgAAAAIgAAAGRycy9kb3ducmV2LnhtbFBLAQIUABQAAAAI&#10;AIdO4kDDZ+BGmQIAAD0HAAAOAAAAAAAAAAEAIAAAACYBAABkcnMvZTJvRG9jLnhtbFBLBQYAAAAA&#10;BgAGAFkBAAAxBgAAAAA=&#10;">
                      <o:lock v:ext="edit" grouping="f" rotation="f" text="f" aspectratio="f"/>
                      <v:line id="直接连接符 5" o:spid="_x0000_s1026" o:spt="20" style="position:absolute;left:677;top:0;flip:x y;height:929;width:1182;" filled="f" stroked="t" coordsize="21600,21600" o:gfxdata="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MdPce5AAAA2g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直接连接符 6" o:spid="_x0000_s1026" o:spt="20" style="position:absolute;left:0;top:484;flip:x y;height:444;width:1877;" filled="f" stroked="t" coordsize="21600,21600" o:gfxdata="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Po7C8AAAA&#10;2g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group>
                  </w:pict>
                </mc:Fallback>
              </mc:AlternateContent>
            </w:r>
            <w:r>
              <w:rPr>
                <w:b/>
                <w:color w:val="auto"/>
                <w:sz w:val="20"/>
                <w:szCs w:val="20"/>
              </w:rPr>
              <w:t xml:space="preserve">        占地规模</w:t>
            </w:r>
          </w:p>
          <w:p>
            <w:pPr>
              <w:spacing w:line="320" w:lineRule="exact"/>
              <w:ind w:firstLine="0" w:firstLineChars="0"/>
              <w:rPr>
                <w:b/>
                <w:color w:val="auto"/>
                <w:sz w:val="20"/>
                <w:szCs w:val="20"/>
              </w:rPr>
            </w:pPr>
            <w:r>
              <w:rPr>
                <w:b/>
                <w:color w:val="auto"/>
                <w:sz w:val="20"/>
                <w:szCs w:val="20"/>
              </w:rPr>
              <w:t>评价工作等级</w:t>
            </w:r>
          </w:p>
          <w:p>
            <w:pPr>
              <w:spacing w:line="320" w:lineRule="exact"/>
              <w:ind w:firstLine="0" w:firstLineChars="0"/>
              <w:rPr>
                <w:b/>
                <w:color w:val="auto"/>
                <w:sz w:val="20"/>
                <w:szCs w:val="20"/>
              </w:rPr>
            </w:pPr>
            <w:r>
              <w:rPr>
                <w:b/>
                <w:color w:val="auto"/>
                <w:sz w:val="20"/>
                <w:szCs w:val="20"/>
              </w:rPr>
              <w:t>敏感程度</w:t>
            </w:r>
          </w:p>
        </w:tc>
        <w:tc>
          <w:tcPr>
            <w:tcW w:w="2296" w:type="dxa"/>
            <w:gridSpan w:val="3"/>
            <w:noWrap w:val="0"/>
            <w:vAlign w:val="center"/>
          </w:tcPr>
          <w:p>
            <w:pPr>
              <w:spacing w:line="240" w:lineRule="auto"/>
              <w:ind w:firstLine="0" w:firstLineChars="0"/>
              <w:jc w:val="center"/>
              <w:rPr>
                <w:b/>
                <w:color w:val="auto"/>
                <w:sz w:val="20"/>
                <w:szCs w:val="20"/>
              </w:rPr>
            </w:pPr>
            <w:r>
              <w:rPr>
                <w:rFonts w:eastAsia="微软雅黑"/>
                <w:b/>
                <w:color w:val="auto"/>
                <w:sz w:val="20"/>
                <w:szCs w:val="20"/>
              </w:rPr>
              <w:t>Ⅰ</w:t>
            </w:r>
            <w:r>
              <w:rPr>
                <w:b/>
                <w:color w:val="auto"/>
                <w:sz w:val="20"/>
                <w:szCs w:val="20"/>
              </w:rPr>
              <w:t>类</w:t>
            </w:r>
          </w:p>
        </w:tc>
        <w:tc>
          <w:tcPr>
            <w:tcW w:w="2374" w:type="dxa"/>
            <w:gridSpan w:val="3"/>
            <w:noWrap w:val="0"/>
            <w:vAlign w:val="center"/>
          </w:tcPr>
          <w:p>
            <w:pPr>
              <w:spacing w:line="240" w:lineRule="auto"/>
              <w:ind w:firstLine="0" w:firstLineChars="0"/>
              <w:jc w:val="center"/>
              <w:rPr>
                <w:b/>
                <w:color w:val="auto"/>
                <w:sz w:val="20"/>
                <w:szCs w:val="20"/>
              </w:rPr>
            </w:pPr>
            <w:r>
              <w:rPr>
                <w:rFonts w:eastAsia="微软雅黑"/>
                <w:b/>
                <w:color w:val="auto"/>
                <w:sz w:val="20"/>
                <w:szCs w:val="20"/>
              </w:rPr>
              <w:t>Ⅱ</w:t>
            </w:r>
            <w:r>
              <w:rPr>
                <w:b/>
                <w:color w:val="auto"/>
                <w:sz w:val="20"/>
                <w:szCs w:val="20"/>
              </w:rPr>
              <w:t>类</w:t>
            </w:r>
          </w:p>
        </w:tc>
        <w:tc>
          <w:tcPr>
            <w:tcW w:w="2380" w:type="dxa"/>
            <w:gridSpan w:val="3"/>
            <w:noWrap w:val="0"/>
            <w:vAlign w:val="center"/>
          </w:tcPr>
          <w:p>
            <w:pPr>
              <w:spacing w:line="240" w:lineRule="auto"/>
              <w:ind w:firstLine="0" w:firstLineChars="0"/>
              <w:jc w:val="center"/>
              <w:rPr>
                <w:b/>
                <w:color w:val="auto"/>
                <w:sz w:val="20"/>
                <w:szCs w:val="20"/>
              </w:rPr>
            </w:pPr>
            <w:r>
              <w:rPr>
                <w:rFonts w:eastAsia="微软雅黑"/>
                <w:b/>
                <w:color w:val="auto"/>
                <w:sz w:val="20"/>
                <w:szCs w:val="20"/>
              </w:rPr>
              <w:t>Ⅲ</w:t>
            </w:r>
            <w:r>
              <w:rPr>
                <w:b/>
                <w:color w:val="auto"/>
                <w:sz w:val="20"/>
                <w:szCs w:val="20"/>
              </w:rPr>
              <w:t>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953" w:type="dxa"/>
            <w:vMerge w:val="continue"/>
            <w:noWrap w:val="0"/>
            <w:vAlign w:val="center"/>
          </w:tcPr>
          <w:p>
            <w:pPr>
              <w:spacing w:line="240" w:lineRule="auto"/>
              <w:ind w:firstLine="0" w:firstLineChars="0"/>
              <w:jc w:val="center"/>
              <w:rPr>
                <w:b/>
                <w:color w:val="auto"/>
                <w:sz w:val="20"/>
                <w:szCs w:val="20"/>
              </w:rPr>
            </w:pPr>
          </w:p>
        </w:tc>
        <w:tc>
          <w:tcPr>
            <w:tcW w:w="712" w:type="dxa"/>
            <w:noWrap w:val="0"/>
            <w:vAlign w:val="center"/>
          </w:tcPr>
          <w:p>
            <w:pPr>
              <w:spacing w:line="240" w:lineRule="auto"/>
              <w:ind w:firstLine="0" w:firstLineChars="0"/>
              <w:jc w:val="center"/>
              <w:rPr>
                <w:b/>
                <w:color w:val="auto"/>
                <w:sz w:val="20"/>
                <w:szCs w:val="20"/>
              </w:rPr>
            </w:pPr>
            <w:r>
              <w:rPr>
                <w:b/>
                <w:color w:val="auto"/>
                <w:sz w:val="20"/>
                <w:szCs w:val="20"/>
              </w:rPr>
              <w:t>大</w:t>
            </w:r>
          </w:p>
        </w:tc>
        <w:tc>
          <w:tcPr>
            <w:tcW w:w="790" w:type="dxa"/>
            <w:noWrap w:val="0"/>
            <w:vAlign w:val="center"/>
          </w:tcPr>
          <w:p>
            <w:pPr>
              <w:spacing w:line="240" w:lineRule="auto"/>
              <w:ind w:firstLine="0" w:firstLineChars="0"/>
              <w:jc w:val="center"/>
              <w:rPr>
                <w:b/>
                <w:color w:val="auto"/>
                <w:sz w:val="20"/>
                <w:szCs w:val="20"/>
              </w:rPr>
            </w:pPr>
            <w:r>
              <w:rPr>
                <w:b/>
                <w:color w:val="auto"/>
                <w:sz w:val="20"/>
                <w:szCs w:val="20"/>
              </w:rPr>
              <w:t>中</w:t>
            </w:r>
          </w:p>
        </w:tc>
        <w:tc>
          <w:tcPr>
            <w:tcW w:w="794" w:type="dxa"/>
            <w:noWrap w:val="0"/>
            <w:vAlign w:val="center"/>
          </w:tcPr>
          <w:p>
            <w:pPr>
              <w:spacing w:line="240" w:lineRule="auto"/>
              <w:ind w:firstLine="0" w:firstLineChars="0"/>
              <w:jc w:val="center"/>
              <w:rPr>
                <w:b/>
                <w:color w:val="auto"/>
                <w:sz w:val="20"/>
                <w:szCs w:val="20"/>
              </w:rPr>
            </w:pPr>
            <w:r>
              <w:rPr>
                <w:b/>
                <w:color w:val="auto"/>
                <w:sz w:val="20"/>
                <w:szCs w:val="20"/>
              </w:rPr>
              <w:t>小</w:t>
            </w:r>
          </w:p>
        </w:tc>
        <w:tc>
          <w:tcPr>
            <w:tcW w:w="790" w:type="dxa"/>
            <w:noWrap w:val="0"/>
            <w:vAlign w:val="center"/>
          </w:tcPr>
          <w:p>
            <w:pPr>
              <w:spacing w:line="240" w:lineRule="auto"/>
              <w:ind w:firstLine="0" w:firstLineChars="0"/>
              <w:jc w:val="center"/>
              <w:rPr>
                <w:b/>
                <w:color w:val="auto"/>
                <w:sz w:val="20"/>
                <w:szCs w:val="20"/>
              </w:rPr>
            </w:pPr>
            <w:r>
              <w:rPr>
                <w:b/>
                <w:color w:val="auto"/>
                <w:sz w:val="20"/>
                <w:szCs w:val="20"/>
              </w:rPr>
              <w:t>大</w:t>
            </w:r>
          </w:p>
        </w:tc>
        <w:tc>
          <w:tcPr>
            <w:tcW w:w="790" w:type="dxa"/>
            <w:noWrap w:val="0"/>
            <w:vAlign w:val="center"/>
          </w:tcPr>
          <w:p>
            <w:pPr>
              <w:spacing w:line="240" w:lineRule="auto"/>
              <w:ind w:firstLine="0" w:firstLineChars="0"/>
              <w:jc w:val="center"/>
              <w:rPr>
                <w:b/>
                <w:color w:val="auto"/>
                <w:sz w:val="20"/>
                <w:szCs w:val="20"/>
              </w:rPr>
            </w:pPr>
            <w:r>
              <w:rPr>
                <w:b/>
                <w:color w:val="auto"/>
                <w:sz w:val="20"/>
                <w:szCs w:val="20"/>
              </w:rPr>
              <w:t>中</w:t>
            </w:r>
          </w:p>
        </w:tc>
        <w:tc>
          <w:tcPr>
            <w:tcW w:w="794" w:type="dxa"/>
            <w:tcBorders>
              <w:bottom w:val="single" w:color="auto" w:sz="4" w:space="0"/>
            </w:tcBorders>
            <w:noWrap w:val="0"/>
            <w:vAlign w:val="center"/>
          </w:tcPr>
          <w:p>
            <w:pPr>
              <w:spacing w:line="240" w:lineRule="auto"/>
              <w:ind w:firstLine="0" w:firstLineChars="0"/>
              <w:jc w:val="center"/>
              <w:rPr>
                <w:b/>
                <w:color w:val="auto"/>
                <w:sz w:val="20"/>
                <w:szCs w:val="20"/>
              </w:rPr>
            </w:pPr>
            <w:r>
              <w:rPr>
                <w:b/>
                <w:color w:val="auto"/>
                <w:sz w:val="20"/>
                <w:szCs w:val="20"/>
              </w:rPr>
              <w:t>小</w:t>
            </w:r>
          </w:p>
        </w:tc>
        <w:tc>
          <w:tcPr>
            <w:tcW w:w="792" w:type="dxa"/>
            <w:noWrap w:val="0"/>
            <w:vAlign w:val="center"/>
          </w:tcPr>
          <w:p>
            <w:pPr>
              <w:spacing w:line="240" w:lineRule="auto"/>
              <w:ind w:firstLine="0" w:firstLineChars="0"/>
              <w:jc w:val="center"/>
              <w:rPr>
                <w:b/>
                <w:color w:val="auto"/>
                <w:sz w:val="20"/>
                <w:szCs w:val="20"/>
              </w:rPr>
            </w:pPr>
            <w:r>
              <w:rPr>
                <w:b/>
                <w:color w:val="auto"/>
                <w:sz w:val="20"/>
                <w:szCs w:val="20"/>
              </w:rPr>
              <w:t>大</w:t>
            </w:r>
          </w:p>
        </w:tc>
        <w:tc>
          <w:tcPr>
            <w:tcW w:w="792" w:type="dxa"/>
            <w:tcBorders>
              <w:bottom w:val="single" w:color="auto" w:sz="4" w:space="0"/>
            </w:tcBorders>
            <w:noWrap w:val="0"/>
            <w:vAlign w:val="center"/>
          </w:tcPr>
          <w:p>
            <w:pPr>
              <w:spacing w:line="240" w:lineRule="auto"/>
              <w:ind w:firstLine="0" w:firstLineChars="0"/>
              <w:jc w:val="center"/>
              <w:rPr>
                <w:b/>
                <w:color w:val="auto"/>
                <w:sz w:val="20"/>
                <w:szCs w:val="20"/>
              </w:rPr>
            </w:pPr>
            <w:r>
              <w:rPr>
                <w:b/>
                <w:color w:val="auto"/>
                <w:sz w:val="20"/>
                <w:szCs w:val="20"/>
              </w:rPr>
              <w:t>中</w:t>
            </w:r>
          </w:p>
        </w:tc>
        <w:tc>
          <w:tcPr>
            <w:tcW w:w="796" w:type="dxa"/>
            <w:tcBorders>
              <w:bottom w:val="single" w:color="auto" w:sz="4" w:space="0"/>
            </w:tcBorders>
            <w:noWrap w:val="0"/>
            <w:vAlign w:val="center"/>
          </w:tcPr>
          <w:p>
            <w:pPr>
              <w:spacing w:line="240" w:lineRule="auto"/>
              <w:ind w:firstLine="0" w:firstLineChars="0"/>
              <w:jc w:val="center"/>
              <w:rPr>
                <w:b/>
                <w:color w:val="auto"/>
                <w:sz w:val="20"/>
                <w:szCs w:val="20"/>
              </w:rPr>
            </w:pPr>
            <w:r>
              <w:rPr>
                <w:b/>
                <w:color w:val="auto"/>
                <w:sz w:val="20"/>
                <w:szCs w:val="20"/>
              </w:rPr>
              <w:t>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953"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敏感</w:t>
            </w:r>
          </w:p>
        </w:tc>
        <w:tc>
          <w:tcPr>
            <w:tcW w:w="712"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一级</w:t>
            </w:r>
          </w:p>
        </w:tc>
        <w:tc>
          <w:tcPr>
            <w:tcW w:w="790"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一级</w:t>
            </w:r>
          </w:p>
        </w:tc>
        <w:tc>
          <w:tcPr>
            <w:tcW w:w="794"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一级</w:t>
            </w:r>
          </w:p>
        </w:tc>
        <w:tc>
          <w:tcPr>
            <w:tcW w:w="790"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二级</w:t>
            </w:r>
          </w:p>
        </w:tc>
        <w:tc>
          <w:tcPr>
            <w:tcW w:w="790"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二级</w:t>
            </w:r>
          </w:p>
        </w:tc>
        <w:tc>
          <w:tcPr>
            <w:tcW w:w="794" w:type="dxa"/>
            <w:tcBorders>
              <w:top w:val="single" w:color="auto" w:sz="4" w:space="0"/>
              <w:bottom w:val="single" w:color="auto" w:sz="4" w:space="0"/>
            </w:tcBorders>
            <w:shd w:val="clear" w:color="auto" w:fill="auto"/>
            <w:noWrap w:val="0"/>
            <w:vAlign w:val="center"/>
          </w:tcPr>
          <w:p>
            <w:pPr>
              <w:spacing w:line="240" w:lineRule="auto"/>
              <w:ind w:firstLine="0" w:firstLineChars="0"/>
              <w:jc w:val="center"/>
              <w:rPr>
                <w:color w:val="auto"/>
                <w:sz w:val="20"/>
                <w:szCs w:val="20"/>
              </w:rPr>
            </w:pPr>
            <w:r>
              <w:rPr>
                <w:color w:val="auto"/>
                <w:sz w:val="20"/>
                <w:szCs w:val="20"/>
              </w:rPr>
              <w:t>二级</w:t>
            </w:r>
          </w:p>
        </w:tc>
        <w:tc>
          <w:tcPr>
            <w:tcW w:w="792" w:type="dxa"/>
            <w:shd w:val="clear" w:color="auto" w:fill="auto"/>
            <w:noWrap w:val="0"/>
            <w:vAlign w:val="center"/>
          </w:tcPr>
          <w:p>
            <w:pPr>
              <w:spacing w:line="240" w:lineRule="auto"/>
              <w:ind w:firstLine="0" w:firstLineChars="0"/>
              <w:jc w:val="center"/>
              <w:rPr>
                <w:color w:val="auto"/>
                <w:sz w:val="20"/>
                <w:szCs w:val="20"/>
              </w:rPr>
            </w:pPr>
            <w:r>
              <w:rPr>
                <w:color w:val="auto"/>
                <w:sz w:val="20"/>
                <w:szCs w:val="20"/>
              </w:rPr>
              <w:t>三级</w:t>
            </w:r>
          </w:p>
        </w:tc>
        <w:tc>
          <w:tcPr>
            <w:tcW w:w="792" w:type="dxa"/>
            <w:tcBorders>
              <w:top w:val="single" w:color="auto" w:sz="4" w:space="0"/>
              <w:bottom w:val="single" w:color="auto" w:sz="4" w:space="0"/>
            </w:tcBorders>
            <w:shd w:val="clear" w:color="auto" w:fill="auto"/>
            <w:noWrap w:val="0"/>
            <w:vAlign w:val="center"/>
          </w:tcPr>
          <w:p>
            <w:pPr>
              <w:spacing w:line="240" w:lineRule="auto"/>
              <w:ind w:firstLine="0" w:firstLineChars="0"/>
              <w:jc w:val="center"/>
              <w:rPr>
                <w:b/>
                <w:color w:val="auto"/>
                <w:sz w:val="20"/>
                <w:szCs w:val="20"/>
              </w:rPr>
            </w:pPr>
            <w:r>
              <w:rPr>
                <w:b/>
                <w:color w:val="auto"/>
                <w:sz w:val="20"/>
                <w:szCs w:val="20"/>
              </w:rPr>
              <w:t>三级</w:t>
            </w:r>
          </w:p>
        </w:tc>
        <w:tc>
          <w:tcPr>
            <w:tcW w:w="796" w:type="dxa"/>
            <w:tcBorders>
              <w:top w:val="single" w:color="auto" w:sz="4" w:space="0"/>
              <w:bottom w:val="single" w:color="auto" w:sz="4" w:space="0"/>
            </w:tcBorders>
            <w:shd w:val="clear" w:color="auto" w:fill="D9D9D9"/>
            <w:noWrap w:val="0"/>
            <w:vAlign w:val="center"/>
          </w:tcPr>
          <w:p>
            <w:pPr>
              <w:spacing w:line="240" w:lineRule="auto"/>
              <w:ind w:firstLine="0" w:firstLineChars="0"/>
              <w:jc w:val="center"/>
              <w:rPr>
                <w:color w:val="auto"/>
                <w:sz w:val="20"/>
                <w:szCs w:val="20"/>
              </w:rPr>
            </w:pPr>
            <w:r>
              <w:rPr>
                <w:color w:val="auto"/>
                <w:sz w:val="20"/>
                <w:szCs w:val="20"/>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953" w:type="dxa"/>
            <w:noWrap w:val="0"/>
            <w:vAlign w:val="center"/>
          </w:tcPr>
          <w:p>
            <w:pPr>
              <w:spacing w:line="240" w:lineRule="auto"/>
              <w:ind w:firstLine="0" w:firstLineChars="0"/>
              <w:jc w:val="center"/>
              <w:rPr>
                <w:color w:val="auto"/>
                <w:sz w:val="20"/>
                <w:szCs w:val="20"/>
              </w:rPr>
            </w:pPr>
            <w:r>
              <w:rPr>
                <w:color w:val="auto"/>
                <w:sz w:val="20"/>
                <w:szCs w:val="20"/>
              </w:rPr>
              <w:t>较敏感</w:t>
            </w:r>
          </w:p>
        </w:tc>
        <w:tc>
          <w:tcPr>
            <w:tcW w:w="712" w:type="dxa"/>
            <w:noWrap w:val="0"/>
            <w:vAlign w:val="center"/>
          </w:tcPr>
          <w:p>
            <w:pPr>
              <w:spacing w:line="240" w:lineRule="auto"/>
              <w:ind w:firstLine="0" w:firstLineChars="0"/>
              <w:jc w:val="center"/>
              <w:rPr>
                <w:color w:val="auto"/>
                <w:sz w:val="20"/>
                <w:szCs w:val="20"/>
              </w:rPr>
            </w:pPr>
            <w:r>
              <w:rPr>
                <w:color w:val="auto"/>
                <w:sz w:val="20"/>
                <w:szCs w:val="20"/>
              </w:rPr>
              <w:t>一级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一级</w:t>
            </w:r>
          </w:p>
        </w:tc>
        <w:tc>
          <w:tcPr>
            <w:tcW w:w="794"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4" w:type="dxa"/>
            <w:tcBorders>
              <w:top w:val="single" w:color="auto" w:sz="4" w:space="0"/>
            </w:tcBorders>
            <w:noWrap w:val="0"/>
            <w:vAlign w:val="center"/>
          </w:tcPr>
          <w:p>
            <w:pPr>
              <w:spacing w:line="240" w:lineRule="auto"/>
              <w:ind w:firstLine="0" w:firstLineChars="0"/>
              <w:jc w:val="center"/>
              <w:rPr>
                <w:color w:val="auto"/>
                <w:sz w:val="20"/>
                <w:szCs w:val="20"/>
              </w:rPr>
            </w:pPr>
            <w:r>
              <w:rPr>
                <w:color w:val="auto"/>
                <w:sz w:val="20"/>
                <w:szCs w:val="20"/>
              </w:rPr>
              <w:t>三级</w:t>
            </w:r>
          </w:p>
        </w:tc>
        <w:tc>
          <w:tcPr>
            <w:tcW w:w="792" w:type="dxa"/>
            <w:noWrap w:val="0"/>
            <w:vAlign w:val="center"/>
          </w:tcPr>
          <w:p>
            <w:pPr>
              <w:spacing w:line="240" w:lineRule="auto"/>
              <w:ind w:firstLine="0" w:firstLineChars="0"/>
              <w:jc w:val="center"/>
              <w:rPr>
                <w:color w:val="auto"/>
                <w:sz w:val="20"/>
                <w:szCs w:val="20"/>
              </w:rPr>
            </w:pPr>
            <w:r>
              <w:rPr>
                <w:color w:val="auto"/>
                <w:sz w:val="20"/>
                <w:szCs w:val="20"/>
              </w:rPr>
              <w:t>三级</w:t>
            </w:r>
          </w:p>
        </w:tc>
        <w:tc>
          <w:tcPr>
            <w:tcW w:w="792" w:type="dxa"/>
            <w:tcBorders>
              <w:top w:val="single" w:color="auto" w:sz="4" w:space="0"/>
            </w:tcBorders>
            <w:noWrap w:val="0"/>
            <w:vAlign w:val="center"/>
          </w:tcPr>
          <w:p>
            <w:pPr>
              <w:spacing w:line="240" w:lineRule="auto"/>
              <w:ind w:firstLine="0" w:firstLineChars="0"/>
              <w:jc w:val="center"/>
              <w:rPr>
                <w:color w:val="auto"/>
                <w:sz w:val="20"/>
                <w:szCs w:val="20"/>
              </w:rPr>
            </w:pPr>
            <w:r>
              <w:rPr>
                <w:color w:val="auto"/>
                <w:sz w:val="20"/>
                <w:szCs w:val="20"/>
              </w:rPr>
              <w:t>三级</w:t>
            </w:r>
          </w:p>
        </w:tc>
        <w:tc>
          <w:tcPr>
            <w:tcW w:w="796" w:type="dxa"/>
            <w:tcBorders>
              <w:top w:val="single" w:color="auto" w:sz="4" w:space="0"/>
            </w:tcBorders>
            <w:noWrap w:val="0"/>
            <w:vAlign w:val="center"/>
          </w:tcPr>
          <w:p>
            <w:pPr>
              <w:spacing w:line="240" w:lineRule="auto"/>
              <w:ind w:firstLine="0" w:firstLineChars="0"/>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953" w:type="dxa"/>
            <w:noWrap w:val="0"/>
            <w:vAlign w:val="center"/>
          </w:tcPr>
          <w:p>
            <w:pPr>
              <w:spacing w:line="240" w:lineRule="auto"/>
              <w:ind w:firstLine="0" w:firstLineChars="0"/>
              <w:jc w:val="center"/>
              <w:rPr>
                <w:color w:val="auto"/>
                <w:sz w:val="20"/>
                <w:szCs w:val="20"/>
              </w:rPr>
            </w:pPr>
            <w:r>
              <w:rPr>
                <w:color w:val="auto"/>
                <w:sz w:val="20"/>
                <w:szCs w:val="20"/>
              </w:rPr>
              <w:t>不敏感</w:t>
            </w:r>
          </w:p>
        </w:tc>
        <w:tc>
          <w:tcPr>
            <w:tcW w:w="712" w:type="dxa"/>
            <w:noWrap w:val="0"/>
            <w:vAlign w:val="center"/>
          </w:tcPr>
          <w:p>
            <w:pPr>
              <w:spacing w:line="240" w:lineRule="auto"/>
              <w:ind w:firstLine="0" w:firstLineChars="0"/>
              <w:jc w:val="center"/>
              <w:rPr>
                <w:color w:val="auto"/>
                <w:sz w:val="20"/>
                <w:szCs w:val="20"/>
              </w:rPr>
            </w:pPr>
            <w:r>
              <w:rPr>
                <w:color w:val="auto"/>
                <w:sz w:val="20"/>
                <w:szCs w:val="20"/>
              </w:rPr>
              <w:t>一级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4"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二级</w:t>
            </w:r>
          </w:p>
        </w:tc>
        <w:tc>
          <w:tcPr>
            <w:tcW w:w="790" w:type="dxa"/>
            <w:noWrap w:val="0"/>
            <w:vAlign w:val="center"/>
          </w:tcPr>
          <w:p>
            <w:pPr>
              <w:spacing w:line="240" w:lineRule="auto"/>
              <w:ind w:firstLine="0" w:firstLineChars="0"/>
              <w:jc w:val="center"/>
              <w:rPr>
                <w:color w:val="auto"/>
                <w:sz w:val="20"/>
                <w:szCs w:val="20"/>
              </w:rPr>
            </w:pPr>
            <w:r>
              <w:rPr>
                <w:color w:val="auto"/>
                <w:sz w:val="20"/>
                <w:szCs w:val="20"/>
              </w:rPr>
              <w:t>三级</w:t>
            </w:r>
          </w:p>
        </w:tc>
        <w:tc>
          <w:tcPr>
            <w:tcW w:w="794" w:type="dxa"/>
            <w:noWrap w:val="0"/>
            <w:vAlign w:val="center"/>
          </w:tcPr>
          <w:p>
            <w:pPr>
              <w:spacing w:line="240" w:lineRule="auto"/>
              <w:ind w:firstLine="0" w:firstLineChars="0"/>
              <w:jc w:val="center"/>
              <w:rPr>
                <w:color w:val="auto"/>
                <w:sz w:val="20"/>
                <w:szCs w:val="20"/>
              </w:rPr>
            </w:pPr>
            <w:r>
              <w:rPr>
                <w:color w:val="auto"/>
                <w:sz w:val="20"/>
                <w:szCs w:val="20"/>
              </w:rPr>
              <w:t>三级</w:t>
            </w:r>
          </w:p>
        </w:tc>
        <w:tc>
          <w:tcPr>
            <w:tcW w:w="792" w:type="dxa"/>
            <w:noWrap w:val="0"/>
            <w:vAlign w:val="center"/>
          </w:tcPr>
          <w:p>
            <w:pPr>
              <w:spacing w:line="240" w:lineRule="auto"/>
              <w:ind w:firstLine="0" w:firstLineChars="0"/>
              <w:jc w:val="center"/>
              <w:rPr>
                <w:color w:val="auto"/>
                <w:sz w:val="20"/>
                <w:szCs w:val="20"/>
              </w:rPr>
            </w:pPr>
            <w:r>
              <w:rPr>
                <w:color w:val="auto"/>
                <w:sz w:val="20"/>
                <w:szCs w:val="20"/>
              </w:rPr>
              <w:t>三级</w:t>
            </w:r>
          </w:p>
        </w:tc>
        <w:tc>
          <w:tcPr>
            <w:tcW w:w="792" w:type="dxa"/>
            <w:noWrap w:val="0"/>
            <w:vAlign w:val="center"/>
          </w:tcPr>
          <w:p>
            <w:pPr>
              <w:spacing w:line="240" w:lineRule="auto"/>
              <w:ind w:firstLine="0" w:firstLineChars="0"/>
              <w:jc w:val="center"/>
              <w:rPr>
                <w:color w:val="auto"/>
                <w:sz w:val="20"/>
                <w:szCs w:val="20"/>
              </w:rPr>
            </w:pPr>
            <w:r>
              <w:rPr>
                <w:color w:val="auto"/>
                <w:sz w:val="20"/>
                <w:szCs w:val="20"/>
              </w:rPr>
              <w:t>-</w:t>
            </w:r>
          </w:p>
        </w:tc>
        <w:tc>
          <w:tcPr>
            <w:tcW w:w="796" w:type="dxa"/>
            <w:noWrap w:val="0"/>
            <w:vAlign w:val="center"/>
          </w:tcPr>
          <w:p>
            <w:pPr>
              <w:spacing w:line="240" w:lineRule="auto"/>
              <w:ind w:firstLine="0" w:firstLineChars="0"/>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9003" w:type="dxa"/>
            <w:gridSpan w:val="10"/>
            <w:noWrap w:val="0"/>
            <w:vAlign w:val="center"/>
          </w:tcPr>
          <w:p>
            <w:pPr>
              <w:spacing w:line="240" w:lineRule="auto"/>
              <w:ind w:firstLine="0" w:firstLineChars="0"/>
              <w:jc w:val="left"/>
              <w:rPr>
                <w:color w:val="auto"/>
                <w:sz w:val="20"/>
                <w:szCs w:val="20"/>
              </w:rPr>
            </w:pPr>
            <w:r>
              <w:rPr>
                <w:color w:val="auto"/>
                <w:sz w:val="20"/>
                <w:szCs w:val="20"/>
              </w:rPr>
              <w:t>注：“-”表示可不开展土壤环境影响评价工作。</w:t>
            </w:r>
          </w:p>
        </w:tc>
      </w:tr>
    </w:tbl>
    <w:p>
      <w:pPr>
        <w:pStyle w:val="9"/>
        <w:spacing w:before="120" w:beforeLines="50"/>
        <w:rPr>
          <w:color w:val="auto"/>
        </w:rPr>
      </w:pPr>
      <w:r>
        <w:rPr>
          <w:color w:val="auto"/>
        </w:rPr>
        <w:t>评价范围</w:t>
      </w:r>
    </w:p>
    <w:p>
      <w:pPr>
        <w:pStyle w:val="16"/>
        <w:spacing w:line="360" w:lineRule="auto"/>
        <w:ind w:firstLine="480"/>
        <w:rPr>
          <w:rFonts w:ascii="Times New Roman" w:hAnsi="Times New Roman"/>
          <w:color w:val="auto"/>
        </w:rPr>
      </w:pPr>
      <w:r>
        <w:rPr>
          <w:rFonts w:ascii="Times New Roman" w:hAnsi="Times New Roman"/>
          <w:bCs/>
          <w:color w:val="auto"/>
        </w:rPr>
        <w:t>根据导则要求，污染影响型项目三级评价范围以项目占地范围内及占地范围外0.05km范围内作为评价范围；因此，本项目土壤环境影响</w:t>
      </w:r>
      <w:r>
        <w:rPr>
          <w:rFonts w:ascii="Times New Roman" w:hAnsi="Times New Roman"/>
          <w:color w:val="auto"/>
        </w:rPr>
        <w:t>评价范围确定为建设项目所在地及周边0.05km的范围内。</w:t>
      </w:r>
    </w:p>
    <w:p>
      <w:pPr>
        <w:pStyle w:val="166"/>
        <w:spacing w:before="120" w:beforeLines="0" w:line="240" w:lineRule="auto"/>
        <w:rPr>
          <w:color w:val="auto"/>
          <w:szCs w:val="21"/>
        </w:rPr>
      </w:pPr>
      <w:r>
        <w:rPr>
          <w:color w:val="auto"/>
        </w:rPr>
        <w:t>表2.</w:t>
      </w:r>
      <w:r>
        <w:rPr>
          <w:rFonts w:hint="eastAsia"/>
          <w:color w:val="auto"/>
          <w:lang w:val="en-US" w:eastAsia="zh-CN"/>
        </w:rPr>
        <w:t>6</w:t>
      </w:r>
      <w:r>
        <w:rPr>
          <w:color w:val="auto"/>
        </w:rPr>
        <w:t>-1</w:t>
      </w:r>
      <w:r>
        <w:rPr>
          <w:rFonts w:hint="eastAsia"/>
          <w:color w:val="auto"/>
          <w:lang w:val="en-US" w:eastAsia="zh-CN"/>
        </w:rPr>
        <w:t xml:space="preserve">3 </w:t>
      </w:r>
      <w:r>
        <w:rPr>
          <w:color w:val="auto"/>
        </w:rPr>
        <w:t>项目环境影响评价等级及范围一览表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87"/>
        <w:gridCol w:w="6805"/>
        <w:gridCol w:w="99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b/>
                <w:color w:val="auto"/>
                <w:sz w:val="20"/>
                <w:szCs w:val="20"/>
              </w:rPr>
            </w:pPr>
            <w:r>
              <w:rPr>
                <w:b/>
                <w:color w:val="auto"/>
                <w:sz w:val="20"/>
                <w:szCs w:val="20"/>
              </w:rPr>
              <w:t>评价要素</w:t>
            </w:r>
          </w:p>
        </w:tc>
        <w:tc>
          <w:tcPr>
            <w:tcW w:w="6805" w:type="dxa"/>
            <w:noWrap w:val="0"/>
            <w:vAlign w:val="center"/>
          </w:tcPr>
          <w:p>
            <w:pPr>
              <w:pStyle w:val="332"/>
              <w:kinsoku w:val="0"/>
              <w:overflowPunct w:val="0"/>
              <w:ind w:right="1"/>
              <w:jc w:val="center"/>
              <w:rPr>
                <w:b/>
                <w:color w:val="auto"/>
                <w:sz w:val="20"/>
                <w:szCs w:val="20"/>
              </w:rPr>
            </w:pPr>
            <w:r>
              <w:rPr>
                <w:b/>
                <w:color w:val="auto"/>
                <w:sz w:val="20"/>
                <w:szCs w:val="20"/>
              </w:rPr>
              <w:t>评价范围</w:t>
            </w:r>
          </w:p>
        </w:tc>
        <w:tc>
          <w:tcPr>
            <w:tcW w:w="995" w:type="dxa"/>
            <w:noWrap w:val="0"/>
            <w:vAlign w:val="center"/>
          </w:tcPr>
          <w:p>
            <w:pPr>
              <w:pStyle w:val="332"/>
              <w:kinsoku w:val="0"/>
              <w:overflowPunct w:val="0"/>
              <w:jc w:val="center"/>
              <w:rPr>
                <w:b/>
                <w:color w:val="auto"/>
                <w:sz w:val="20"/>
                <w:szCs w:val="20"/>
              </w:rPr>
            </w:pPr>
            <w:r>
              <w:rPr>
                <w:b/>
                <w:color w:val="auto"/>
                <w:sz w:val="20"/>
                <w:szCs w:val="20"/>
              </w:rPr>
              <w:t>评价等级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rFonts w:hint="eastAsia"/>
                <w:color w:val="auto"/>
                <w:sz w:val="20"/>
                <w:szCs w:val="20"/>
              </w:rPr>
              <w:t>大</w:t>
            </w:r>
            <w:r>
              <w:rPr>
                <w:color w:val="auto"/>
                <w:sz w:val="20"/>
                <w:szCs w:val="20"/>
              </w:rPr>
              <w:t>气</w:t>
            </w:r>
          </w:p>
        </w:tc>
        <w:tc>
          <w:tcPr>
            <w:tcW w:w="6805" w:type="dxa"/>
            <w:noWrap w:val="0"/>
            <w:vAlign w:val="center"/>
          </w:tcPr>
          <w:p>
            <w:pPr>
              <w:pStyle w:val="332"/>
              <w:kinsoku w:val="0"/>
              <w:overflowPunct w:val="0"/>
              <w:ind w:right="97"/>
              <w:jc w:val="center"/>
              <w:rPr>
                <w:color w:val="auto"/>
                <w:sz w:val="20"/>
                <w:szCs w:val="20"/>
              </w:rPr>
            </w:pPr>
            <w:r>
              <w:rPr>
                <w:color w:val="auto"/>
                <w:position w:val="2"/>
                <w:sz w:val="20"/>
                <w:szCs w:val="20"/>
              </w:rPr>
              <w:t>主要污染因子为</w:t>
            </w:r>
            <w:r>
              <w:rPr>
                <w:color w:val="auto"/>
                <w:spacing w:val="-68"/>
                <w:position w:val="2"/>
                <w:sz w:val="20"/>
                <w:szCs w:val="20"/>
              </w:rPr>
              <w:t xml:space="preserve"> </w:t>
            </w:r>
            <w:r>
              <w:rPr>
                <w:color w:val="auto"/>
                <w:position w:val="2"/>
                <w:sz w:val="20"/>
                <w:szCs w:val="20"/>
              </w:rPr>
              <w:t>NH</w:t>
            </w:r>
            <w:r>
              <w:rPr>
                <w:color w:val="auto"/>
                <w:sz w:val="20"/>
                <w:szCs w:val="20"/>
                <w:vertAlign w:val="subscript"/>
              </w:rPr>
              <w:t>3</w:t>
            </w:r>
            <w:r>
              <w:rPr>
                <w:color w:val="auto"/>
                <w:position w:val="2"/>
                <w:sz w:val="20"/>
                <w:szCs w:val="20"/>
              </w:rPr>
              <w:t>、H</w:t>
            </w:r>
            <w:r>
              <w:rPr>
                <w:color w:val="auto"/>
                <w:sz w:val="20"/>
                <w:szCs w:val="20"/>
                <w:vertAlign w:val="subscript"/>
              </w:rPr>
              <w:t>2</w:t>
            </w:r>
            <w:r>
              <w:rPr>
                <w:color w:val="auto"/>
                <w:position w:val="2"/>
                <w:sz w:val="20"/>
                <w:szCs w:val="20"/>
              </w:rPr>
              <w:t>S。本次环境空气评价范围为以项目厂址</w:t>
            </w:r>
            <w:r>
              <w:rPr>
                <w:color w:val="auto"/>
                <w:sz w:val="20"/>
                <w:szCs w:val="20"/>
              </w:rPr>
              <w:t>为中心区域，以</w:t>
            </w:r>
            <w:r>
              <w:rPr>
                <w:color w:val="auto"/>
                <w:spacing w:val="-60"/>
                <w:sz w:val="20"/>
                <w:szCs w:val="20"/>
              </w:rPr>
              <w:t xml:space="preserve"> </w:t>
            </w:r>
            <w:r>
              <w:rPr>
                <w:color w:val="auto"/>
                <w:sz w:val="20"/>
                <w:szCs w:val="20"/>
              </w:rPr>
              <w:t>5km为边长的矩形区域范围内。</w:t>
            </w:r>
          </w:p>
        </w:tc>
        <w:tc>
          <w:tcPr>
            <w:tcW w:w="995" w:type="dxa"/>
            <w:noWrap w:val="0"/>
            <w:vAlign w:val="center"/>
          </w:tcPr>
          <w:p>
            <w:pPr>
              <w:pStyle w:val="332"/>
              <w:kinsoku w:val="0"/>
              <w:overflowPunct w:val="0"/>
              <w:jc w:val="center"/>
              <w:rPr>
                <w:color w:val="auto"/>
                <w:sz w:val="20"/>
                <w:szCs w:val="20"/>
              </w:rPr>
            </w:pPr>
            <w:r>
              <w:rPr>
                <w:color w:val="auto"/>
                <w:sz w:val="20"/>
                <w:szCs w:val="20"/>
              </w:rPr>
              <w:t>二级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color w:val="auto"/>
                <w:sz w:val="20"/>
                <w:szCs w:val="20"/>
              </w:rPr>
              <w:t>地表水</w:t>
            </w:r>
          </w:p>
        </w:tc>
        <w:tc>
          <w:tcPr>
            <w:tcW w:w="6805" w:type="dxa"/>
            <w:noWrap w:val="0"/>
            <w:vAlign w:val="center"/>
          </w:tcPr>
          <w:p>
            <w:pPr>
              <w:pStyle w:val="332"/>
              <w:kinsoku w:val="0"/>
              <w:overflowPunct w:val="0"/>
              <w:ind w:right="102"/>
              <w:jc w:val="center"/>
              <w:rPr>
                <w:color w:val="auto"/>
                <w:sz w:val="20"/>
                <w:szCs w:val="20"/>
              </w:rPr>
            </w:pPr>
            <w:r>
              <w:rPr>
                <w:rFonts w:hint="eastAsia"/>
                <w:color w:val="auto"/>
                <w:spacing w:val="4"/>
                <w:sz w:val="20"/>
                <w:szCs w:val="20"/>
              </w:rPr>
              <w:t>重点评价废水的处理工艺、废水零排放的可靠性、合理性以及废水资源化利用的可行性及合理性。</w:t>
            </w:r>
          </w:p>
        </w:tc>
        <w:tc>
          <w:tcPr>
            <w:tcW w:w="995" w:type="dxa"/>
            <w:noWrap w:val="0"/>
            <w:vAlign w:val="center"/>
          </w:tcPr>
          <w:p>
            <w:pPr>
              <w:pStyle w:val="332"/>
              <w:kinsoku w:val="0"/>
              <w:overflowPunct w:val="0"/>
              <w:jc w:val="center"/>
              <w:rPr>
                <w:color w:val="auto"/>
                <w:sz w:val="20"/>
                <w:szCs w:val="20"/>
              </w:rPr>
            </w:pPr>
            <w:r>
              <w:rPr>
                <w:color w:val="auto"/>
                <w:sz w:val="20"/>
                <w:szCs w:val="20"/>
              </w:rPr>
              <w:t>三级</w:t>
            </w:r>
            <w:r>
              <w:rPr>
                <w:color w:val="auto"/>
                <w:spacing w:val="-57"/>
                <w:sz w:val="20"/>
                <w:szCs w:val="20"/>
              </w:rPr>
              <w:t xml:space="preserve"> </w:t>
            </w:r>
            <w:r>
              <w:rPr>
                <w:color w:val="auto"/>
                <w:sz w:val="20"/>
                <w:szCs w:val="20"/>
              </w:rPr>
              <w:t>B</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color w:val="auto"/>
                <w:sz w:val="20"/>
                <w:szCs w:val="20"/>
              </w:rPr>
              <w:t>地下水</w:t>
            </w:r>
          </w:p>
        </w:tc>
        <w:tc>
          <w:tcPr>
            <w:tcW w:w="6805" w:type="dxa"/>
            <w:noWrap w:val="0"/>
            <w:vAlign w:val="center"/>
          </w:tcPr>
          <w:p>
            <w:pPr>
              <w:pStyle w:val="332"/>
              <w:kinsoku w:val="0"/>
              <w:overflowPunct w:val="0"/>
              <w:jc w:val="center"/>
              <w:rPr>
                <w:color w:val="auto"/>
                <w:sz w:val="20"/>
                <w:szCs w:val="20"/>
              </w:rPr>
            </w:pPr>
            <w:r>
              <w:rPr>
                <w:rFonts w:hint="eastAsia"/>
                <w:color w:val="auto"/>
                <w:sz w:val="20"/>
                <w:szCs w:val="20"/>
              </w:rPr>
              <w:t>项目所在地周围独立水文地质单元，不大于6km</w:t>
            </w:r>
            <w:r>
              <w:rPr>
                <w:rFonts w:hint="eastAsia"/>
                <w:color w:val="auto"/>
                <w:sz w:val="20"/>
                <w:szCs w:val="20"/>
                <w:vertAlign w:val="superscript"/>
              </w:rPr>
              <w:t>2</w:t>
            </w:r>
            <w:r>
              <w:rPr>
                <w:rFonts w:hint="eastAsia"/>
                <w:color w:val="auto"/>
                <w:sz w:val="20"/>
                <w:szCs w:val="20"/>
              </w:rPr>
              <w:t>。</w:t>
            </w:r>
          </w:p>
        </w:tc>
        <w:tc>
          <w:tcPr>
            <w:tcW w:w="995" w:type="dxa"/>
            <w:noWrap w:val="0"/>
            <w:vAlign w:val="center"/>
          </w:tcPr>
          <w:p>
            <w:pPr>
              <w:pStyle w:val="332"/>
              <w:kinsoku w:val="0"/>
              <w:overflowPunct w:val="0"/>
              <w:jc w:val="center"/>
              <w:rPr>
                <w:color w:val="auto"/>
                <w:sz w:val="20"/>
                <w:szCs w:val="20"/>
              </w:rPr>
            </w:pPr>
            <w:r>
              <w:rPr>
                <w:color w:val="auto"/>
                <w:sz w:val="20"/>
                <w:szCs w:val="20"/>
              </w:rPr>
              <w:t>三级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color w:val="auto"/>
                <w:sz w:val="20"/>
                <w:szCs w:val="20"/>
              </w:rPr>
              <w:t>声环境</w:t>
            </w:r>
          </w:p>
        </w:tc>
        <w:tc>
          <w:tcPr>
            <w:tcW w:w="6805" w:type="dxa"/>
            <w:noWrap w:val="0"/>
            <w:vAlign w:val="center"/>
          </w:tcPr>
          <w:p>
            <w:pPr>
              <w:pStyle w:val="332"/>
              <w:kinsoku w:val="0"/>
              <w:overflowPunct w:val="0"/>
              <w:jc w:val="center"/>
              <w:rPr>
                <w:color w:val="auto"/>
                <w:sz w:val="20"/>
                <w:szCs w:val="20"/>
              </w:rPr>
            </w:pPr>
            <w:r>
              <w:rPr>
                <w:color w:val="auto"/>
                <w:sz w:val="20"/>
                <w:szCs w:val="20"/>
              </w:rPr>
              <w:t>项目厂区边界外200m范围内的区域</w:t>
            </w:r>
          </w:p>
        </w:tc>
        <w:tc>
          <w:tcPr>
            <w:tcW w:w="995" w:type="dxa"/>
            <w:noWrap w:val="0"/>
            <w:vAlign w:val="center"/>
          </w:tcPr>
          <w:p>
            <w:pPr>
              <w:pStyle w:val="332"/>
              <w:kinsoku w:val="0"/>
              <w:overflowPunct w:val="0"/>
              <w:jc w:val="center"/>
              <w:rPr>
                <w:color w:val="auto"/>
                <w:sz w:val="20"/>
                <w:szCs w:val="20"/>
              </w:rPr>
            </w:pPr>
            <w:r>
              <w:rPr>
                <w:color w:val="auto"/>
                <w:sz w:val="20"/>
                <w:szCs w:val="20"/>
              </w:rPr>
              <w:t>二级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color w:val="auto"/>
                <w:sz w:val="20"/>
                <w:szCs w:val="20"/>
              </w:rPr>
              <w:t>生态环境</w:t>
            </w:r>
          </w:p>
        </w:tc>
        <w:tc>
          <w:tcPr>
            <w:tcW w:w="6805" w:type="dxa"/>
            <w:noWrap w:val="0"/>
            <w:vAlign w:val="center"/>
          </w:tcPr>
          <w:p>
            <w:pPr>
              <w:pStyle w:val="332"/>
              <w:kinsoku w:val="0"/>
              <w:overflowPunct w:val="0"/>
              <w:jc w:val="center"/>
              <w:rPr>
                <w:color w:val="auto"/>
                <w:sz w:val="20"/>
                <w:szCs w:val="20"/>
              </w:rPr>
            </w:pPr>
            <w:r>
              <w:rPr>
                <w:rFonts w:hint="eastAsia"/>
                <w:color w:val="auto"/>
                <w:sz w:val="20"/>
                <w:szCs w:val="20"/>
              </w:rPr>
              <w:t>项目用地范围内</w:t>
            </w:r>
          </w:p>
        </w:tc>
        <w:tc>
          <w:tcPr>
            <w:tcW w:w="995" w:type="dxa"/>
            <w:noWrap w:val="0"/>
            <w:vAlign w:val="center"/>
          </w:tcPr>
          <w:p>
            <w:pPr>
              <w:pStyle w:val="332"/>
              <w:kinsoku w:val="0"/>
              <w:overflowPunct w:val="0"/>
              <w:jc w:val="center"/>
              <w:rPr>
                <w:color w:val="auto"/>
                <w:sz w:val="20"/>
                <w:szCs w:val="20"/>
              </w:rPr>
            </w:pPr>
            <w:r>
              <w:rPr>
                <w:color w:val="auto"/>
                <w:sz w:val="20"/>
                <w:szCs w:val="20"/>
              </w:rPr>
              <w:t>三级</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987" w:type="dxa"/>
            <w:noWrap w:val="0"/>
            <w:vAlign w:val="center"/>
          </w:tcPr>
          <w:p>
            <w:pPr>
              <w:pStyle w:val="332"/>
              <w:kinsoku w:val="0"/>
              <w:overflowPunct w:val="0"/>
              <w:jc w:val="center"/>
              <w:rPr>
                <w:color w:val="auto"/>
                <w:sz w:val="20"/>
                <w:szCs w:val="20"/>
              </w:rPr>
            </w:pPr>
            <w:r>
              <w:rPr>
                <w:color w:val="auto"/>
                <w:sz w:val="20"/>
                <w:szCs w:val="20"/>
              </w:rPr>
              <w:t>土壤环境</w:t>
            </w:r>
          </w:p>
        </w:tc>
        <w:tc>
          <w:tcPr>
            <w:tcW w:w="6805" w:type="dxa"/>
            <w:noWrap w:val="0"/>
            <w:vAlign w:val="center"/>
          </w:tcPr>
          <w:p>
            <w:pPr>
              <w:pStyle w:val="332"/>
              <w:kinsoku w:val="0"/>
              <w:overflowPunct w:val="0"/>
              <w:jc w:val="center"/>
              <w:rPr>
                <w:color w:val="auto"/>
                <w:sz w:val="20"/>
                <w:szCs w:val="20"/>
              </w:rPr>
            </w:pPr>
            <w:r>
              <w:rPr>
                <w:color w:val="auto"/>
                <w:sz w:val="20"/>
                <w:szCs w:val="20"/>
              </w:rPr>
              <w:t>评价范围确定为建设项目所在地及周边</w:t>
            </w:r>
            <w:r>
              <w:rPr>
                <w:color w:val="auto"/>
                <w:spacing w:val="-61"/>
                <w:sz w:val="20"/>
                <w:szCs w:val="20"/>
              </w:rPr>
              <w:t xml:space="preserve"> </w:t>
            </w:r>
            <w:r>
              <w:rPr>
                <w:color w:val="auto"/>
                <w:sz w:val="20"/>
                <w:szCs w:val="20"/>
              </w:rPr>
              <w:t>0.05km的范围内</w:t>
            </w:r>
          </w:p>
        </w:tc>
        <w:tc>
          <w:tcPr>
            <w:tcW w:w="995" w:type="dxa"/>
            <w:noWrap w:val="0"/>
            <w:vAlign w:val="center"/>
          </w:tcPr>
          <w:p>
            <w:pPr>
              <w:pStyle w:val="332"/>
              <w:kinsoku w:val="0"/>
              <w:overflowPunct w:val="0"/>
              <w:jc w:val="center"/>
              <w:rPr>
                <w:color w:val="auto"/>
                <w:sz w:val="20"/>
                <w:szCs w:val="20"/>
              </w:rPr>
            </w:pPr>
            <w:r>
              <w:rPr>
                <w:color w:val="auto"/>
                <w:sz w:val="20"/>
                <w:szCs w:val="20"/>
              </w:rPr>
              <w:t>三级</w:t>
            </w:r>
          </w:p>
        </w:tc>
      </w:tr>
    </w:tbl>
    <w:p>
      <w:pPr>
        <w:pStyle w:val="7"/>
        <w:spacing w:before="120"/>
        <w:rPr>
          <w:color w:val="auto"/>
        </w:rPr>
      </w:pPr>
      <w:bookmarkStart w:id="21" w:name="_Toc498610068"/>
      <w:bookmarkStart w:id="22" w:name="_Toc1694"/>
      <w:r>
        <w:rPr>
          <w:rFonts w:eastAsia="黑体"/>
          <w:color w:val="auto"/>
          <w:sz w:val="32"/>
        </w:rPr>
        <w:t>评价时段和评价重点</w:t>
      </w:r>
      <w:bookmarkEnd w:id="21"/>
      <w:bookmarkEnd w:id="22"/>
    </w:p>
    <w:p>
      <w:pPr>
        <w:pStyle w:val="8"/>
        <w:tabs>
          <w:tab w:val="clear" w:pos="0"/>
        </w:tabs>
        <w:rPr>
          <w:rFonts w:eastAsia="黑体"/>
          <w:color w:val="auto"/>
          <w:sz w:val="28"/>
          <w:szCs w:val="28"/>
        </w:rPr>
      </w:pPr>
      <w:r>
        <w:rPr>
          <w:rFonts w:eastAsia="黑体"/>
          <w:color w:val="auto"/>
          <w:sz w:val="28"/>
          <w:szCs w:val="28"/>
        </w:rPr>
        <w:t>评价时段</w:t>
      </w:r>
    </w:p>
    <w:p>
      <w:pPr>
        <w:ind w:firstLine="480"/>
        <w:rPr>
          <w:color w:val="auto"/>
        </w:rPr>
      </w:pPr>
      <w:r>
        <w:rPr>
          <w:color w:val="auto"/>
        </w:rPr>
        <w:t>本项目为新建项目，因此环境影响评价时段为施工期和运营期。</w:t>
      </w:r>
    </w:p>
    <w:p>
      <w:pPr>
        <w:pStyle w:val="8"/>
        <w:tabs>
          <w:tab w:val="clear" w:pos="0"/>
        </w:tabs>
        <w:rPr>
          <w:color w:val="auto"/>
        </w:rPr>
      </w:pPr>
      <w:r>
        <w:rPr>
          <w:rFonts w:eastAsia="黑体"/>
          <w:color w:val="auto"/>
          <w:sz w:val="28"/>
          <w:szCs w:val="28"/>
        </w:rPr>
        <w:t>评价重点</w:t>
      </w:r>
    </w:p>
    <w:p>
      <w:pPr>
        <w:ind w:firstLine="480"/>
        <w:rPr>
          <w:color w:val="auto"/>
        </w:rPr>
      </w:pPr>
      <w:r>
        <w:rPr>
          <w:rFonts w:hint="eastAsia"/>
          <w:color w:val="auto"/>
        </w:rPr>
        <w:t>本项目主要评价运营期，对施工期的环境影响作一般分析。</w:t>
      </w:r>
      <w:r>
        <w:rPr>
          <w:color w:val="auto"/>
        </w:rPr>
        <w:t>根据项目特征和排污特点、评价区内环境特征和环境质量现状等，确定评价重点为：</w:t>
      </w:r>
    </w:p>
    <w:p>
      <w:pPr>
        <w:ind w:firstLine="480"/>
        <w:rPr>
          <w:color w:val="auto"/>
        </w:rPr>
      </w:pPr>
      <w:r>
        <w:rPr>
          <w:color w:val="auto"/>
        </w:rPr>
        <w:t>1、工程分析：根据项目运行阶段的工艺技术及公用工程消耗的情况，分析项目污染物排放源强和排放特征。</w:t>
      </w:r>
    </w:p>
    <w:p>
      <w:pPr>
        <w:ind w:firstLine="480"/>
        <w:rPr>
          <w:color w:val="auto"/>
        </w:rPr>
      </w:pPr>
      <w:r>
        <w:rPr>
          <w:color w:val="auto"/>
        </w:rPr>
        <w:t>2、污染防治措施论证：对本项目所采用的各种废气、废水及固废等污染物处理处置方案进行分析，论证各污染物处理达标的可行性。</w:t>
      </w:r>
    </w:p>
    <w:p>
      <w:pPr>
        <w:ind w:firstLine="480"/>
        <w:rPr>
          <w:color w:val="auto"/>
        </w:rPr>
      </w:pPr>
      <w:r>
        <w:rPr>
          <w:color w:val="auto"/>
        </w:rPr>
        <w:t>3、环境影响分析：对项目排放的污染物（特别是恶臭气体）对环境可能造成的影响进行分析，明确项目排污对环境的影响范围和程度。</w:t>
      </w:r>
    </w:p>
    <w:p>
      <w:pPr>
        <w:pStyle w:val="7"/>
        <w:rPr>
          <w:rFonts w:eastAsia="黑体"/>
          <w:color w:val="auto"/>
          <w:sz w:val="32"/>
        </w:rPr>
      </w:pPr>
      <w:bookmarkStart w:id="23" w:name="_Toc498610069"/>
      <w:bookmarkStart w:id="24" w:name="_Toc25738"/>
      <w:r>
        <w:rPr>
          <w:rFonts w:eastAsia="黑体"/>
          <w:color w:val="auto"/>
          <w:sz w:val="32"/>
        </w:rPr>
        <w:t>项目可行性论证分析</w:t>
      </w:r>
      <w:bookmarkEnd w:id="23"/>
      <w:bookmarkEnd w:id="24"/>
    </w:p>
    <w:p>
      <w:pPr>
        <w:pStyle w:val="8"/>
        <w:tabs>
          <w:tab w:val="clear" w:pos="0"/>
        </w:tabs>
        <w:rPr>
          <w:rFonts w:eastAsia="黑体"/>
          <w:color w:val="auto"/>
          <w:sz w:val="28"/>
          <w:szCs w:val="28"/>
        </w:rPr>
      </w:pPr>
      <w:r>
        <w:rPr>
          <w:rFonts w:eastAsia="黑体"/>
          <w:color w:val="auto"/>
          <w:sz w:val="28"/>
          <w:szCs w:val="28"/>
        </w:rPr>
        <w:t>产业政策符合性分析</w:t>
      </w:r>
    </w:p>
    <w:p>
      <w:pPr>
        <w:pStyle w:val="166"/>
        <w:spacing w:before="0" w:beforeLines="0" w:line="360" w:lineRule="auto"/>
        <w:ind w:firstLine="480" w:firstLineChars="200"/>
        <w:jc w:val="left"/>
        <w:rPr>
          <w:rFonts w:hint="eastAsia"/>
          <w:b w:val="0"/>
          <w:bCs/>
          <w:color w:val="auto"/>
          <w:sz w:val="24"/>
        </w:rPr>
      </w:pPr>
      <w:r>
        <w:rPr>
          <w:rFonts w:hint="eastAsia"/>
          <w:b w:val="0"/>
          <w:bCs/>
          <w:color w:val="auto"/>
          <w:sz w:val="24"/>
        </w:rPr>
        <w:t>本项目为新建的标准化和规模化养猪场，属于国家发展和改革委员会令第29号《产业结构调整指导目录（2019年本）》中第一类“鼓励类”第一条“农林业”第4款“畜禽标准化规模养殖技术开发与应用”和第53款“畜禽养殖废弃物处理和资源化利用（畜禽粪污肥料化、能源化、基料化和垫料化利用，病死畜禽无害化处理）”之列。同时，本项目在</w:t>
      </w:r>
      <w:r>
        <w:rPr>
          <w:rFonts w:hint="eastAsia"/>
          <w:b w:val="0"/>
          <w:bCs/>
          <w:color w:val="auto"/>
          <w:sz w:val="24"/>
          <w:lang w:eastAsia="zh-CN"/>
        </w:rPr>
        <w:t>游仙区发展和改革局</w:t>
      </w:r>
      <w:r>
        <w:rPr>
          <w:rFonts w:hint="eastAsia"/>
          <w:b w:val="0"/>
          <w:bCs/>
          <w:color w:val="auto"/>
          <w:sz w:val="24"/>
        </w:rPr>
        <w:t>完成了《</w:t>
      </w:r>
      <w:r>
        <w:rPr>
          <w:rFonts w:hint="eastAsia"/>
          <w:b w:val="0"/>
          <w:bCs/>
          <w:color w:val="auto"/>
          <w:sz w:val="24"/>
          <w:lang w:eastAsia="zh-CN"/>
        </w:rPr>
        <w:t>绵阳市硕牧云康畜牧养殖有限责任公司 绵阳市硕牧云康畜牧养殖有限责任公司生猪养殖项目</w:t>
      </w:r>
      <w:r>
        <w:rPr>
          <w:rFonts w:hint="eastAsia"/>
          <w:b w:val="0"/>
          <w:bCs/>
          <w:color w:val="auto"/>
          <w:sz w:val="24"/>
        </w:rPr>
        <w:t>》的备案（</w:t>
      </w:r>
      <w:r>
        <w:rPr>
          <w:rFonts w:hint="eastAsia"/>
          <w:b w:val="0"/>
          <w:bCs/>
          <w:color w:val="auto"/>
          <w:sz w:val="24"/>
          <w:lang w:eastAsia="zh-CN"/>
        </w:rPr>
        <w:t>川投资备【2101-510704-04-01-608184】FGQB-0006号</w:t>
      </w:r>
      <w:r>
        <w:rPr>
          <w:rFonts w:hint="eastAsia"/>
          <w:b w:val="0"/>
          <w:bCs/>
          <w:color w:val="auto"/>
          <w:sz w:val="24"/>
        </w:rPr>
        <w:t>）。</w:t>
      </w:r>
    </w:p>
    <w:p>
      <w:pPr>
        <w:pStyle w:val="166"/>
        <w:spacing w:before="0" w:beforeLines="0" w:line="360" w:lineRule="auto"/>
        <w:ind w:firstLine="480" w:firstLineChars="200"/>
        <w:jc w:val="left"/>
        <w:rPr>
          <w:rFonts w:hint="eastAsia"/>
          <w:b w:val="0"/>
          <w:bCs/>
          <w:color w:val="auto"/>
          <w:sz w:val="24"/>
        </w:rPr>
      </w:pPr>
      <w:r>
        <w:rPr>
          <w:rFonts w:hint="eastAsia"/>
          <w:b w:val="0"/>
          <w:bCs/>
          <w:color w:val="auto"/>
          <w:sz w:val="24"/>
        </w:rPr>
        <w:t>2020年3月10日，国家发展改革委、农业农村部联合发布《关于支持民营企业发展生猪生产及相关产业的实施意见》（发改农经【2020】350号）；文件明确提出加大对民营企业发展生猪生产的政策扶持力度，优化民营企业发展生猪产业的市场环境，引导民营企业提升生猪产业发展质量。</w:t>
      </w:r>
    </w:p>
    <w:p>
      <w:pPr>
        <w:pStyle w:val="166"/>
        <w:spacing w:before="0" w:beforeLines="0" w:line="360" w:lineRule="auto"/>
        <w:ind w:firstLine="480" w:firstLineChars="200"/>
        <w:jc w:val="left"/>
        <w:rPr>
          <w:b w:val="0"/>
          <w:bCs/>
          <w:color w:val="auto"/>
          <w:sz w:val="24"/>
        </w:rPr>
      </w:pPr>
      <w:r>
        <w:rPr>
          <w:rFonts w:hint="eastAsia"/>
          <w:b w:val="0"/>
          <w:bCs/>
          <w:color w:val="auto"/>
          <w:sz w:val="24"/>
        </w:rPr>
        <w:t>因此，本项目的建设符合国家现行产业政策。</w:t>
      </w:r>
    </w:p>
    <w:p>
      <w:pPr>
        <w:pStyle w:val="8"/>
        <w:tabs>
          <w:tab w:val="clear" w:pos="0"/>
        </w:tabs>
        <w:rPr>
          <w:rFonts w:eastAsia="黑体"/>
          <w:color w:val="auto"/>
          <w:sz w:val="28"/>
          <w:szCs w:val="28"/>
        </w:rPr>
      </w:pPr>
      <w:r>
        <w:rPr>
          <w:rFonts w:eastAsia="黑体"/>
          <w:color w:val="auto"/>
          <w:sz w:val="28"/>
          <w:szCs w:val="28"/>
        </w:rPr>
        <w:t>规划符合性分析</w:t>
      </w:r>
    </w:p>
    <w:p>
      <w:pPr>
        <w:ind w:firstLine="482"/>
        <w:rPr>
          <w:b/>
          <w:bCs/>
          <w:color w:val="auto"/>
        </w:rPr>
      </w:pPr>
      <w:r>
        <w:rPr>
          <w:b/>
          <w:bCs/>
          <w:color w:val="auto"/>
        </w:rPr>
        <w:t>1、与《畜禽养殖污染防治管理办法》符合性分析</w:t>
      </w:r>
    </w:p>
    <w:p>
      <w:pPr>
        <w:ind w:firstLine="480"/>
        <w:rPr>
          <w:color w:val="auto"/>
        </w:rPr>
      </w:pPr>
      <w:r>
        <w:rPr>
          <w:color w:val="auto"/>
        </w:rPr>
        <w:t>对照《畜禽养殖污染防治管理办法》第四条</w:t>
      </w:r>
      <w:r>
        <w:rPr>
          <w:rFonts w:hint="eastAsia"/>
          <w:color w:val="auto"/>
        </w:rPr>
        <w:t>“</w:t>
      </w:r>
      <w:r>
        <w:rPr>
          <w:color w:val="auto"/>
        </w:rPr>
        <w:t>畜禽养殖污染防治实行综合利用优先，资源化、无害化和减量化的原则。</w:t>
      </w:r>
      <w:r>
        <w:rPr>
          <w:rFonts w:hint="eastAsia"/>
          <w:color w:val="auto"/>
        </w:rPr>
        <w:t>”</w:t>
      </w:r>
      <w:r>
        <w:rPr>
          <w:color w:val="auto"/>
        </w:rPr>
        <w:t>第十四条</w:t>
      </w:r>
      <w:r>
        <w:rPr>
          <w:rFonts w:hint="eastAsia"/>
          <w:color w:val="auto"/>
        </w:rPr>
        <w:t>“</w:t>
      </w:r>
      <w:r>
        <w:rPr>
          <w:color w:val="auto"/>
        </w:rPr>
        <w:t>畜禽养殖场应采取将畜禽废渣还田、生产沼气、制造有机肥料、制造再生饲料等方法进行综合利用。用于直接还田利用的畜禽粪便，应当经处理达到规定的无害化标准，防止病菌传播。</w:t>
      </w:r>
      <w:r>
        <w:rPr>
          <w:rFonts w:hint="eastAsia"/>
          <w:color w:val="auto"/>
        </w:rPr>
        <w:t>”</w:t>
      </w:r>
    </w:p>
    <w:p>
      <w:pPr>
        <w:ind w:firstLine="480"/>
        <w:rPr>
          <w:color w:val="auto"/>
        </w:rPr>
      </w:pPr>
      <w:r>
        <w:rPr>
          <w:color w:val="auto"/>
        </w:rPr>
        <w:t>本项目废水经处理后全部还田，厌氧发酵产生的沼气</w:t>
      </w:r>
      <w:r>
        <w:rPr>
          <w:rFonts w:hint="eastAsia"/>
          <w:color w:val="auto"/>
        </w:rPr>
        <w:t>一部分用于食堂燃料，剩余通过火炬燃烧排放。发酵处理后的沼液用于周边农田施肥；猪粪、沼渣提供给堆肥厂综合利用，用于生产有机农肥，</w:t>
      </w:r>
      <w:r>
        <w:rPr>
          <w:color w:val="auto"/>
        </w:rPr>
        <w:t>符合</w:t>
      </w:r>
      <w:r>
        <w:rPr>
          <w:bCs/>
          <w:color w:val="auto"/>
        </w:rPr>
        <w:t>《畜禽养殖污染防治管理办法》的相关</w:t>
      </w:r>
      <w:r>
        <w:rPr>
          <w:color w:val="auto"/>
        </w:rPr>
        <w:t>要求。</w:t>
      </w:r>
    </w:p>
    <w:p>
      <w:pPr>
        <w:ind w:firstLine="480"/>
        <w:rPr>
          <w:color w:val="auto"/>
        </w:rPr>
      </w:pPr>
      <w:r>
        <w:rPr>
          <w:rFonts w:hint="eastAsia"/>
          <w:color w:val="auto"/>
        </w:rPr>
        <w:t>2、与国家畜牧养殖相关要求的符合性分析</w:t>
      </w:r>
    </w:p>
    <w:p>
      <w:pPr>
        <w:ind w:firstLine="480"/>
        <w:rPr>
          <w:color w:val="auto"/>
        </w:rPr>
      </w:pPr>
      <w:r>
        <w:rPr>
          <w:rFonts w:hint="eastAsia"/>
          <w:color w:val="auto"/>
        </w:rPr>
        <w:t>根据《国务院办公厅关于加快推进畜禽养殖废弃物资源化利用的意见》（国办发〔2017〕48号）中的指导思想“全面贯彻党的十八大和十八届三中、四中、五中、六中全会精神……全面推进畜禽养殖废弃物资源化利用，加快构建种养结合、农牧循环的可持续发展新格局，为全面建成小康社会提供有力支撑”，及严格落实畜禽规模养殖环评制度中内容“新建或改扩建畜禽规模养殖场，应突出养分综合利用，配套与养殖规模和处理工艺相适应的粪污消纳用地，配备必要的粪污收集、贮存、处理、利用设施，依法进行环境影响评价”。</w:t>
      </w:r>
    </w:p>
    <w:p>
      <w:pPr>
        <w:ind w:firstLine="480"/>
        <w:rPr>
          <w:rFonts w:hint="eastAsia"/>
          <w:color w:val="auto"/>
        </w:rPr>
      </w:pPr>
      <w:r>
        <w:rPr>
          <w:rFonts w:hint="eastAsia"/>
          <w:color w:val="auto"/>
        </w:rPr>
        <w:t>本项目</w:t>
      </w:r>
      <w:r>
        <w:rPr>
          <w:rFonts w:hint="eastAsia"/>
          <w:color w:val="auto"/>
          <w:lang w:val="en-US" w:eastAsia="zh-CN"/>
        </w:rPr>
        <w:t>养</w:t>
      </w:r>
      <w:r>
        <w:rPr>
          <w:rFonts w:hint="eastAsia"/>
          <w:color w:val="auto"/>
        </w:rPr>
        <w:t>猪场采用种养结合模式，配套了与养殖规模和处理工艺相适应的粪污消纳用地及必要的粪污收集、贮存、处理、利用设施，符合《国务院办公厅关于加快推进畜禽养殖废弃物资源化利用的意见》。</w:t>
      </w:r>
    </w:p>
    <w:p>
      <w:pPr>
        <w:ind w:firstLine="480"/>
        <w:rPr>
          <w:rFonts w:hint="eastAsia"/>
          <w:color w:val="auto"/>
        </w:rPr>
      </w:pPr>
      <w:r>
        <w:rPr>
          <w:rFonts w:hint="eastAsia"/>
          <w:color w:val="auto"/>
        </w:rPr>
        <w:t>根据《畜禽粪污资源化利用行动方案（2017—2020年）》的通知（农牧发[2017]11号）中西南地区相关要求“包括广西、重庆、四川、贵州、云南和西藏6省(区、市)。除西藏外，该区域5省(区、市)均属于我国生猪主产区，但畜禽养殖规模水平较低，以农户和小规模饲养为主，重点推广的技术模式：一是“异位发酵床”模式。粪污通过漏缝地板进入底层或转移到舍外，利用垫料和微生物菌进行发酵分解。采用“公司+农户”模式的家庭农场宜采用舍外发酵床模式，规模生猪养殖场宜采用高架发酵床模式。二是“污水肥料被利用”模式。对于有配套农田的规模养殖场，养殖污水通过三级沉淀池或沼气工程进行无害化处理，配套建设肥水贮存、输送和配比设施，在农田施肥和灌溉期间，实行肥水一体化施用”。本项目</w:t>
      </w:r>
      <w:r>
        <w:rPr>
          <w:rFonts w:hint="eastAsia"/>
          <w:color w:val="auto"/>
          <w:lang w:val="en-US" w:eastAsia="zh-CN"/>
        </w:rPr>
        <w:t>育肥猪</w:t>
      </w:r>
      <w:r>
        <w:rPr>
          <w:rFonts w:hint="eastAsia"/>
          <w:color w:val="auto"/>
        </w:rPr>
        <w:t>产生的粪尿通过漏缝地板自由下落进入</w:t>
      </w:r>
      <w:r>
        <w:rPr>
          <w:rFonts w:hint="eastAsia"/>
          <w:bCs/>
          <w:color w:val="auto"/>
        </w:rPr>
        <w:t>集污池</w:t>
      </w:r>
      <w:r>
        <w:rPr>
          <w:rFonts w:hint="eastAsia"/>
          <w:color w:val="auto"/>
        </w:rPr>
        <w:t>，养殖污水通过“固液分离+厌氧发酵”进行无害化处理，配套建设了肥水贮存、输送和配比设施，在农田施肥期间，实行肥水一体化施用。故均符合《畜禽粪污资源化利用行动方案（2017—2020年）》。</w:t>
      </w:r>
    </w:p>
    <w:p>
      <w:pPr>
        <w:ind w:firstLine="480"/>
        <w:rPr>
          <w:color w:val="auto"/>
        </w:rPr>
      </w:pPr>
      <w:r>
        <w:rPr>
          <w:rFonts w:hint="eastAsia"/>
          <w:color w:val="auto"/>
          <w:lang w:val="en-US" w:eastAsia="zh-CN"/>
        </w:rPr>
        <w:t>本项目病死猪由</w:t>
      </w:r>
      <w:r>
        <w:rPr>
          <w:rFonts w:hint="eastAsia"/>
          <w:color w:val="auto"/>
        </w:rPr>
        <w:t>三台县盛德祥生物科技有限公司</w:t>
      </w:r>
      <w:r>
        <w:rPr>
          <w:rFonts w:hint="eastAsia"/>
          <w:color w:val="auto"/>
          <w:lang w:val="en-US" w:eastAsia="zh-CN"/>
        </w:rPr>
        <w:t>建</w:t>
      </w:r>
      <w:r>
        <w:rPr>
          <w:rFonts w:hint="eastAsia"/>
          <w:color w:val="auto"/>
        </w:rPr>
        <w:t>设的绵阳市病死畜禽无害化处理中心</w:t>
      </w:r>
      <w:r>
        <w:rPr>
          <w:rFonts w:hint="eastAsia"/>
          <w:color w:val="auto"/>
          <w:lang w:val="en-US" w:eastAsia="zh-CN"/>
        </w:rPr>
        <w:t>进行处理。</w:t>
      </w:r>
      <w:r>
        <w:rPr>
          <w:rFonts w:hint="eastAsia"/>
          <w:color w:val="auto"/>
        </w:rPr>
        <w:t>通过上述分析，本项目符合国家畜牧养殖相关要求。</w:t>
      </w:r>
    </w:p>
    <w:p>
      <w:pPr>
        <w:ind w:firstLine="482"/>
        <w:rPr>
          <w:b/>
          <w:bCs/>
          <w:color w:val="auto"/>
        </w:rPr>
      </w:pPr>
      <w:r>
        <w:rPr>
          <w:b/>
          <w:bCs/>
          <w:color w:val="auto"/>
        </w:rPr>
        <w:t>3、与</w:t>
      </w:r>
      <w:r>
        <w:rPr>
          <w:rFonts w:hint="eastAsia"/>
          <w:b/>
          <w:bCs/>
          <w:color w:val="auto"/>
        </w:rPr>
        <w:t>四川省及绵阳市畜牧养殖相关要求的符合性分析</w:t>
      </w:r>
    </w:p>
    <w:p>
      <w:pPr>
        <w:ind w:firstLine="480"/>
        <w:jc w:val="left"/>
        <w:rPr>
          <w:color w:val="auto"/>
        </w:rPr>
      </w:pPr>
      <w:r>
        <w:rPr>
          <w:rFonts w:hint="eastAsia"/>
          <w:color w:val="auto"/>
        </w:rPr>
        <w:t>（1）</w:t>
      </w:r>
      <w:r>
        <w:rPr>
          <w:color w:val="auto"/>
          <w:kern w:val="0"/>
          <w:szCs w:val="21"/>
        </w:rPr>
        <w:t>《四川省畜禽养殖污染防治技术指南（试行）》符合性分析</w:t>
      </w:r>
    </w:p>
    <w:p>
      <w:pPr>
        <w:ind w:firstLine="480"/>
        <w:jc w:val="left"/>
        <w:rPr>
          <w:color w:val="auto"/>
        </w:rPr>
      </w:pPr>
      <w:r>
        <w:rPr>
          <w:color w:val="auto"/>
        </w:rPr>
        <w:t>本项目</w:t>
      </w:r>
      <w:r>
        <w:rPr>
          <w:rFonts w:hint="eastAsia"/>
          <w:color w:val="auto"/>
          <w:lang w:val="en-US" w:eastAsia="zh-CN"/>
        </w:rPr>
        <w:t>养</w:t>
      </w:r>
      <w:r>
        <w:rPr>
          <w:rFonts w:hint="eastAsia"/>
          <w:color w:val="auto"/>
        </w:rPr>
        <w:t>猪场</w:t>
      </w:r>
      <w:r>
        <w:rPr>
          <w:color w:val="auto"/>
        </w:rPr>
        <w:t>采用</w:t>
      </w:r>
      <w:r>
        <w:rPr>
          <w:color w:val="auto"/>
          <w:kern w:val="0"/>
          <w:szCs w:val="21"/>
        </w:rPr>
        <w:t>《四川省畜禽养殖污染防治技术指南（试行）》（川农业函【2017】647号）</w:t>
      </w:r>
      <w:r>
        <w:rPr>
          <w:color w:val="auto"/>
        </w:rPr>
        <w:t>中10.1条推荐工艺，即“种养循环”模式进行处理，产生的猪尿液及冲洗废水单独排出，</w:t>
      </w:r>
      <w:r>
        <w:rPr>
          <w:color w:val="auto"/>
          <w:szCs w:val="21"/>
        </w:rPr>
        <w:t>经</w:t>
      </w:r>
      <w:r>
        <w:rPr>
          <w:color w:val="auto"/>
        </w:rPr>
        <w:t>沼气池</w:t>
      </w:r>
      <w:r>
        <w:rPr>
          <w:rFonts w:hint="eastAsia"/>
          <w:color w:val="auto"/>
        </w:rPr>
        <w:t>厌氧消化</w:t>
      </w:r>
      <w:r>
        <w:rPr>
          <w:color w:val="auto"/>
          <w:szCs w:val="21"/>
        </w:rPr>
        <w:t>处理后</w:t>
      </w:r>
      <w:r>
        <w:rPr>
          <w:color w:val="auto"/>
        </w:rPr>
        <w:t>再</w:t>
      </w:r>
      <w:r>
        <w:rPr>
          <w:color w:val="auto"/>
          <w:szCs w:val="21"/>
        </w:rPr>
        <w:t>送至消纳区，用于周围</w:t>
      </w:r>
      <w:r>
        <w:rPr>
          <w:color w:val="auto"/>
          <w:kern w:val="0"/>
          <w:szCs w:val="21"/>
        </w:rPr>
        <w:t>农田</w:t>
      </w:r>
      <w:r>
        <w:rPr>
          <w:color w:val="auto"/>
          <w:szCs w:val="21"/>
        </w:rPr>
        <w:t>消纳，不外排，</w:t>
      </w:r>
      <w:r>
        <w:rPr>
          <w:color w:val="auto"/>
        </w:rPr>
        <w:t>污粪未混合排出，符合</w:t>
      </w:r>
      <w:r>
        <w:rPr>
          <w:color w:val="auto"/>
          <w:kern w:val="0"/>
          <w:szCs w:val="21"/>
        </w:rPr>
        <w:t>《四川省畜禽养殖污染防治技术指南（试行）》。</w:t>
      </w:r>
      <w:r>
        <w:rPr>
          <w:color w:val="auto"/>
        </w:rPr>
        <w:t>项目废水全部资源化利用，不会对区域地表水环境产生影响。</w:t>
      </w:r>
    </w:p>
    <w:p>
      <w:pPr>
        <w:pStyle w:val="28"/>
        <w:spacing w:line="360" w:lineRule="auto"/>
        <w:ind w:firstLine="480" w:firstLineChars="200"/>
        <w:rPr>
          <w:rFonts w:ascii="Times New Roman" w:hAnsi="Times New Roman"/>
          <w:color w:val="auto"/>
        </w:rPr>
      </w:pPr>
      <w:r>
        <w:rPr>
          <w:rFonts w:hint="eastAsia" w:ascii="Times New Roman" w:hAnsi="Times New Roman"/>
          <w:color w:val="auto"/>
        </w:rPr>
        <w:t>（2）</w:t>
      </w:r>
      <w:r>
        <w:rPr>
          <w:rFonts w:ascii="Times New Roman" w:hAnsi="Times New Roman"/>
          <w:color w:val="auto"/>
        </w:rPr>
        <w:t>绵阳市人民政府《关于加快发展现代畜牧业的意见》符合性分析</w:t>
      </w:r>
    </w:p>
    <w:p>
      <w:pPr>
        <w:ind w:firstLine="480"/>
        <w:rPr>
          <w:color w:val="auto"/>
        </w:rPr>
      </w:pPr>
      <w:r>
        <w:rPr>
          <w:color w:val="auto"/>
        </w:rPr>
        <w:t>绵阳市人民政府《关于加快发展现代畜牧业的意见》中要求“突出生态健康养殖，推动畜牧业协调可持续发展。大力倡导推进畜牧生态健康养殖示范基地创建活动，积极探索畜禽养殖场粪污综合利用新模式，大力扶持和推广“畜禽养殖＋沼气＋种植”的农牧结合、生态循环生产模式，建立“畜禽养殖－粪便－有机肥－无公害农产品”、“畜禽粪便－沼气－发电”等综合利用体系，降低畜禽养殖对环境的影响。”本项目为“畜禽养殖＋沼气＋种植”的农牧结合、生态循环生产模式，建立了“畜禽养殖－粪便－有机肥－无公害农产品”综合利用体系，符合绵阳市人民政府《关于加快发展现代畜牧业的意见》中要求。</w:t>
      </w:r>
    </w:p>
    <w:p>
      <w:pPr>
        <w:pStyle w:val="28"/>
        <w:spacing w:line="360" w:lineRule="auto"/>
        <w:ind w:left="480" w:firstLine="0" w:firstLineChars="0"/>
        <w:rPr>
          <w:rFonts w:ascii="Times New Roman" w:hAnsi="Times New Roman"/>
          <w:color w:val="auto"/>
        </w:rPr>
      </w:pPr>
      <w:r>
        <w:rPr>
          <w:rFonts w:hint="eastAsia" w:ascii="Times New Roman" w:hAnsi="Times New Roman"/>
          <w:color w:val="auto"/>
        </w:rPr>
        <w:t>（3）</w:t>
      </w:r>
      <w:r>
        <w:rPr>
          <w:rFonts w:ascii="Times New Roman" w:hAnsi="Times New Roman"/>
          <w:color w:val="auto"/>
        </w:rPr>
        <w:t>与《绵阳市畜禽养殖污染防治规划》符合性分析</w:t>
      </w:r>
    </w:p>
    <w:p>
      <w:pPr>
        <w:ind w:firstLine="480"/>
        <w:rPr>
          <w:rFonts w:hint="eastAsia"/>
          <w:color w:val="auto"/>
        </w:rPr>
      </w:pPr>
      <w:r>
        <w:rPr>
          <w:color w:val="auto"/>
        </w:rPr>
        <w:t>根据《绵阳市畜禽养殖污染防治规划》（绵环发[2019]34号），与项目相关规划如下表：</w:t>
      </w:r>
    </w:p>
    <w:p>
      <w:pPr>
        <w:pStyle w:val="277"/>
        <w:ind w:firstLine="482"/>
        <w:rPr>
          <w:color w:val="auto"/>
          <w:sz w:val="21"/>
        </w:rPr>
      </w:pPr>
      <w:r>
        <w:rPr>
          <w:color w:val="auto"/>
          <w:sz w:val="21"/>
        </w:rPr>
        <w:t>表2.</w:t>
      </w:r>
      <w:r>
        <w:rPr>
          <w:rFonts w:hint="eastAsia"/>
          <w:color w:val="auto"/>
          <w:sz w:val="21"/>
          <w:lang w:val="en-US" w:eastAsia="zh-CN"/>
        </w:rPr>
        <w:t>8</w:t>
      </w:r>
      <w:r>
        <w:rPr>
          <w:color w:val="auto"/>
          <w:sz w:val="21"/>
        </w:rPr>
        <w:t>-1</w:t>
      </w:r>
      <w:r>
        <w:rPr>
          <w:rFonts w:hint="eastAsia"/>
          <w:color w:val="auto"/>
          <w:sz w:val="21"/>
          <w:lang w:val="en-US" w:eastAsia="zh-CN"/>
        </w:rPr>
        <w:t xml:space="preserve"> </w:t>
      </w:r>
      <w:r>
        <w:rPr>
          <w:color w:val="auto"/>
          <w:sz w:val="21"/>
        </w:rPr>
        <w:t>与《绵阳市畜禽养殖污染防治规划》的符合性分析</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4843"/>
        <w:gridCol w:w="2521"/>
        <w:gridCol w:w="82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tblHeader/>
          <w:jc w:val="center"/>
        </w:trPr>
        <w:tc>
          <w:tcPr>
            <w:tcW w:w="816" w:type="dxa"/>
            <w:noWrap w:val="0"/>
            <w:vAlign w:val="center"/>
          </w:tcPr>
          <w:p>
            <w:pPr>
              <w:adjustRightInd w:val="0"/>
              <w:snapToGrid w:val="0"/>
              <w:spacing w:line="280" w:lineRule="exact"/>
              <w:ind w:firstLine="0" w:firstLineChars="0"/>
              <w:jc w:val="center"/>
              <w:rPr>
                <w:b/>
                <w:color w:val="auto"/>
                <w:sz w:val="20"/>
                <w:szCs w:val="20"/>
              </w:rPr>
            </w:pPr>
            <w:r>
              <w:rPr>
                <w:b/>
                <w:color w:val="auto"/>
                <w:sz w:val="20"/>
                <w:szCs w:val="20"/>
              </w:rPr>
              <w:t>序号</w:t>
            </w:r>
          </w:p>
        </w:tc>
        <w:tc>
          <w:tcPr>
            <w:tcW w:w="4843" w:type="dxa"/>
            <w:noWrap w:val="0"/>
            <w:vAlign w:val="center"/>
          </w:tcPr>
          <w:p>
            <w:pPr>
              <w:adjustRightInd w:val="0"/>
              <w:snapToGrid w:val="0"/>
              <w:spacing w:line="280" w:lineRule="exact"/>
              <w:ind w:firstLine="0" w:firstLineChars="0"/>
              <w:jc w:val="center"/>
              <w:rPr>
                <w:b/>
                <w:color w:val="auto"/>
                <w:sz w:val="20"/>
                <w:szCs w:val="20"/>
              </w:rPr>
            </w:pPr>
            <w:r>
              <w:rPr>
                <w:b/>
                <w:color w:val="auto"/>
                <w:sz w:val="20"/>
                <w:szCs w:val="20"/>
              </w:rPr>
              <w:t>《绵阳市畜禽养殖污染防治规划》相关内容</w:t>
            </w:r>
          </w:p>
        </w:tc>
        <w:tc>
          <w:tcPr>
            <w:tcW w:w="2521" w:type="dxa"/>
            <w:noWrap w:val="0"/>
            <w:vAlign w:val="center"/>
          </w:tcPr>
          <w:p>
            <w:pPr>
              <w:adjustRightInd w:val="0"/>
              <w:snapToGrid w:val="0"/>
              <w:spacing w:line="280" w:lineRule="exact"/>
              <w:ind w:firstLine="0" w:firstLineChars="0"/>
              <w:jc w:val="center"/>
              <w:rPr>
                <w:b/>
                <w:color w:val="auto"/>
                <w:sz w:val="20"/>
                <w:szCs w:val="20"/>
              </w:rPr>
            </w:pPr>
            <w:r>
              <w:rPr>
                <w:b/>
                <w:color w:val="auto"/>
                <w:sz w:val="20"/>
                <w:szCs w:val="20"/>
              </w:rPr>
              <w:t>本项目情况</w:t>
            </w:r>
          </w:p>
        </w:tc>
        <w:tc>
          <w:tcPr>
            <w:tcW w:w="823" w:type="dxa"/>
            <w:noWrap w:val="0"/>
            <w:vAlign w:val="center"/>
          </w:tcPr>
          <w:p>
            <w:pPr>
              <w:adjustRightInd w:val="0"/>
              <w:snapToGrid w:val="0"/>
              <w:spacing w:line="280" w:lineRule="exact"/>
              <w:ind w:firstLine="0" w:firstLineChars="0"/>
              <w:jc w:val="center"/>
              <w:rPr>
                <w:b/>
                <w:color w:val="auto"/>
                <w:sz w:val="20"/>
                <w:szCs w:val="20"/>
              </w:rPr>
            </w:pPr>
            <w:r>
              <w:rPr>
                <w:b/>
                <w:color w:val="auto"/>
                <w:sz w:val="20"/>
                <w:szCs w:val="20"/>
              </w:rPr>
              <w:t>结论</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一</w:t>
            </w:r>
          </w:p>
        </w:tc>
        <w:tc>
          <w:tcPr>
            <w:tcW w:w="8187" w:type="dxa"/>
            <w:gridSpan w:val="3"/>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总则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（二）</w:t>
            </w:r>
          </w:p>
        </w:tc>
        <w:tc>
          <w:tcPr>
            <w:tcW w:w="8187" w:type="dxa"/>
            <w:gridSpan w:val="3"/>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规划原则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4</w:t>
            </w:r>
          </w:p>
        </w:tc>
        <w:tc>
          <w:tcPr>
            <w:tcW w:w="4843" w:type="dxa"/>
            <w:noWrap w:val="0"/>
            <w:vAlign w:val="center"/>
          </w:tcPr>
          <w:p>
            <w:pPr>
              <w:adjustRightInd w:val="0"/>
              <w:snapToGrid w:val="0"/>
              <w:spacing w:line="280" w:lineRule="exact"/>
              <w:ind w:firstLine="0" w:firstLineChars="0"/>
              <w:jc w:val="left"/>
              <w:rPr>
                <w:bCs/>
                <w:color w:val="auto"/>
                <w:sz w:val="20"/>
                <w:szCs w:val="20"/>
              </w:rPr>
            </w:pPr>
            <w:r>
              <w:rPr>
                <w:bCs/>
                <w:color w:val="auto"/>
                <w:sz w:val="20"/>
                <w:szCs w:val="20"/>
              </w:rPr>
              <w:t>种养结合、农牧配套原则。按照“以种定养、以养促种、种养结合、循环利用”的原则，坚持畜牧业与农业协调，大力发展种养循环农业，推广农牧结合生态治理模式。按照“减量化、资源化、无害化”要求，畜禽废弃物与周边农业产业承载消耗量相配套的原则，鼓励畜禽养殖规模化、养殖废弃物利用资源化和专业化，污染防治措施优先考虑无害化处理及资源化综合利用，推进种养结合、农牧配套，逐步建立和完善农业产业结构的生态链。</w:t>
            </w:r>
          </w:p>
        </w:tc>
        <w:tc>
          <w:tcPr>
            <w:tcW w:w="2521" w:type="dxa"/>
            <w:vMerge w:val="restart"/>
            <w:noWrap w:val="0"/>
            <w:vAlign w:val="center"/>
          </w:tcPr>
          <w:p>
            <w:pPr>
              <w:adjustRightInd w:val="0"/>
              <w:snapToGrid w:val="0"/>
              <w:spacing w:line="280" w:lineRule="exact"/>
              <w:ind w:firstLine="0" w:firstLineChars="0"/>
              <w:jc w:val="center"/>
              <w:rPr>
                <w:rFonts w:hint="eastAsia"/>
                <w:bCs/>
                <w:color w:val="auto"/>
                <w:sz w:val="20"/>
                <w:szCs w:val="20"/>
              </w:rPr>
            </w:pPr>
            <w:r>
              <w:rPr>
                <w:bCs/>
                <w:color w:val="auto"/>
                <w:sz w:val="20"/>
                <w:szCs w:val="20"/>
              </w:rPr>
              <w:t>本项目</w:t>
            </w:r>
            <w:r>
              <w:rPr>
                <w:rFonts w:hint="eastAsia"/>
                <w:bCs/>
                <w:color w:val="auto"/>
                <w:sz w:val="20"/>
                <w:szCs w:val="20"/>
                <w:lang w:val="en-US" w:eastAsia="zh-CN"/>
              </w:rPr>
              <w:t>养</w:t>
            </w:r>
            <w:r>
              <w:rPr>
                <w:rFonts w:hint="eastAsia"/>
                <w:bCs/>
                <w:color w:val="auto"/>
                <w:sz w:val="20"/>
                <w:szCs w:val="20"/>
              </w:rPr>
              <w:t>猪场采用</w:t>
            </w:r>
            <w:r>
              <w:rPr>
                <w:bCs/>
                <w:color w:val="auto"/>
                <w:sz w:val="20"/>
                <w:szCs w:val="20"/>
              </w:rPr>
              <w:t>种养结合养殖</w:t>
            </w:r>
            <w:r>
              <w:rPr>
                <w:rFonts w:hint="eastAsia"/>
                <w:bCs/>
                <w:color w:val="auto"/>
                <w:sz w:val="20"/>
                <w:szCs w:val="20"/>
              </w:rPr>
              <w:t>方式，</w:t>
            </w:r>
            <w:r>
              <w:rPr>
                <w:bCs/>
                <w:color w:val="auto"/>
                <w:sz w:val="20"/>
                <w:szCs w:val="20"/>
              </w:rPr>
              <w:t>采用干清粪工艺，养殖废水经</w:t>
            </w:r>
            <w:r>
              <w:rPr>
                <w:rFonts w:hint="eastAsia"/>
                <w:bCs/>
                <w:color w:val="auto"/>
                <w:sz w:val="20"/>
                <w:szCs w:val="20"/>
              </w:rPr>
              <w:t>处理</w:t>
            </w:r>
            <w:r>
              <w:rPr>
                <w:bCs/>
                <w:color w:val="auto"/>
                <w:sz w:val="20"/>
                <w:szCs w:val="20"/>
              </w:rPr>
              <w:t>后用于周边农田消纳，达到种养平衡；猪粪、沼渣经干湿分离后交由</w:t>
            </w:r>
            <w:r>
              <w:rPr>
                <w:rFonts w:hint="eastAsia"/>
                <w:bCs/>
                <w:color w:val="auto"/>
                <w:sz w:val="20"/>
                <w:szCs w:val="20"/>
              </w:rPr>
              <w:t>堆肥厂堆肥利用</w:t>
            </w:r>
            <w:r>
              <w:rPr>
                <w:bCs/>
                <w:color w:val="auto"/>
                <w:sz w:val="20"/>
                <w:szCs w:val="20"/>
              </w:rPr>
              <w:t>，实现粪污全量资源化利用，不外排。</w:t>
            </w:r>
          </w:p>
        </w:tc>
        <w:tc>
          <w:tcPr>
            <w:tcW w:w="823" w:type="dxa"/>
            <w:vMerge w:val="restart"/>
            <w:noWrap w:val="0"/>
            <w:vAlign w:val="center"/>
          </w:tcPr>
          <w:p>
            <w:pPr>
              <w:adjustRightInd w:val="0"/>
              <w:snapToGrid w:val="0"/>
              <w:spacing w:line="280" w:lineRule="exact"/>
              <w:ind w:firstLine="0" w:firstLineChars="0"/>
              <w:jc w:val="center"/>
              <w:rPr>
                <w:rFonts w:hint="eastAsia"/>
                <w:bCs/>
                <w:color w:val="auto"/>
                <w:sz w:val="20"/>
                <w:szCs w:val="20"/>
              </w:rPr>
            </w:pPr>
            <w:r>
              <w:rPr>
                <w:rFonts w:hint="eastAsia"/>
                <w:bCs/>
                <w:color w:val="auto"/>
                <w:sz w:val="20"/>
                <w:szCs w:val="20"/>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5</w:t>
            </w:r>
          </w:p>
        </w:tc>
        <w:tc>
          <w:tcPr>
            <w:tcW w:w="4843" w:type="dxa"/>
            <w:noWrap w:val="0"/>
            <w:vAlign w:val="center"/>
          </w:tcPr>
          <w:p>
            <w:pPr>
              <w:adjustRightInd w:val="0"/>
              <w:snapToGrid w:val="0"/>
              <w:spacing w:line="280" w:lineRule="exact"/>
              <w:ind w:firstLine="0" w:firstLineChars="0"/>
              <w:jc w:val="left"/>
              <w:rPr>
                <w:bCs/>
                <w:color w:val="auto"/>
                <w:sz w:val="20"/>
                <w:szCs w:val="20"/>
              </w:rPr>
            </w:pPr>
            <w:r>
              <w:rPr>
                <w:bCs/>
                <w:color w:val="auto"/>
                <w:sz w:val="20"/>
                <w:szCs w:val="20"/>
              </w:rPr>
              <w:t>污染物总量控制原则。按照污染物总量控制的要求，推广生态养殖，鼓励畜禽废弃物综合利用，削减污染物排放总量。有计划、有步骤地改善规模畜禽养殖场的基础设施。按照标准化、生态化、无害化的要求，切实改善和提高养殖的圈舍、饲养设备和养殖废弃物利用资源化处理设施，优化畜禽养殖环境条件和生产条件。</w:t>
            </w:r>
          </w:p>
        </w:tc>
        <w:tc>
          <w:tcPr>
            <w:tcW w:w="2521" w:type="dxa"/>
            <w:vMerge w:val="continue"/>
            <w:noWrap w:val="0"/>
            <w:vAlign w:val="center"/>
          </w:tcPr>
          <w:p>
            <w:pPr>
              <w:adjustRightInd w:val="0"/>
              <w:snapToGrid w:val="0"/>
              <w:spacing w:line="280" w:lineRule="exact"/>
              <w:ind w:firstLine="0" w:firstLineChars="0"/>
              <w:jc w:val="center"/>
              <w:rPr>
                <w:bCs/>
                <w:color w:val="auto"/>
                <w:sz w:val="20"/>
                <w:szCs w:val="20"/>
              </w:rPr>
            </w:pPr>
          </w:p>
        </w:tc>
        <w:tc>
          <w:tcPr>
            <w:tcW w:w="823" w:type="dxa"/>
            <w:vMerge w:val="continue"/>
            <w:noWrap w:val="0"/>
            <w:vAlign w:val="center"/>
          </w:tcPr>
          <w:p>
            <w:pPr>
              <w:adjustRightInd w:val="0"/>
              <w:snapToGrid w:val="0"/>
              <w:spacing w:line="280" w:lineRule="exact"/>
              <w:ind w:firstLine="0" w:firstLineChars="0"/>
              <w:jc w:val="center"/>
              <w:rPr>
                <w:bCs/>
                <w:color w:val="auto"/>
                <w:sz w:val="20"/>
                <w:szCs w:val="20"/>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五</w:t>
            </w:r>
          </w:p>
        </w:tc>
        <w:tc>
          <w:tcPr>
            <w:tcW w:w="8187" w:type="dxa"/>
            <w:gridSpan w:val="3"/>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畜禽养殖污染防治主要任务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（四）</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 xml:space="preserve">提高污染治理水平 </w:t>
            </w:r>
          </w:p>
        </w:tc>
        <w:tc>
          <w:tcPr>
            <w:tcW w:w="2521" w:type="dxa"/>
            <w:noWrap w:val="0"/>
            <w:vAlign w:val="center"/>
          </w:tcPr>
          <w:p>
            <w:pPr>
              <w:adjustRightInd w:val="0"/>
              <w:snapToGrid w:val="0"/>
              <w:spacing w:line="280" w:lineRule="exact"/>
              <w:ind w:firstLine="0" w:firstLineChars="0"/>
              <w:jc w:val="center"/>
              <w:rPr>
                <w:rFonts w:hint="eastAsia"/>
                <w:bCs/>
                <w:color w:val="auto"/>
                <w:sz w:val="20"/>
                <w:szCs w:val="20"/>
              </w:rPr>
            </w:pPr>
            <w:r>
              <w:rPr>
                <w:rFonts w:hint="eastAsia"/>
                <w:bCs/>
                <w:color w:val="auto"/>
                <w:sz w:val="20"/>
                <w:szCs w:val="20"/>
              </w:rPr>
              <w:t>/</w:t>
            </w:r>
          </w:p>
        </w:tc>
        <w:tc>
          <w:tcPr>
            <w:tcW w:w="82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2</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支持畜禽养殖废弃物集中化、专业化处理处置。畜禽养殖经营者可将废弃物委托给具备处理能力的单位进行综合利用或处置。</w:t>
            </w:r>
          </w:p>
        </w:tc>
        <w:tc>
          <w:tcPr>
            <w:tcW w:w="2521" w:type="dxa"/>
            <w:noWrap w:val="0"/>
            <w:vAlign w:val="center"/>
          </w:tcPr>
          <w:p>
            <w:pPr>
              <w:adjustRightInd w:val="0"/>
              <w:snapToGrid w:val="0"/>
              <w:spacing w:line="280" w:lineRule="exact"/>
              <w:ind w:firstLine="0" w:firstLineChars="0"/>
              <w:jc w:val="center"/>
              <w:rPr>
                <w:bCs/>
                <w:color w:val="auto"/>
                <w:sz w:val="20"/>
                <w:szCs w:val="20"/>
              </w:rPr>
            </w:pPr>
            <w:r>
              <w:rPr>
                <w:rFonts w:hint="eastAsia"/>
                <w:bCs/>
                <w:color w:val="auto"/>
                <w:sz w:val="20"/>
                <w:szCs w:val="20"/>
                <w:lang w:val="en-US" w:eastAsia="zh-CN"/>
              </w:rPr>
              <w:t>养</w:t>
            </w:r>
            <w:r>
              <w:rPr>
                <w:rFonts w:hint="eastAsia"/>
                <w:bCs/>
                <w:color w:val="auto"/>
                <w:sz w:val="20"/>
                <w:szCs w:val="20"/>
              </w:rPr>
              <w:t>猪场</w:t>
            </w:r>
            <w:r>
              <w:rPr>
                <w:bCs/>
                <w:color w:val="auto"/>
                <w:sz w:val="20"/>
                <w:szCs w:val="20"/>
              </w:rPr>
              <w:t>猪粪、沼渣经干湿分离后交由</w:t>
            </w:r>
            <w:r>
              <w:rPr>
                <w:rFonts w:hint="eastAsia"/>
                <w:bCs/>
                <w:color w:val="auto"/>
                <w:sz w:val="20"/>
                <w:szCs w:val="20"/>
              </w:rPr>
              <w:t>堆肥厂堆肥利用</w:t>
            </w:r>
            <w:r>
              <w:rPr>
                <w:bCs/>
                <w:color w:val="auto"/>
                <w:sz w:val="20"/>
                <w:szCs w:val="20"/>
              </w:rPr>
              <w:t>，实现粪污全量资源化利用</w:t>
            </w:r>
            <w:r>
              <w:rPr>
                <w:rFonts w:hint="eastAsia"/>
                <w:bCs/>
                <w:color w:val="auto"/>
                <w:sz w:val="20"/>
                <w:szCs w:val="20"/>
              </w:rPr>
              <w:t>。</w:t>
            </w:r>
          </w:p>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rPr>
              <w:t>医疗废弃物委托有资质的单位转运处理；</w:t>
            </w:r>
            <w:r>
              <w:rPr>
                <w:rFonts w:hint="eastAsia"/>
                <w:bCs/>
                <w:color w:val="auto"/>
                <w:sz w:val="20"/>
                <w:szCs w:val="20"/>
                <w:lang w:val="en-US" w:eastAsia="zh-CN"/>
              </w:rPr>
              <w:t>病死猪</w:t>
            </w:r>
            <w:r>
              <w:rPr>
                <w:rFonts w:hint="eastAsia"/>
                <w:bCs/>
                <w:color w:val="auto"/>
                <w:sz w:val="20"/>
                <w:szCs w:val="20"/>
                <w:lang w:val="en-US" w:eastAsia="zh-CN"/>
              </w:rPr>
              <w:t>由</w:t>
            </w:r>
            <w:r>
              <w:rPr>
                <w:rFonts w:hint="eastAsia"/>
                <w:bCs/>
                <w:color w:val="auto"/>
                <w:sz w:val="20"/>
                <w:szCs w:val="20"/>
              </w:rPr>
              <w:t>三台县盛德祥生物科技有限公司</w:t>
            </w:r>
            <w:r>
              <w:rPr>
                <w:rFonts w:hint="eastAsia"/>
                <w:bCs/>
                <w:color w:val="auto"/>
                <w:sz w:val="20"/>
                <w:szCs w:val="20"/>
                <w:lang w:val="en-US" w:eastAsia="zh-CN"/>
              </w:rPr>
              <w:t>建</w:t>
            </w:r>
            <w:r>
              <w:rPr>
                <w:rFonts w:hint="eastAsia"/>
                <w:bCs/>
                <w:color w:val="auto"/>
                <w:sz w:val="20"/>
                <w:szCs w:val="20"/>
              </w:rPr>
              <w:t>设的绵阳市病死畜禽无害化处理中心</w:t>
            </w:r>
            <w:r>
              <w:rPr>
                <w:rFonts w:hint="eastAsia"/>
                <w:bCs/>
                <w:color w:val="auto"/>
                <w:sz w:val="20"/>
                <w:szCs w:val="20"/>
                <w:lang w:val="en-US" w:eastAsia="zh-CN"/>
              </w:rPr>
              <w:t>进行处理</w:t>
            </w:r>
            <w:r>
              <w:rPr>
                <w:rFonts w:hint="eastAsia"/>
                <w:bCs/>
                <w:color w:val="auto"/>
                <w:sz w:val="20"/>
                <w:szCs w:val="20"/>
              </w:rPr>
              <w:t>；废脱硫剂由厂家回收再生处理；生活垃圾由环卫清运；废弃包装袋由废品回收站回收处理。</w:t>
            </w:r>
          </w:p>
        </w:tc>
        <w:tc>
          <w:tcPr>
            <w:tcW w:w="823" w:type="dxa"/>
            <w:noWrap w:val="0"/>
            <w:vAlign w:val="center"/>
          </w:tcPr>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3</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积极推广各类适合本地产业发展、符合生态化养殖要求的畜禽养殖污染防治技术或生态养殖模式。如干清粪、铺垫式清粪工艺、有机肥生产、沼气化处理、农牧林种养结合等多种形式的畜禽养殖污染防治技术和生态养殖模式</w:t>
            </w:r>
          </w:p>
        </w:tc>
        <w:tc>
          <w:tcPr>
            <w:tcW w:w="2521" w:type="dxa"/>
            <w:noWrap w:val="0"/>
            <w:vAlign w:val="center"/>
          </w:tcPr>
          <w:p>
            <w:pPr>
              <w:adjustRightInd w:val="0"/>
              <w:snapToGrid w:val="0"/>
              <w:spacing w:line="280" w:lineRule="exact"/>
              <w:ind w:firstLine="0" w:firstLineChars="0"/>
              <w:jc w:val="center"/>
              <w:rPr>
                <w:bCs/>
                <w:color w:val="auto"/>
                <w:sz w:val="20"/>
                <w:szCs w:val="20"/>
                <w:highlight w:val="yellow"/>
              </w:rPr>
            </w:pPr>
            <w:r>
              <w:rPr>
                <w:rFonts w:hint="eastAsia"/>
                <w:bCs/>
                <w:color w:val="auto"/>
                <w:sz w:val="20"/>
                <w:szCs w:val="20"/>
              </w:rPr>
              <w:t>本</w:t>
            </w:r>
            <w:r>
              <w:rPr>
                <w:bCs/>
                <w:color w:val="auto"/>
                <w:sz w:val="20"/>
                <w:szCs w:val="20"/>
              </w:rPr>
              <w:t>项目采用干清粪工艺</w:t>
            </w:r>
            <w:r>
              <w:rPr>
                <w:rFonts w:hint="eastAsia"/>
                <w:bCs/>
                <w:color w:val="auto"/>
                <w:sz w:val="20"/>
                <w:szCs w:val="20"/>
              </w:rPr>
              <w:t>、</w:t>
            </w:r>
            <w:r>
              <w:rPr>
                <w:bCs/>
                <w:color w:val="auto"/>
                <w:sz w:val="20"/>
                <w:szCs w:val="20"/>
              </w:rPr>
              <w:t>沼气化处理等多种形式的畜禽养殖污染防治技术和生态养殖模式</w:t>
            </w:r>
          </w:p>
        </w:tc>
        <w:tc>
          <w:tcPr>
            <w:tcW w:w="823" w:type="dxa"/>
            <w:noWrap w:val="0"/>
            <w:vAlign w:val="center"/>
          </w:tcPr>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8</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加大畜禽养殖废气综合治理。加强畜禽养殖场的科学选址，从源头上预防臭气污染。规模化畜禽养殖场(小区)应加强恶臭气体净化处理并覆盖所有恶臭发生源，排放的气体应符合国家或地方恶臭污染物排放标准。······大型规模化畜禽养殖场应针对畜禽养殖废弃物处理与利用过程的关键环节，采取场所密闭、喷洒除臭剂等措施，减少恶臭气体扩散，降低恶臭气体对场区空气质量和周边居民生活的影响。中小型规模化畜禽养殖场(小区)宜通过科学选址、合理布局、加强圈舍通风、建设绿化隔离带、及时清理畜禽养殖废弃物等手段，减少恶臭气体的污染。</w:t>
            </w:r>
          </w:p>
        </w:tc>
        <w:tc>
          <w:tcPr>
            <w:tcW w:w="2521" w:type="dxa"/>
            <w:noWrap w:val="0"/>
            <w:vAlign w:val="center"/>
          </w:tcPr>
          <w:p>
            <w:pPr>
              <w:adjustRightInd w:val="0"/>
              <w:snapToGrid w:val="0"/>
              <w:spacing w:line="280" w:lineRule="exact"/>
              <w:ind w:firstLine="0" w:firstLineChars="0"/>
              <w:jc w:val="center"/>
              <w:rPr>
                <w:bCs/>
                <w:color w:val="auto"/>
                <w:sz w:val="20"/>
                <w:szCs w:val="20"/>
                <w:highlight w:val="yellow"/>
              </w:rPr>
            </w:pPr>
            <w:r>
              <w:rPr>
                <w:rFonts w:hint="eastAsia"/>
                <w:bCs/>
                <w:color w:val="auto"/>
                <w:sz w:val="20"/>
                <w:szCs w:val="20"/>
              </w:rPr>
              <w:t>本项目</w:t>
            </w:r>
            <w:r>
              <w:rPr>
                <w:bCs/>
                <w:color w:val="auto"/>
                <w:sz w:val="20"/>
                <w:szCs w:val="20"/>
              </w:rPr>
              <w:t>针对畜禽养殖废弃物处理与利用过程的关键环节，采取</w:t>
            </w:r>
            <w:r>
              <w:rPr>
                <w:rFonts w:hint="eastAsia"/>
                <w:bCs/>
                <w:color w:val="auto"/>
                <w:sz w:val="20"/>
                <w:szCs w:val="20"/>
              </w:rPr>
              <w:t>了猪舍和污水处理系统</w:t>
            </w:r>
            <w:r>
              <w:rPr>
                <w:bCs/>
                <w:color w:val="auto"/>
                <w:sz w:val="20"/>
                <w:szCs w:val="20"/>
              </w:rPr>
              <w:t>密闭、喷洒除臭剂</w:t>
            </w:r>
            <w:r>
              <w:rPr>
                <w:rFonts w:hint="eastAsia"/>
                <w:bCs/>
                <w:color w:val="auto"/>
                <w:sz w:val="20"/>
                <w:szCs w:val="20"/>
              </w:rPr>
              <w:t>，以及加强绿化</w:t>
            </w:r>
            <w:r>
              <w:rPr>
                <w:bCs/>
                <w:color w:val="auto"/>
                <w:sz w:val="20"/>
                <w:szCs w:val="20"/>
              </w:rPr>
              <w:t>等措施，减少恶臭气体扩散，降低恶臭气体对场区空气质量和周边居民生活的影响。</w:t>
            </w:r>
          </w:p>
        </w:tc>
        <w:tc>
          <w:tcPr>
            <w:tcW w:w="823" w:type="dxa"/>
            <w:noWrap w:val="0"/>
            <w:vAlign w:val="center"/>
          </w:tcPr>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（五）</w:t>
            </w:r>
          </w:p>
        </w:tc>
        <w:tc>
          <w:tcPr>
            <w:tcW w:w="8187" w:type="dxa"/>
            <w:gridSpan w:val="3"/>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加快推进畜禽养殖废弃物资源利用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3</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畜禽粪污资源化利用主要方式。</w:t>
            </w:r>
          </w:p>
          <w:p>
            <w:pPr>
              <w:adjustRightInd w:val="0"/>
              <w:snapToGrid w:val="0"/>
              <w:spacing w:line="280" w:lineRule="exact"/>
              <w:ind w:firstLine="0" w:firstLineChars="0"/>
              <w:jc w:val="center"/>
              <w:rPr>
                <w:bCs/>
                <w:color w:val="auto"/>
                <w:sz w:val="20"/>
                <w:szCs w:val="20"/>
              </w:rPr>
            </w:pPr>
            <w:r>
              <w:rPr>
                <w:bCs/>
                <w:color w:val="auto"/>
                <w:sz w:val="20"/>
                <w:szCs w:val="20"/>
              </w:rPr>
              <w:t>畜禽粪污资源化利用的主要方式是肥料化和能源化。推进畜禽养殖沼气工程建设，不断提高养殖场（小区）沼气工程配套率。积极推进规模化大型沼气工程建设，综合考虑沼气工程渣液产量和种植业基地消纳能力，做到生产消纳平衡，渣液高效利用。</w:t>
            </w:r>
          </w:p>
        </w:tc>
        <w:tc>
          <w:tcPr>
            <w:tcW w:w="2521" w:type="dxa"/>
            <w:noWrap w:val="0"/>
            <w:vAlign w:val="center"/>
          </w:tcPr>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lang w:val="en-US" w:eastAsia="zh-CN"/>
              </w:rPr>
              <w:t>养</w:t>
            </w:r>
            <w:r>
              <w:rPr>
                <w:rFonts w:hint="eastAsia"/>
                <w:bCs/>
                <w:color w:val="auto"/>
                <w:sz w:val="20"/>
                <w:szCs w:val="20"/>
              </w:rPr>
              <w:t>猪场猪粪、沼渣经干湿分离后交由堆肥厂堆肥利用，粪便水在黑膜沼气池经过厌氧发酵后，非施肥季节沼液储存在</w:t>
            </w:r>
            <w:r>
              <w:rPr>
                <w:rFonts w:hint="eastAsia"/>
                <w:bCs/>
                <w:color w:val="auto"/>
                <w:sz w:val="20"/>
                <w:szCs w:val="20"/>
                <w:lang w:eastAsia="zh-CN"/>
              </w:rPr>
              <w:t>沼液暂存池</w:t>
            </w:r>
            <w:r>
              <w:rPr>
                <w:rFonts w:hint="eastAsia"/>
                <w:bCs/>
                <w:color w:val="auto"/>
                <w:sz w:val="20"/>
                <w:szCs w:val="20"/>
              </w:rPr>
              <w:t>，在施肥季节用于农田施肥，实现粪污全量资源化利用。周边有足够的农田用于沼液消纳。</w:t>
            </w:r>
          </w:p>
        </w:tc>
        <w:tc>
          <w:tcPr>
            <w:tcW w:w="823" w:type="dxa"/>
            <w:noWrap w:val="0"/>
            <w:vAlign w:val="center"/>
          </w:tcPr>
          <w:p>
            <w:pPr>
              <w:adjustRightInd w:val="0"/>
              <w:snapToGrid w:val="0"/>
              <w:spacing w:line="280" w:lineRule="exact"/>
              <w:ind w:firstLine="0" w:firstLineChars="0"/>
              <w:jc w:val="center"/>
              <w:rPr>
                <w:rFonts w:hint="eastAsia"/>
                <w:bCs/>
                <w:color w:val="auto"/>
                <w:sz w:val="20"/>
                <w:szCs w:val="20"/>
                <w:highlight w:val="yellow"/>
              </w:rPr>
            </w:pPr>
            <w:r>
              <w:rPr>
                <w:rFonts w:hint="eastAsia"/>
                <w:bCs/>
                <w:color w:val="auto"/>
                <w:sz w:val="20"/>
                <w:szCs w:val="20"/>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Before w:w="0" w:type="dxa"/>
          <w:trHeight w:val="340" w:hRule="atLeast"/>
          <w:jc w:val="center"/>
        </w:trPr>
        <w:tc>
          <w:tcPr>
            <w:tcW w:w="816"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5</w:t>
            </w:r>
          </w:p>
        </w:tc>
        <w:tc>
          <w:tcPr>
            <w:tcW w:w="4843" w:type="dxa"/>
            <w:noWrap w:val="0"/>
            <w:vAlign w:val="center"/>
          </w:tcPr>
          <w:p>
            <w:pPr>
              <w:adjustRightInd w:val="0"/>
              <w:snapToGrid w:val="0"/>
              <w:spacing w:line="280" w:lineRule="exact"/>
              <w:ind w:firstLine="0" w:firstLineChars="0"/>
              <w:jc w:val="center"/>
              <w:rPr>
                <w:bCs/>
                <w:color w:val="auto"/>
                <w:sz w:val="20"/>
                <w:szCs w:val="20"/>
              </w:rPr>
            </w:pPr>
            <w:r>
              <w:rPr>
                <w:bCs/>
                <w:color w:val="auto"/>
                <w:sz w:val="20"/>
                <w:szCs w:val="20"/>
              </w:rPr>
              <w:t>规范畜禽粪污资源化利用</w:t>
            </w:r>
          </w:p>
          <w:p>
            <w:pPr>
              <w:adjustRightInd w:val="0"/>
              <w:snapToGrid w:val="0"/>
              <w:spacing w:line="280" w:lineRule="exact"/>
              <w:ind w:firstLine="0" w:firstLineChars="0"/>
              <w:jc w:val="center"/>
              <w:rPr>
                <w:bCs/>
                <w:color w:val="auto"/>
                <w:sz w:val="20"/>
                <w:szCs w:val="20"/>
              </w:rPr>
            </w:pPr>
            <w:r>
              <w:rPr>
                <w:bCs/>
                <w:color w:val="auto"/>
                <w:sz w:val="20"/>
                <w:szCs w:val="20"/>
              </w:rPr>
              <w:t>畜禽规模养殖场粪污资源化利用应坚持农牧结合、种养平衡，按照资源化、减量化、无害化的原则，对源头减量、过程控制和末端利用各环节进行全程管理，提高粪污综合利用率和设施装备配套率。应根据养殖污染防治要求，建设与养殖规模相配套的粪污资源化利用设施设备，并确保正常运行。</w:t>
            </w:r>
          </w:p>
          <w:p>
            <w:pPr>
              <w:adjustRightInd w:val="0"/>
              <w:snapToGrid w:val="0"/>
              <w:spacing w:line="280" w:lineRule="exact"/>
              <w:ind w:firstLine="0" w:firstLineChars="0"/>
              <w:jc w:val="center"/>
              <w:rPr>
                <w:bCs/>
                <w:color w:val="auto"/>
                <w:sz w:val="20"/>
                <w:szCs w:val="20"/>
              </w:rPr>
            </w:pPr>
            <w:r>
              <w:rPr>
                <w:bCs/>
                <w:color w:val="auto"/>
                <w:sz w:val="20"/>
                <w:szCs w:val="20"/>
              </w:rPr>
              <w:t>各养殖单位应参照《四川省畜禽养殖污染防治指南（试行）》的要求，进一步规范畜禽粪资源化利用，避免因综合利用操作不当，而造成对环境的污染。</w:t>
            </w:r>
          </w:p>
        </w:tc>
        <w:tc>
          <w:tcPr>
            <w:tcW w:w="2521" w:type="dxa"/>
            <w:noWrap w:val="0"/>
            <w:vAlign w:val="center"/>
          </w:tcPr>
          <w:p>
            <w:pPr>
              <w:adjustRightInd w:val="0"/>
              <w:snapToGrid w:val="0"/>
              <w:spacing w:line="280" w:lineRule="exact"/>
              <w:ind w:firstLine="0" w:firstLineChars="0"/>
              <w:jc w:val="center"/>
              <w:rPr>
                <w:bCs/>
                <w:color w:val="auto"/>
                <w:sz w:val="20"/>
                <w:szCs w:val="20"/>
                <w:highlight w:val="yellow"/>
              </w:rPr>
            </w:pPr>
            <w:r>
              <w:rPr>
                <w:rFonts w:hint="eastAsia"/>
                <w:bCs/>
                <w:color w:val="auto"/>
                <w:sz w:val="20"/>
                <w:szCs w:val="20"/>
                <w:lang w:val="en-US" w:eastAsia="zh-CN"/>
              </w:rPr>
              <w:t>养</w:t>
            </w:r>
            <w:r>
              <w:rPr>
                <w:rFonts w:hint="eastAsia"/>
                <w:bCs/>
                <w:color w:val="auto"/>
                <w:sz w:val="20"/>
                <w:szCs w:val="20"/>
              </w:rPr>
              <w:t>猪场猪粪、沼渣经干湿分离后，干物质交由堆肥厂堆肥利用；粪便水在黑膜沼气池经过厌氧发酵后，沼液输送至</w:t>
            </w:r>
            <w:r>
              <w:rPr>
                <w:rFonts w:hint="eastAsia"/>
                <w:bCs/>
                <w:color w:val="auto"/>
                <w:sz w:val="20"/>
                <w:szCs w:val="20"/>
                <w:lang w:eastAsia="zh-CN"/>
              </w:rPr>
              <w:t>沼液暂存池</w:t>
            </w:r>
            <w:r>
              <w:rPr>
                <w:rFonts w:hint="eastAsia"/>
                <w:bCs/>
                <w:color w:val="auto"/>
                <w:sz w:val="20"/>
                <w:szCs w:val="20"/>
              </w:rPr>
              <w:t>，非施肥季节沼液储存在</w:t>
            </w:r>
            <w:r>
              <w:rPr>
                <w:rFonts w:hint="eastAsia"/>
                <w:bCs/>
                <w:color w:val="auto"/>
                <w:sz w:val="20"/>
                <w:szCs w:val="20"/>
                <w:lang w:eastAsia="zh-CN"/>
              </w:rPr>
              <w:t>沼液暂存池</w:t>
            </w:r>
            <w:r>
              <w:rPr>
                <w:rFonts w:hint="eastAsia"/>
                <w:bCs/>
                <w:color w:val="auto"/>
                <w:sz w:val="20"/>
                <w:szCs w:val="20"/>
              </w:rPr>
              <w:t>，在农田施肥季节用于农田施肥，实现粪污全量资源化利用。</w:t>
            </w:r>
          </w:p>
        </w:tc>
        <w:tc>
          <w:tcPr>
            <w:tcW w:w="823" w:type="dxa"/>
            <w:noWrap w:val="0"/>
            <w:vAlign w:val="center"/>
          </w:tcPr>
          <w:p>
            <w:pPr>
              <w:adjustRightInd w:val="0"/>
              <w:snapToGrid w:val="0"/>
              <w:spacing w:line="280" w:lineRule="exact"/>
              <w:ind w:firstLine="0" w:firstLineChars="0"/>
              <w:jc w:val="center"/>
              <w:rPr>
                <w:bCs/>
                <w:color w:val="auto"/>
                <w:sz w:val="20"/>
                <w:szCs w:val="20"/>
                <w:highlight w:val="yellow"/>
              </w:rPr>
            </w:pPr>
            <w:r>
              <w:rPr>
                <w:bCs/>
                <w:color w:val="auto"/>
                <w:sz w:val="20"/>
                <w:szCs w:val="20"/>
              </w:rPr>
              <w:t>符合</w:t>
            </w:r>
          </w:p>
        </w:tc>
      </w:tr>
    </w:tbl>
    <w:p>
      <w:pPr>
        <w:spacing w:before="120" w:beforeLines="50"/>
        <w:ind w:firstLine="480"/>
        <w:rPr>
          <w:color w:val="auto"/>
        </w:rPr>
      </w:pPr>
      <w:r>
        <w:rPr>
          <w:color w:val="auto"/>
        </w:rPr>
        <w:t>通过上述分析，项目符合四川省及绵阳市畜牧养殖相关要求。</w:t>
      </w:r>
    </w:p>
    <w:p>
      <w:pPr>
        <w:ind w:firstLine="482"/>
        <w:rPr>
          <w:b/>
          <w:bCs/>
          <w:color w:val="auto"/>
        </w:rPr>
      </w:pPr>
      <w:r>
        <w:rPr>
          <w:b/>
          <w:bCs/>
          <w:color w:val="auto"/>
        </w:rPr>
        <w:t>4、与土地利用政策符合性分析</w:t>
      </w:r>
    </w:p>
    <w:p>
      <w:pPr>
        <w:spacing w:line="360" w:lineRule="auto"/>
        <w:ind w:firstLine="470" w:firstLineChars="196"/>
        <w:rPr>
          <w:color w:val="auto"/>
        </w:rPr>
      </w:pPr>
      <w:r>
        <w:rPr>
          <w:color w:val="auto"/>
        </w:rPr>
        <w:t>本项目不属于国土资源部、国家发展和改革委员会发布的《限制用地项目目录（2012年本）》和《禁止用地项目目录（2012年本）》之列。</w:t>
      </w:r>
      <w:r>
        <w:rPr>
          <w:rFonts w:hint="eastAsia" w:ascii="宋体" w:hAnsi="宋体"/>
          <w:color w:val="auto"/>
          <w:sz w:val="24"/>
          <w:szCs w:val="24"/>
          <w:u w:val="none"/>
          <w:lang w:eastAsia="zh-CN"/>
        </w:rPr>
        <w:t>根据《绵阳市游仙区自然资源局土地利用规划截图</w:t>
      </w:r>
      <w:r>
        <w:rPr>
          <w:rFonts w:hint="default" w:ascii="Times New Roman" w:hAnsi="Times New Roman" w:cs="Times New Roman"/>
          <w:color w:val="auto"/>
          <w:sz w:val="24"/>
          <w:u w:val="none"/>
          <w:lang w:val="en-US" w:eastAsia="zh-CN"/>
        </w:rPr>
        <w:t>》，</w:t>
      </w:r>
      <w:r>
        <w:rPr>
          <w:rFonts w:hint="eastAsia" w:ascii="Times New Roman" w:hAnsi="Times New Roman" w:cs="Times New Roman"/>
          <w:color w:val="auto"/>
          <w:sz w:val="24"/>
          <w:u w:val="none"/>
          <w:lang w:val="en-US" w:eastAsia="zh-CN"/>
        </w:rPr>
        <w:t>项目位于</w:t>
      </w:r>
      <w:r>
        <w:rPr>
          <w:rFonts w:hint="default" w:ascii="Times New Roman" w:hAnsi="Times New Roman" w:cs="Times New Roman"/>
          <w:color w:val="auto"/>
          <w:sz w:val="24"/>
          <w:u w:val="none"/>
          <w:lang w:val="en-US" w:eastAsia="zh-CN"/>
        </w:rPr>
        <w:t>农村环境，使用盐泉镇通远村（原葫芦村4社） 集体土地</w:t>
      </w:r>
      <w:r>
        <w:rPr>
          <w:rFonts w:hint="eastAsia" w:ascii="Times New Roman" w:hAnsi="Times New Roman" w:cs="Times New Roman"/>
          <w:color w:val="auto"/>
          <w:sz w:val="24"/>
          <w:u w:val="none"/>
          <w:lang w:val="en-US" w:eastAsia="zh-CN"/>
        </w:rPr>
        <w:t>，土地现状为一般耕地和部分园地，规划</w:t>
      </w:r>
      <w:r>
        <w:rPr>
          <w:rFonts w:hint="default" w:ascii="Times New Roman" w:hAnsi="Times New Roman" w:cs="Times New Roman"/>
          <w:color w:val="auto"/>
          <w:sz w:val="24"/>
          <w:u w:val="none"/>
          <w:lang w:val="en-US" w:eastAsia="zh-CN"/>
        </w:rPr>
        <w:t>为建设用地</w:t>
      </w:r>
      <w:r>
        <w:rPr>
          <w:rFonts w:hint="eastAsia" w:ascii="Times New Roman" w:hAnsi="Times New Roman" w:cs="Times New Roman"/>
          <w:color w:val="auto"/>
          <w:sz w:val="24"/>
          <w:u w:val="none"/>
          <w:lang w:val="en-US" w:eastAsia="zh-CN"/>
        </w:rPr>
        <w:t>和农用地</w:t>
      </w:r>
      <w:r>
        <w:rPr>
          <w:rFonts w:hint="default" w:ascii="Times New Roman" w:hAnsi="Times New Roman" w:cs="Times New Roman"/>
          <w:color w:val="auto"/>
          <w:sz w:val="24"/>
          <w:u w:val="none"/>
          <w:lang w:val="en-US" w:eastAsia="zh-CN"/>
        </w:rPr>
        <w:t>。项目不占用基本农田</w:t>
      </w:r>
      <w:r>
        <w:rPr>
          <w:rFonts w:hint="eastAsia" w:ascii="Times New Roman" w:hAnsi="Times New Roman" w:cs="Times New Roman"/>
          <w:color w:val="auto"/>
          <w:sz w:val="24"/>
          <w:u w:val="none"/>
          <w:lang w:val="en-US" w:eastAsia="zh-CN"/>
        </w:rPr>
        <w:t>。</w:t>
      </w:r>
      <w:r>
        <w:rPr>
          <w:rFonts w:hint="default" w:ascii="Times New Roman" w:hAnsi="Times New Roman" w:cs="Times New Roman"/>
          <w:color w:val="auto"/>
          <w:sz w:val="24"/>
          <w:szCs w:val="24"/>
          <w:u w:val="none"/>
          <w:lang w:eastAsia="zh-CN"/>
        </w:rPr>
        <w:t>建设单位从绵阳市游仙区盐泉镇人民政府</w:t>
      </w:r>
      <w:r>
        <w:rPr>
          <w:rFonts w:hint="eastAsia" w:ascii="Times New Roman" w:hAnsi="Times New Roman" w:cs="Times New Roman"/>
          <w:color w:val="auto"/>
          <w:sz w:val="24"/>
          <w:szCs w:val="24"/>
          <w:u w:val="none"/>
          <w:lang w:eastAsia="zh-CN"/>
        </w:rPr>
        <w:t>（绵游盐府发〔2020〕54号）</w:t>
      </w:r>
      <w:r>
        <w:rPr>
          <w:rFonts w:hint="default" w:ascii="Times New Roman" w:hAnsi="Times New Roman" w:cs="Times New Roman"/>
          <w:color w:val="auto"/>
          <w:sz w:val="24"/>
          <w:szCs w:val="24"/>
          <w:u w:val="none"/>
          <w:lang w:eastAsia="zh-CN"/>
        </w:rPr>
        <w:t>取得了</w:t>
      </w:r>
      <w:r>
        <w:rPr>
          <w:rFonts w:hint="eastAsia" w:ascii="Times New Roman" w:hAnsi="Times New Roman" w:cs="Times New Roman"/>
          <w:color w:val="auto"/>
          <w:sz w:val="24"/>
          <w:szCs w:val="24"/>
          <w:u w:val="none"/>
          <w:lang w:eastAsia="zh-CN"/>
        </w:rPr>
        <w:t>关于建设项目土地占用的批复</w:t>
      </w:r>
      <w:r>
        <w:rPr>
          <w:rFonts w:hint="default" w:ascii="Times New Roman" w:hAnsi="Times New Roman" w:cs="Times New Roman"/>
          <w:color w:val="auto"/>
          <w:sz w:val="24"/>
          <w:szCs w:val="24"/>
          <w:u w:val="none"/>
          <w:lang w:eastAsia="zh-CN"/>
        </w:rPr>
        <w:t>。</w:t>
      </w:r>
    </w:p>
    <w:p>
      <w:pPr>
        <w:ind w:firstLine="480"/>
        <w:rPr>
          <w:color w:val="auto"/>
        </w:rPr>
      </w:pPr>
      <w:r>
        <w:rPr>
          <w:color w:val="auto"/>
        </w:rPr>
        <w:t>因此，本项目符合国家现行土地利用政策要求。</w:t>
      </w:r>
    </w:p>
    <w:p>
      <w:pPr>
        <w:pStyle w:val="8"/>
        <w:tabs>
          <w:tab w:val="clear" w:pos="0"/>
        </w:tabs>
        <w:rPr>
          <w:rFonts w:eastAsia="黑体"/>
          <w:color w:val="auto"/>
          <w:sz w:val="28"/>
          <w:szCs w:val="28"/>
        </w:rPr>
      </w:pPr>
      <w:r>
        <w:rPr>
          <w:rFonts w:eastAsia="黑体"/>
          <w:color w:val="auto"/>
          <w:sz w:val="28"/>
          <w:szCs w:val="28"/>
        </w:rPr>
        <w:t>与“三线一单”控制要求的相符性分析</w:t>
      </w:r>
    </w:p>
    <w:p>
      <w:pPr>
        <w:pStyle w:val="253"/>
        <w:ind w:firstLine="480"/>
        <w:contextualSpacing/>
        <w:jc w:val="left"/>
        <w:rPr>
          <w:bCs/>
          <w:color w:val="auto"/>
          <w:szCs w:val="24"/>
        </w:rPr>
      </w:pPr>
      <w:r>
        <w:rPr>
          <w:bCs/>
          <w:color w:val="auto"/>
          <w:szCs w:val="24"/>
        </w:rPr>
        <w:t>（1）生态保护红线</w:t>
      </w:r>
    </w:p>
    <w:p>
      <w:pPr>
        <w:pStyle w:val="253"/>
        <w:ind w:firstLine="480"/>
        <w:contextualSpacing/>
        <w:jc w:val="left"/>
        <w:rPr>
          <w:bCs/>
          <w:color w:val="auto"/>
        </w:rPr>
      </w:pPr>
      <w:r>
        <w:rPr>
          <w:bCs/>
          <w:color w:val="auto"/>
        </w:rPr>
        <w:t>2018年7月20日四川省人民政府印发了《四川省生态保护红线方案》（川府发〔2018〕24号），四川省生态保护红线总面积14.80万平方公里，占全省幅员面积的30.45%，涵盖了水源涵养、生物多样性维护、水土保持功能极重要区，水土流失、土地沙化、石漠化极敏感区，自然保护区、森林公园的生态保育区和核心景观区，风景名胜区的一级保护区(核心景区)、地质公园的地质遗迹保护区、世界自然遗产地的核心区、湿地公园的湿地保育区和恢复重建区、饮用水水源保护区的一级保护区、水产种质资源保护区的核心区等法定保护区域，以及极小种群物种分布栖息地、国家一级公益林、重要湿地、雪山冰川、高原冻土、重要水生生境、特大和大型地质灾害隐患点等各类保护地。</w:t>
      </w:r>
    </w:p>
    <w:p>
      <w:pPr>
        <w:pStyle w:val="253"/>
        <w:ind w:firstLine="480"/>
        <w:contextualSpacing/>
        <w:jc w:val="left"/>
        <w:rPr>
          <w:bCs/>
          <w:color w:val="auto"/>
        </w:rPr>
      </w:pPr>
      <w:r>
        <w:rPr>
          <w:bCs/>
          <w:color w:val="auto"/>
        </w:rPr>
        <w:t>四川省生态保护红线主要分布于川西高山高原、川西南山地和盆周山地。根据方案及四川省生态红线分布图，绵阳市涉及的生态红线区主要有岷山生物多样性保护—水源涵养红线区以及盆中城市饮用水源-土壤保持红线区。绵阳市生态保护红线主要集中在安州区、北川羌族自治县、平武县、江油市。</w:t>
      </w:r>
    </w:p>
    <w:p>
      <w:pPr>
        <w:pStyle w:val="253"/>
        <w:ind w:firstLine="480"/>
        <w:contextualSpacing/>
        <w:jc w:val="left"/>
        <w:rPr>
          <w:bCs/>
          <w:color w:val="auto"/>
        </w:rPr>
      </w:pPr>
      <w:r>
        <w:rPr>
          <w:bCs/>
          <w:color w:val="auto"/>
        </w:rPr>
        <w:t>本项目位于</w:t>
      </w:r>
      <w:r>
        <w:rPr>
          <w:rFonts w:hint="eastAsia"/>
          <w:bCs/>
          <w:color w:val="auto"/>
        </w:rPr>
        <w:t>四川省</w:t>
      </w:r>
      <w:r>
        <w:rPr>
          <w:rFonts w:hint="eastAsia"/>
          <w:bCs/>
          <w:color w:val="auto"/>
          <w:lang w:eastAsia="zh-CN"/>
        </w:rPr>
        <w:t>绵阳市游仙区盐泉镇通远村（原葫芦村4社）</w:t>
      </w:r>
      <w:r>
        <w:rPr>
          <w:rFonts w:hint="eastAsia"/>
          <w:bCs/>
          <w:color w:val="auto"/>
        </w:rPr>
        <w:t>山上</w:t>
      </w:r>
      <w:r>
        <w:rPr>
          <w:bCs/>
          <w:color w:val="auto"/>
        </w:rPr>
        <w:t>，</w:t>
      </w:r>
      <w:r>
        <w:rPr>
          <w:rFonts w:hint="eastAsia" w:ascii="Times New Roman" w:hAnsi="Times New Roman" w:cs="Times New Roman"/>
          <w:color w:val="auto"/>
          <w:sz w:val="24"/>
          <w:u w:val="none"/>
          <w:lang w:val="en-US" w:eastAsia="zh-CN"/>
        </w:rPr>
        <w:t>土地现状为一般耕地和部分园地，规划</w:t>
      </w:r>
      <w:r>
        <w:rPr>
          <w:rFonts w:hint="default" w:ascii="Times New Roman" w:hAnsi="Times New Roman" w:cs="Times New Roman"/>
          <w:color w:val="auto"/>
          <w:sz w:val="24"/>
          <w:u w:val="none"/>
          <w:lang w:val="en-US" w:eastAsia="zh-CN"/>
        </w:rPr>
        <w:t>为建设用地</w:t>
      </w:r>
      <w:r>
        <w:rPr>
          <w:rFonts w:hint="eastAsia" w:ascii="Times New Roman" w:hAnsi="Times New Roman" w:cs="Times New Roman"/>
          <w:color w:val="auto"/>
          <w:sz w:val="24"/>
          <w:u w:val="none"/>
          <w:lang w:val="en-US" w:eastAsia="zh-CN"/>
        </w:rPr>
        <w:t>和农用地</w:t>
      </w:r>
      <w:r>
        <w:rPr>
          <w:rFonts w:hint="default" w:ascii="Times New Roman" w:hAnsi="Times New Roman" w:cs="Times New Roman"/>
          <w:color w:val="auto"/>
          <w:sz w:val="24"/>
          <w:u w:val="none"/>
          <w:lang w:val="en-US" w:eastAsia="zh-CN"/>
        </w:rPr>
        <w:t>。</w:t>
      </w:r>
      <w:r>
        <w:rPr>
          <w:bCs/>
          <w:color w:val="auto"/>
        </w:rPr>
        <w:t>不属于生态保护红线的管控范围。</w:t>
      </w:r>
    </w:p>
    <w:p>
      <w:pPr>
        <w:adjustRightInd w:val="0"/>
        <w:snapToGrid w:val="0"/>
        <w:ind w:firstLine="0" w:firstLineChars="0"/>
        <w:jc w:val="center"/>
        <w:rPr>
          <w:color w:val="auto"/>
        </w:rPr>
      </w:pPr>
      <w:r>
        <w:rPr>
          <w:color w:val="auto"/>
          <w:lang/>
        </w:rPr>
        <mc:AlternateContent>
          <mc:Choice Requires="wps">
            <w:drawing>
              <wp:anchor distT="0" distB="0" distL="114300" distR="114300" simplePos="0" relativeHeight="251663360" behindDoc="0" locked="0" layoutInCell="1" allowOverlap="1">
                <wp:simplePos x="0" y="0"/>
                <wp:positionH relativeFrom="column">
                  <wp:posOffset>3834765</wp:posOffset>
                </wp:positionH>
                <wp:positionV relativeFrom="paragraph">
                  <wp:posOffset>1039495</wp:posOffset>
                </wp:positionV>
                <wp:extent cx="1127125" cy="252095"/>
                <wp:effectExtent l="241935" t="4445" r="21590" b="10160"/>
                <wp:wrapNone/>
                <wp:docPr id="7" name="矩形标注 15"/>
                <wp:cNvGraphicFramePr/>
                <a:graphic xmlns:a="http://schemas.openxmlformats.org/drawingml/2006/main">
                  <a:graphicData uri="http://schemas.microsoft.com/office/word/2010/wordprocessingShape">
                    <wps:wsp>
                      <wps:cNvSpPr/>
                      <wps:spPr>
                        <a:xfrm>
                          <a:off x="0" y="0"/>
                          <a:ext cx="1127125" cy="252095"/>
                        </a:xfrm>
                        <a:prstGeom prst="wedgeRectCallout">
                          <a:avLst>
                            <a:gd name="adj1" fmla="val -68588"/>
                            <a:gd name="adj2" fmla="val -30125"/>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本项目所在位置</w:t>
                            </w:r>
                          </w:p>
                        </w:txbxContent>
                      </wps:txbx>
                      <wps:bodyPr wrap="square" upright="1"/>
                    </wps:wsp>
                  </a:graphicData>
                </a:graphic>
              </wp:anchor>
            </w:drawing>
          </mc:Choice>
          <mc:Fallback>
            <w:pict>
              <v:shape id="矩形标注 15" o:spid="_x0000_s1026" o:spt="61" type="#_x0000_t61" style="position:absolute;left:0pt;margin-left:301.95pt;margin-top:81.85pt;height:19.85pt;width:88.75pt;z-index:251663360;mso-width-relative:page;mso-height-relative:page;" fillcolor="#FFFFFF" filled="t" stroked="t" coordsize="21600,21600" o:gfxdata="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NbsYu9sAAAALAQAADwAAAAAAAAABACAAAAAi&#10;AAAAZHJzL2Rvd25yZXYueG1sUEsBAhQAFAAAAAgAh07iQF25hdpAAgAAnQQAAA4AAAAAAAAAAQAg&#10;AAAAKgEAAGRycy9lMm9Eb2MueG1sUEsFBgAAAAAGAAYAWQEAANwFAAAAAA==&#10;" adj="-4015,4293">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本项目所在位置</w:t>
                      </w:r>
                    </w:p>
                  </w:txbxContent>
                </v:textbox>
              </v:shape>
            </w:pict>
          </mc:Fallback>
        </mc:AlternateContent>
      </w:r>
      <w:r>
        <w:rPr>
          <w:color w:val="auto"/>
          <w:lang/>
        </w:rPr>
        <w:drawing>
          <wp:inline distT="0" distB="0" distL="114300" distR="114300">
            <wp:extent cx="5340350" cy="3227070"/>
            <wp:effectExtent l="0" t="0" r="12700" b="1143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9"/>
                    <a:stretch>
                      <a:fillRect/>
                    </a:stretch>
                  </pic:blipFill>
                  <pic:spPr>
                    <a:xfrm>
                      <a:off x="0" y="0"/>
                      <a:ext cx="5340350" cy="3227070"/>
                    </a:xfrm>
                    <a:prstGeom prst="rect">
                      <a:avLst/>
                    </a:prstGeom>
                    <a:noFill/>
                    <a:ln>
                      <a:noFill/>
                    </a:ln>
                  </pic:spPr>
                </pic:pic>
              </a:graphicData>
            </a:graphic>
          </wp:inline>
        </w:drawing>
      </w:r>
    </w:p>
    <w:p>
      <w:pPr>
        <w:adjustRightInd w:val="0"/>
        <w:snapToGrid w:val="0"/>
        <w:ind w:firstLine="0" w:firstLineChars="0"/>
        <w:jc w:val="center"/>
        <w:rPr>
          <w:b/>
          <w:bCs/>
          <w:color w:val="auto"/>
          <w:sz w:val="21"/>
          <w:szCs w:val="21"/>
        </w:rPr>
      </w:pPr>
      <w:r>
        <w:rPr>
          <w:b/>
          <w:bCs/>
          <w:color w:val="auto"/>
          <w:sz w:val="21"/>
          <w:szCs w:val="21"/>
        </w:rPr>
        <w:t>图2.</w:t>
      </w:r>
      <w:r>
        <w:rPr>
          <w:rFonts w:hint="eastAsia"/>
          <w:b/>
          <w:bCs/>
          <w:color w:val="auto"/>
          <w:sz w:val="21"/>
          <w:szCs w:val="21"/>
          <w:lang w:val="en-US" w:eastAsia="zh-CN"/>
        </w:rPr>
        <w:t>8</w:t>
      </w:r>
      <w:r>
        <w:rPr>
          <w:b/>
          <w:bCs/>
          <w:color w:val="auto"/>
          <w:sz w:val="21"/>
          <w:szCs w:val="21"/>
        </w:rPr>
        <w:t>-1</w:t>
      </w:r>
      <w:r>
        <w:rPr>
          <w:rFonts w:hint="eastAsia"/>
          <w:b/>
          <w:bCs/>
          <w:color w:val="auto"/>
          <w:sz w:val="21"/>
          <w:szCs w:val="21"/>
          <w:lang w:val="en-US" w:eastAsia="zh-CN"/>
        </w:rPr>
        <w:t xml:space="preserve"> </w:t>
      </w:r>
      <w:r>
        <w:rPr>
          <w:b/>
          <w:bCs/>
          <w:color w:val="auto"/>
          <w:sz w:val="21"/>
          <w:szCs w:val="21"/>
        </w:rPr>
        <w:t>四川省生态红线分布图</w:t>
      </w:r>
    </w:p>
    <w:p>
      <w:pPr>
        <w:pStyle w:val="253"/>
        <w:ind w:firstLine="480"/>
        <w:contextualSpacing/>
        <w:jc w:val="left"/>
        <w:rPr>
          <w:bCs/>
          <w:color w:val="auto"/>
        </w:rPr>
      </w:pPr>
      <w:r>
        <w:rPr>
          <w:bCs/>
          <w:color w:val="auto"/>
        </w:rPr>
        <w:t>（2）环境质量底线</w:t>
      </w:r>
    </w:p>
    <w:p>
      <w:pPr>
        <w:ind w:firstLine="480"/>
        <w:rPr>
          <w:color w:val="auto"/>
        </w:rPr>
      </w:pPr>
      <w:r>
        <w:rPr>
          <w:rFonts w:hint="eastAsia"/>
          <w:color w:val="auto"/>
        </w:rPr>
        <w:t>环境质量底线是国家和地方设置的大气、水和土壤环境质量目标，也是改善环境质量的基准线。根据《20</w:t>
      </w:r>
      <w:r>
        <w:rPr>
          <w:rFonts w:hint="eastAsia"/>
          <w:color w:val="auto"/>
          <w:lang w:val="en-US" w:eastAsia="zh-CN"/>
        </w:rPr>
        <w:t>20</w:t>
      </w:r>
      <w:r>
        <w:rPr>
          <w:rFonts w:hint="eastAsia"/>
          <w:color w:val="auto"/>
        </w:rPr>
        <w:t>年绵阳市环境质量状况</w:t>
      </w:r>
      <w:r>
        <w:rPr>
          <w:rFonts w:hint="eastAsia"/>
          <w:color w:val="auto"/>
          <w:lang w:val="en-US" w:eastAsia="zh-CN"/>
        </w:rPr>
        <w:t>年报</w:t>
      </w:r>
      <w:r>
        <w:rPr>
          <w:rFonts w:hint="eastAsia"/>
          <w:color w:val="auto"/>
        </w:rPr>
        <w:t>》，项目所在区域目前为达标区，地表水环境质量满足《地表水环境质量标准》（GB3838-2002）中Ⅲ类水域标准要求；同时，根据现状检测，本项目所在地氨、硫化氢满足《环境影响评价技术导则 大气环境》（HJ2.2-2018）中“附录D.1其他污染物空气质量浓度参考限值”、声环境质量满足《声环境质量标准》（GB3096-2008）中的</w:t>
      </w:r>
      <w:r>
        <w:rPr>
          <w:color w:val="auto"/>
        </w:rPr>
        <w:t>2</w:t>
      </w:r>
      <w:r>
        <w:rPr>
          <w:rFonts w:hint="eastAsia"/>
          <w:color w:val="auto"/>
        </w:rPr>
        <w:t>类标准要求、地下水监测因子满足《地下水质量标准》（GB/T14848 2017）Ⅲ类标准要求；土壤环境监测因子满足《土壤环境质量标准 农用地土壤污染风险管控标准（试行）》（GB 15618-2018）中的表1农用地土壤污染风险筛选值标准。因此项目所在区域环境质量良好，未超出环境质量底线。</w:t>
      </w:r>
    </w:p>
    <w:p>
      <w:pPr>
        <w:pStyle w:val="253"/>
        <w:ind w:firstLine="480"/>
        <w:contextualSpacing/>
        <w:jc w:val="left"/>
        <w:rPr>
          <w:bCs/>
          <w:color w:val="auto"/>
        </w:rPr>
      </w:pPr>
      <w:r>
        <w:rPr>
          <w:bCs/>
          <w:color w:val="auto"/>
        </w:rPr>
        <w:t>（3）资源利用上线</w:t>
      </w:r>
    </w:p>
    <w:p>
      <w:pPr>
        <w:ind w:firstLine="480"/>
        <w:rPr>
          <w:color w:val="auto"/>
        </w:rPr>
      </w:pPr>
      <w:r>
        <w:rPr>
          <w:rFonts w:hint="eastAsia"/>
          <w:color w:val="auto"/>
        </w:rPr>
        <w:t>资源利用上线是促进资源能源节约，保障能源、水、土地等资源高效利用，不应突破最高限值。</w:t>
      </w:r>
    </w:p>
    <w:p>
      <w:pPr>
        <w:ind w:firstLine="480"/>
        <w:rPr>
          <w:color w:val="auto"/>
        </w:rPr>
      </w:pPr>
      <w:r>
        <w:rPr>
          <w:rFonts w:hint="eastAsia"/>
          <w:color w:val="auto"/>
        </w:rPr>
        <w:t>本项目新增用地不占用基本农田且符合当地用地规划，不涉及土地资源利用上线；本项目在养殖过程中所用的资源主要为水资源，项目区域地下水资源丰富，且在养殖过程中采用全自动饮水器，合理利用水资源；主要利用的能源是电、沼气，电由国家电网集中供应、沼气由本项目黑膜沼气池供应。同时本项目采用了成熟的工艺、设备和污染物处理措施，使自然资源得到有效保护。因此，项目对当地的资源需求量在</w:t>
      </w:r>
      <w:r>
        <w:rPr>
          <w:rFonts w:hint="eastAsia"/>
          <w:bCs/>
          <w:color w:val="auto"/>
          <w:lang w:eastAsia="zh-CN"/>
        </w:rPr>
        <w:t>盐泉镇</w:t>
      </w:r>
      <w:r>
        <w:rPr>
          <w:rFonts w:hint="eastAsia"/>
          <w:color w:val="auto"/>
        </w:rPr>
        <w:t>供应能力范围内，不会突破区域资源上线。</w:t>
      </w:r>
    </w:p>
    <w:p>
      <w:pPr>
        <w:pStyle w:val="253"/>
        <w:ind w:firstLine="480"/>
        <w:contextualSpacing/>
        <w:jc w:val="left"/>
        <w:rPr>
          <w:bCs/>
          <w:color w:val="auto"/>
        </w:rPr>
      </w:pPr>
      <w:r>
        <w:rPr>
          <w:bCs/>
          <w:color w:val="auto"/>
        </w:rPr>
        <w:t>（4）环境准入负面清单</w:t>
      </w:r>
    </w:p>
    <w:p>
      <w:pPr>
        <w:ind w:firstLine="480"/>
        <w:rPr>
          <w:color w:val="auto"/>
        </w:rPr>
      </w:pPr>
      <w:r>
        <w:rPr>
          <w:rFonts w:hint="eastAsia"/>
          <w:color w:val="auto"/>
        </w:rPr>
        <w:t>环境准入负面清单是基于生态保护红线、环境质量底线和资源利用上线，以清单方式列出的禁止、限制等差别化环境准入条件和要求。查阅《四川省国家重点生态功能区产业准入负面清单（试行）》（第一批、第二批）和《四川省推动长江经济带发展领导小组办公室文件关于印发&lt;四川省长江经济带发展负面清单实施细则（试行）&gt;的通知》（川长江办[</w:t>
      </w:r>
      <w:r>
        <w:rPr>
          <w:color w:val="auto"/>
        </w:rPr>
        <w:t>2019]8</w:t>
      </w:r>
      <w:r>
        <w:rPr>
          <w:rFonts w:hint="eastAsia"/>
          <w:color w:val="auto"/>
        </w:rPr>
        <w:t>号），本项目不属于其中的限制类和禁止类，本项目所在地不属于国家重点生态功能区，不在上述负面清单内。</w:t>
      </w:r>
    </w:p>
    <w:p>
      <w:pPr>
        <w:ind w:firstLine="480"/>
        <w:rPr>
          <w:color w:val="auto"/>
        </w:rPr>
      </w:pPr>
      <w:r>
        <w:rPr>
          <w:rFonts w:hint="eastAsia"/>
          <w:bCs/>
          <w:color w:val="auto"/>
        </w:rPr>
        <w:t>综上所述，项目不在生态保护红线内、未超出环境质量底线及资源利用上线、未列入环境准入负面清单及《四川省长江经济带发展负面清单实施细则（试行）》负面清单内。本项目的建设与生态环境部发布的《关于以改善环境质量为核心加强环境影响评价管理的通知》中“三线一单”的要求相符。</w:t>
      </w:r>
    </w:p>
    <w:p>
      <w:pPr>
        <w:pStyle w:val="7"/>
        <w:rPr>
          <w:rFonts w:eastAsia="黑体"/>
          <w:color w:val="auto"/>
          <w:sz w:val="32"/>
        </w:rPr>
      </w:pPr>
      <w:bookmarkStart w:id="25" w:name="_Toc498610070"/>
      <w:bookmarkStart w:id="26" w:name="_Toc18142"/>
      <w:r>
        <w:rPr>
          <w:rFonts w:eastAsia="黑体"/>
          <w:color w:val="auto"/>
          <w:sz w:val="32"/>
        </w:rPr>
        <w:t>项目外环境关系及选址合理性分析</w:t>
      </w:r>
      <w:bookmarkEnd w:id="25"/>
      <w:bookmarkEnd w:id="26"/>
    </w:p>
    <w:p>
      <w:pPr>
        <w:pStyle w:val="8"/>
        <w:tabs>
          <w:tab w:val="clear" w:pos="0"/>
        </w:tabs>
        <w:rPr>
          <w:rFonts w:eastAsia="黑体"/>
          <w:color w:val="auto"/>
          <w:sz w:val="28"/>
          <w:szCs w:val="28"/>
        </w:rPr>
      </w:pPr>
      <w:r>
        <w:rPr>
          <w:rFonts w:eastAsia="黑体"/>
          <w:color w:val="auto"/>
          <w:sz w:val="28"/>
          <w:szCs w:val="28"/>
        </w:rPr>
        <w:t>项目外环境关系</w:t>
      </w:r>
    </w:p>
    <w:p>
      <w:pPr>
        <w:ind w:firstLine="480"/>
        <w:rPr>
          <w:rFonts w:hint="eastAsia"/>
          <w:b/>
          <w:bCs w:val="0"/>
          <w:color w:val="auto"/>
        </w:rPr>
      </w:pPr>
      <w:r>
        <w:rPr>
          <w:rFonts w:hint="eastAsia"/>
          <w:b/>
          <w:bCs w:val="0"/>
          <w:color w:val="auto"/>
        </w:rPr>
        <w:t>1、场址周边外环境简况</w:t>
      </w:r>
    </w:p>
    <w:p>
      <w:pPr>
        <w:keepNext w:val="0"/>
        <w:keepLines w:val="0"/>
        <w:pageBreakBefore w:val="0"/>
        <w:widowControl w:val="0"/>
        <w:kinsoku/>
        <w:wordWrap/>
        <w:overflowPunct/>
        <w:topLinePunct w:val="0"/>
        <w:autoSpaceDE/>
        <w:autoSpaceDN/>
        <w:bidi w:val="0"/>
        <w:adjustRightInd/>
        <w:snapToGrid/>
        <w:ind w:firstLine="480"/>
        <w:textAlignment w:val="auto"/>
        <w:rPr>
          <w:rFonts w:hint="eastAsia"/>
          <w:bCs/>
          <w:color w:val="auto"/>
          <w:lang w:val="en-US" w:eastAsia="zh-CN"/>
        </w:rPr>
      </w:pPr>
      <w:r>
        <w:rPr>
          <w:rFonts w:hint="eastAsia"/>
          <w:bCs/>
          <w:color w:val="auto"/>
        </w:rPr>
        <w:t>项目拟建地位于四川省</w:t>
      </w:r>
      <w:r>
        <w:rPr>
          <w:rFonts w:hint="eastAsia"/>
          <w:bCs/>
          <w:color w:val="auto"/>
          <w:lang w:eastAsia="zh-CN"/>
        </w:rPr>
        <w:t>绵阳市游仙区盐泉镇通远村（原葫芦村4社）</w:t>
      </w:r>
      <w:r>
        <w:rPr>
          <w:rFonts w:hint="eastAsia"/>
          <w:bCs/>
          <w:color w:val="auto"/>
        </w:rPr>
        <w:t>，选址不在</w:t>
      </w:r>
      <w:r>
        <w:rPr>
          <w:rFonts w:hint="eastAsia"/>
          <w:bCs/>
          <w:color w:val="auto"/>
          <w:lang w:eastAsia="zh-CN"/>
        </w:rPr>
        <w:t>游仙区</w:t>
      </w:r>
      <w:r>
        <w:rPr>
          <w:rFonts w:hint="eastAsia"/>
          <w:bCs/>
          <w:color w:val="auto"/>
        </w:rPr>
        <w:t>禁养区及限养区范围内，选址内无自然保护区、文物古迹等特殊环境制约因素。该场址地势较高，项目用地红线内海拔为+</w:t>
      </w:r>
      <w:r>
        <w:rPr>
          <w:rFonts w:hint="eastAsia"/>
          <w:bCs/>
          <w:color w:val="auto"/>
          <w:lang w:val="en-US" w:eastAsia="zh-CN"/>
        </w:rPr>
        <w:t>5</w:t>
      </w:r>
      <w:r>
        <w:rPr>
          <w:rFonts w:hint="eastAsia"/>
          <w:bCs/>
          <w:color w:val="auto"/>
          <w:lang w:val="en-US" w:eastAsia="zh-CN"/>
        </w:rPr>
        <w:t>20</w:t>
      </w:r>
      <w:r>
        <w:rPr>
          <w:rFonts w:hint="eastAsia"/>
          <w:bCs/>
          <w:color w:val="auto"/>
        </w:rPr>
        <w:t>m~+</w:t>
      </w:r>
      <w:r>
        <w:rPr>
          <w:rFonts w:hint="eastAsia"/>
          <w:bCs/>
          <w:color w:val="auto"/>
          <w:lang w:val="en-US" w:eastAsia="zh-CN"/>
        </w:rPr>
        <w:t>5</w:t>
      </w:r>
      <w:r>
        <w:rPr>
          <w:rFonts w:hint="eastAsia"/>
          <w:bCs/>
          <w:color w:val="auto"/>
          <w:lang w:val="en-US" w:eastAsia="zh-CN"/>
        </w:rPr>
        <w:t>40</w:t>
      </w:r>
      <w:r>
        <w:rPr>
          <w:rFonts w:hint="eastAsia"/>
          <w:bCs/>
          <w:color w:val="auto"/>
        </w:rPr>
        <w:t>m，场址内地势</w:t>
      </w:r>
      <w:r>
        <w:rPr>
          <w:rFonts w:hint="eastAsia"/>
          <w:bCs/>
          <w:color w:val="auto"/>
          <w:lang w:val="en-US" w:eastAsia="zh-CN"/>
        </w:rPr>
        <w:t>西高</w:t>
      </w:r>
      <w:r>
        <w:rPr>
          <w:rFonts w:hint="eastAsia"/>
          <w:bCs/>
          <w:color w:val="auto"/>
          <w:lang w:val="en-US" w:eastAsia="zh-CN"/>
        </w:rPr>
        <w:t>东低</w:t>
      </w:r>
      <w:r>
        <w:rPr>
          <w:rFonts w:hint="eastAsia"/>
          <w:bCs/>
          <w:color w:val="auto"/>
        </w:rPr>
        <w:t>，四面均被山林及农田环绕，山脚零散的分布着</w:t>
      </w:r>
      <w:r>
        <w:rPr>
          <w:rFonts w:hint="eastAsia"/>
          <w:bCs/>
          <w:color w:val="auto"/>
          <w:lang w:eastAsia="zh-CN"/>
        </w:rPr>
        <w:t>盐泉镇</w:t>
      </w:r>
      <w:r>
        <w:rPr>
          <w:rFonts w:hint="eastAsia"/>
          <w:bCs/>
          <w:color w:val="auto"/>
          <w:lang w:eastAsia="zh-CN"/>
        </w:rPr>
        <w:t>通远村</w:t>
      </w:r>
      <w:r>
        <w:rPr>
          <w:rFonts w:hint="eastAsia"/>
          <w:bCs/>
          <w:color w:val="auto"/>
        </w:rPr>
        <w:t>农户。</w:t>
      </w:r>
      <w:r>
        <w:rPr>
          <w:rFonts w:hint="eastAsia"/>
          <w:bCs/>
          <w:color w:val="auto"/>
          <w:lang w:val="en-US" w:eastAsia="zh-CN"/>
        </w:rPr>
        <w:t>具体如下：</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北侧：190m~224m处有3户农户（10人）；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东北侧：315m~432m处有8户农户（26人），910m处有葫芦村农户（约300人）；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东侧：250m~300m处有5户农户（16人），1966m处有合兴村农户（约160人），2030m处有光湖村农户（96人）；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东南侧：576m~600m处有3户农户（10人）；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南侧：139m~287m处有13户农户（42人），1195m处有红庙村农户（约150人）；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西南侧：327m~477m处有7户农户（22人），2435m处有黄家桥村农户（约100人）；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西侧：230m~560m处有18户农户（58人），1554m处有黎明桥村农户（约130人）；</w:t>
      </w:r>
    </w:p>
    <w:p>
      <w:pPr>
        <w:pStyle w:val="265"/>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西北侧：1661m处有严家桥村农户（约280人）。</w:t>
      </w:r>
    </w:p>
    <w:p>
      <w:pPr>
        <w:pStyle w:val="265"/>
        <w:rPr>
          <w:rFonts w:hint="eastAsia"/>
          <w:b/>
          <w:bCs/>
          <w:color w:val="auto"/>
          <w:lang w:val="en-US" w:eastAsia="zh-CN"/>
        </w:rPr>
      </w:pPr>
      <w:r>
        <w:rPr>
          <w:rFonts w:hint="eastAsia"/>
          <w:b/>
          <w:bCs/>
          <w:color w:val="auto"/>
          <w:lang w:val="en-US" w:eastAsia="zh-CN"/>
        </w:rPr>
        <w:t>2、项目与周边乡镇饮用水源位置关系</w:t>
      </w:r>
    </w:p>
    <w:p>
      <w:pPr>
        <w:pStyle w:val="2"/>
        <w:keepNext w:val="0"/>
        <w:keepLines w:val="0"/>
        <w:pageBreakBefore w:val="0"/>
        <w:widowControl w:val="0"/>
        <w:kinsoku/>
        <w:overflowPunct/>
        <w:topLinePunct w:val="0"/>
        <w:bidi w:val="0"/>
        <w:adjustRightInd/>
        <w:snapToGrid/>
        <w:ind w:firstLine="480" w:firstLineChars="200"/>
        <w:rPr>
          <w:rFonts w:hint="eastAsia"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lang w:val="en-US" w:eastAsia="zh-CN"/>
        </w:rPr>
        <w:t>根据现场勘查及查阅相关文件，项目与周边最近的饮用水水源保护区关系如下：</w:t>
      </w:r>
    </w:p>
    <w:p>
      <w:pPr>
        <w:keepNext w:val="0"/>
        <w:keepLines w:val="0"/>
        <w:pageBreakBefore w:val="0"/>
        <w:widowControl w:val="0"/>
        <w:kinsoku/>
        <w:wordWrap/>
        <w:overflowPunct/>
        <w:topLinePunct w:val="0"/>
        <w:autoSpaceDE/>
        <w:autoSpaceDN/>
        <w:bidi w:val="0"/>
        <w:adjustRightInd/>
        <w:snapToGrid/>
        <w:spacing w:line="0" w:lineRule="atLeast"/>
        <w:ind w:firstLine="420"/>
        <w:jc w:val="center"/>
        <w:textAlignment w:val="auto"/>
        <w:rPr>
          <w:rFonts w:hint="eastAsia" w:ascii="宋体" w:hAnsi="宋体" w:eastAsia="宋体" w:cs="宋体"/>
          <w:b/>
          <w:bCs/>
          <w:color w:val="auto"/>
          <w:sz w:val="21"/>
          <w:szCs w:val="22"/>
          <w:highlight w:val="none"/>
          <w:lang w:val="en-US" w:eastAsia="zh-CN"/>
        </w:rPr>
      </w:pPr>
      <w:r>
        <w:rPr>
          <w:rFonts w:hint="eastAsia" w:ascii="宋体" w:hAnsi="宋体" w:eastAsia="宋体" w:cs="宋体"/>
          <w:b/>
          <w:bCs/>
          <w:color w:val="auto"/>
          <w:sz w:val="21"/>
          <w:szCs w:val="22"/>
          <w:highlight w:val="none"/>
          <w:lang w:val="en-US" w:eastAsia="zh-CN"/>
        </w:rPr>
        <w:t>表</w:t>
      </w:r>
      <w:r>
        <w:rPr>
          <w:rFonts w:hint="eastAsia" w:ascii="Times New Roman" w:hAnsi="Times New Roman" w:eastAsia="宋体" w:cs="Times New Roman"/>
          <w:b/>
          <w:color w:val="auto"/>
          <w:kern w:val="2"/>
          <w:sz w:val="21"/>
          <w:szCs w:val="21"/>
          <w:lang w:val="en-US" w:eastAsia="zh-CN" w:bidi="ar-SA"/>
        </w:rPr>
        <w:t xml:space="preserve">2.9-1 </w:t>
      </w:r>
      <w:r>
        <w:rPr>
          <w:rFonts w:hint="eastAsia" w:ascii="宋体" w:hAnsi="宋体" w:eastAsia="宋体" w:cs="宋体"/>
          <w:b/>
          <w:bCs/>
          <w:color w:val="auto"/>
          <w:sz w:val="21"/>
          <w:szCs w:val="22"/>
          <w:highlight w:val="none"/>
          <w:lang w:val="en-US" w:eastAsia="zh-CN"/>
        </w:rPr>
        <w:t>项目与周边饮用水水源保护区关系</w:t>
      </w:r>
    </w:p>
    <w:tbl>
      <w:tblPr>
        <w:tblStyle w:val="52"/>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1077"/>
        <w:gridCol w:w="1242"/>
        <w:gridCol w:w="1808"/>
        <w:gridCol w:w="1559"/>
        <w:gridCol w:w="723"/>
        <w:gridCol w:w="11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划定、调整文件</w:t>
            </w:r>
          </w:p>
        </w:tc>
        <w:tc>
          <w:tcPr>
            <w:tcW w:w="598"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饮用水水源保护区名称</w:t>
            </w:r>
          </w:p>
        </w:tc>
        <w:tc>
          <w:tcPr>
            <w:tcW w:w="69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取水口</w:t>
            </w:r>
          </w:p>
        </w:tc>
        <w:tc>
          <w:tcPr>
            <w:tcW w:w="1004"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一级保护区</w:t>
            </w:r>
          </w:p>
        </w:tc>
        <w:tc>
          <w:tcPr>
            <w:tcW w:w="866"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二级保护区</w:t>
            </w:r>
          </w:p>
        </w:tc>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准保护区</w:t>
            </w:r>
          </w:p>
        </w:tc>
        <w:tc>
          <w:tcPr>
            <w:tcW w:w="660"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与本项目关系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绵阳市人民政府关于同意划定、调整、撤销梓棉镇等部分乡镇集中式饮用水水源保护区的批复（绵游府【2019】 56号）</w:t>
            </w:r>
          </w:p>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p>
        </w:tc>
        <w:tc>
          <w:tcPr>
            <w:tcW w:w="598"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梓棉镇盐井坝村庙儿湾水库饮用水水源保护区</w:t>
            </w:r>
          </w:p>
        </w:tc>
        <w:tc>
          <w:tcPr>
            <w:tcW w:w="69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取水口坐标：105°1′19.22″E；31°24′4.28″N；</w:t>
            </w:r>
          </w:p>
        </w:tc>
        <w:tc>
          <w:tcPr>
            <w:tcW w:w="1004"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default"/>
                <w:color w:val="auto"/>
                <w:sz w:val="21"/>
                <w:szCs w:val="21"/>
                <w:highlight w:val="none"/>
                <w:vertAlign w:val="baseline"/>
                <w:lang w:val="en-US" w:eastAsia="zh-CN"/>
              </w:rPr>
              <w:t>水库多年平均高程线以下的全部水域；</w:t>
            </w:r>
            <w:r>
              <w:rPr>
                <w:rFonts w:hint="eastAsia"/>
                <w:color w:val="auto"/>
                <w:sz w:val="21"/>
                <w:szCs w:val="21"/>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default"/>
                <w:color w:val="auto"/>
                <w:sz w:val="21"/>
                <w:szCs w:val="21"/>
                <w:highlight w:val="none"/>
                <w:vertAlign w:val="baseline"/>
                <w:lang w:val="en-US" w:eastAsia="zh-CN"/>
              </w:rPr>
              <w:t>水库多年平均高程线以下全部水域外200m范围内的陆域，不超过水库周边第一重分水岭。</w:t>
            </w:r>
          </w:p>
        </w:tc>
        <w:tc>
          <w:tcPr>
            <w:tcW w:w="866"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分支渠一级保护区的上游边界向上游延伸2000m；</w:t>
            </w:r>
          </w:p>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eastAsia"/>
                <w:color w:val="auto"/>
                <w:sz w:val="21"/>
                <w:szCs w:val="21"/>
                <w:highlight w:val="none"/>
                <w:vertAlign w:val="baseline"/>
                <w:lang w:val="en-US" w:eastAsia="zh-CN"/>
              </w:rPr>
            </w:pPr>
            <w:r>
              <w:rPr>
                <w:rFonts w:hint="default"/>
                <w:color w:val="auto"/>
                <w:sz w:val="21"/>
                <w:szCs w:val="21"/>
                <w:highlight w:val="none"/>
                <w:vertAlign w:val="baseline"/>
                <w:lang w:val="en-US" w:eastAsia="zh-CN"/>
              </w:rPr>
              <w:t>水库整个汇水区域；分支渠两岸纵深1000m的陆域范围纳入保护范围，但不超过流域分水岭的陆域范围。</w:t>
            </w:r>
          </w:p>
        </w:tc>
        <w:tc>
          <w:tcPr>
            <w:tcW w:w="401"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c>
          <w:tcPr>
            <w:tcW w:w="660" w:type="pct"/>
            <w:noWrap w:val="0"/>
            <w:vAlign w:val="top"/>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contextualSpacing/>
              <w:jc w:val="both"/>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二级饮用水源保护区位于项目东南侧1km处，本项目不涉及该饮用水水源地保护区</w:t>
            </w:r>
          </w:p>
        </w:tc>
      </w:tr>
    </w:tbl>
    <w:p>
      <w:pPr>
        <w:pStyle w:val="265"/>
        <w:rPr>
          <w:rFonts w:hint="eastAsia"/>
          <w:color w:val="auto"/>
          <w:lang w:val="en-US" w:eastAsia="zh-CN"/>
        </w:rPr>
      </w:pPr>
      <w:r>
        <w:rPr>
          <w:rFonts w:hint="eastAsia"/>
          <w:color w:val="auto"/>
          <w:lang w:val="en-US" w:eastAsia="zh-CN"/>
        </w:rPr>
        <w:t>本项目与周边饮用水源保护区位置关系见下表：</w:t>
      </w:r>
    </w:p>
    <w:p>
      <w:pPr>
        <w:pStyle w:val="265"/>
        <w:spacing w:line="240" w:lineRule="auto"/>
        <w:jc w:val="center"/>
        <w:rPr>
          <w:rFonts w:hint="eastAsia"/>
          <w:b/>
          <w:bCs/>
          <w:color w:val="auto"/>
          <w:sz w:val="21"/>
          <w:szCs w:val="22"/>
          <w:lang w:val="en-US" w:eastAsia="zh-CN"/>
        </w:rPr>
      </w:pPr>
      <w:r>
        <w:rPr>
          <w:rFonts w:hint="eastAsia"/>
          <w:b/>
          <w:bCs/>
          <w:color w:val="auto"/>
          <w:sz w:val="21"/>
          <w:szCs w:val="22"/>
          <w:lang w:val="en-US" w:eastAsia="zh-CN"/>
        </w:rPr>
        <w:t>表 2.9-2 本项目拟建地与周边乡镇饮用水源位置关系情况表</w:t>
      </w:r>
    </w:p>
    <w:tbl>
      <w:tblPr>
        <w:tblStyle w:val="5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left w:w="108" w:type="dxa"/>
          <w:right w:w="108" w:type="dxa"/>
        </w:tblCellMar>
      </w:tblPr>
      <w:tblGrid>
        <w:gridCol w:w="2250"/>
        <w:gridCol w:w="4033"/>
        <w:gridCol w:w="1432"/>
        <w:gridCol w:w="12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rPr>
          <w:trHeight w:val="231" w:hRule="atLeast"/>
        </w:trPr>
        <w:tc>
          <w:tcPr>
            <w:tcW w:w="2250"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饮用水源保护区名称</w:t>
            </w:r>
          </w:p>
        </w:tc>
        <w:tc>
          <w:tcPr>
            <w:tcW w:w="4033"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项目与二级保护区位置关系</w:t>
            </w:r>
          </w:p>
        </w:tc>
        <w:tc>
          <w:tcPr>
            <w:tcW w:w="1432"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项目拟建地高程(m)</w:t>
            </w:r>
          </w:p>
        </w:tc>
        <w:tc>
          <w:tcPr>
            <w:tcW w:w="128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取水点高程（m）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2250"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highlight w:val="none"/>
                <w:vertAlign w:val="baseline"/>
                <w:lang w:val="en-US" w:eastAsia="zh-CN"/>
              </w:rPr>
              <w:t>梓棉镇盐井坝村庙儿湾水库饮用水水源保护区</w:t>
            </w:r>
          </w:p>
        </w:tc>
        <w:tc>
          <w:tcPr>
            <w:tcW w:w="4033"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lang w:val="en-US" w:eastAsia="zh-CN"/>
              </w:rPr>
            </w:pPr>
            <w:r>
              <w:rPr>
                <w:rFonts w:hint="eastAsia"/>
                <w:color w:val="auto"/>
                <w:sz w:val="21"/>
                <w:szCs w:val="21"/>
                <w:highlight w:val="none"/>
                <w:vertAlign w:val="baseline"/>
                <w:lang w:val="en-US" w:eastAsia="zh-CN"/>
              </w:rPr>
              <w:t>二级饮用水源保护区位于项目东南侧1km处，取水口位于项目场址下游，但两者之间有山体阻隔。</w:t>
            </w:r>
          </w:p>
        </w:tc>
        <w:tc>
          <w:tcPr>
            <w:tcW w:w="1432"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530</w:t>
            </w:r>
          </w:p>
        </w:tc>
        <w:tc>
          <w:tcPr>
            <w:tcW w:w="128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471</w:t>
            </w:r>
          </w:p>
        </w:tc>
      </w:tr>
    </w:tbl>
    <w:p>
      <w:pPr>
        <w:pStyle w:val="265"/>
        <w:rPr>
          <w:rFonts w:hint="eastAsia"/>
          <w:color w:val="auto"/>
          <w:lang w:val="en-US" w:eastAsia="zh-CN"/>
        </w:rPr>
      </w:pPr>
      <w:r>
        <w:rPr>
          <w:rFonts w:hint="eastAsia"/>
          <w:color w:val="auto"/>
          <w:lang w:val="en-US" w:eastAsia="zh-CN"/>
        </w:rPr>
        <w:t>结合项目地理位置与周边饮用水源位置关系可知，本项目与周边饮用水源保护区相距较远，且中间有山体相隔，本项目废水经处理后用于周边农田施肥，废水消纳区不在饮用水源保护区汇水区范围内，项目废水不会流入梓棉镇盐井坝村庙儿湾水库饮用水水源保护区。因此，本项目选址不涉及饮用水源保护区。</w:t>
      </w:r>
    </w:p>
    <w:p>
      <w:pPr>
        <w:pStyle w:val="265"/>
        <w:rPr>
          <w:rFonts w:hint="eastAsia"/>
          <w:color w:val="auto"/>
          <w:lang w:val="en-US" w:eastAsia="zh-CN"/>
        </w:rPr>
      </w:pPr>
      <w:r>
        <w:rPr>
          <w:rFonts w:hint="eastAsia"/>
          <w:color w:val="auto"/>
          <w:lang w:val="en-US" w:eastAsia="zh-CN"/>
        </w:rPr>
        <w:t>综上所述，本项目所在地周边以林地和耕地为主，周围 200m 范围内无学校、医院、珍稀濒危野生动植物等环境敏感目标分布；项目占地范围内不涉及生态保护红线区、风景名胜区、自然保护区、饮用水源保护区和文物古迹等环境敏感目标，评价范围内无明显的环境制约因素，与当地环境相容。</w:t>
      </w:r>
    </w:p>
    <w:p>
      <w:pPr>
        <w:pStyle w:val="8"/>
        <w:tabs>
          <w:tab w:val="clear" w:pos="0"/>
        </w:tabs>
        <w:rPr>
          <w:rFonts w:eastAsia="黑体"/>
          <w:color w:val="auto"/>
          <w:sz w:val="28"/>
          <w:szCs w:val="28"/>
        </w:rPr>
      </w:pPr>
      <w:r>
        <w:rPr>
          <w:rFonts w:eastAsia="黑体"/>
          <w:color w:val="auto"/>
          <w:sz w:val="28"/>
          <w:szCs w:val="28"/>
        </w:rPr>
        <w:t>选址合理性分析</w:t>
      </w:r>
    </w:p>
    <w:p>
      <w:pPr>
        <w:pStyle w:val="16"/>
        <w:spacing w:line="360" w:lineRule="auto"/>
        <w:ind w:firstLine="482"/>
        <w:rPr>
          <w:rFonts w:ascii="Times New Roman" w:hAnsi="Times New Roman"/>
          <w:b/>
          <w:bCs/>
          <w:color w:val="auto"/>
        </w:rPr>
      </w:pPr>
      <w:r>
        <w:rPr>
          <w:rFonts w:ascii="Times New Roman" w:hAnsi="Times New Roman"/>
          <w:b/>
          <w:bCs/>
          <w:color w:val="auto"/>
        </w:rPr>
        <w:t>（1）与《畜禽养殖业污染防治技术规范》选址相符性分析</w:t>
      </w:r>
    </w:p>
    <w:p>
      <w:pPr>
        <w:pStyle w:val="16"/>
        <w:spacing w:line="360" w:lineRule="auto"/>
        <w:ind w:firstLine="480"/>
        <w:rPr>
          <w:rFonts w:hint="eastAsia" w:ascii="Times New Roman" w:hAnsi="Times New Roman"/>
          <w:color w:val="auto"/>
        </w:rPr>
      </w:pPr>
      <w:r>
        <w:rPr>
          <w:rFonts w:ascii="Times New Roman" w:hAnsi="Times New Roman"/>
          <w:color w:val="auto"/>
        </w:rPr>
        <w:t>根据《畜禽养殖业污染防治技术规范》（HJ/T81-2001）中选址要求</w:t>
      </w:r>
      <w:r>
        <w:rPr>
          <w:rFonts w:hint="eastAsia" w:ascii="Times New Roman" w:hAnsi="Times New Roman"/>
          <w:color w:val="auto"/>
        </w:rPr>
        <w:t>，</w:t>
      </w:r>
      <w:r>
        <w:rPr>
          <w:rFonts w:ascii="Times New Roman" w:hAnsi="Times New Roman"/>
          <w:color w:val="auto"/>
        </w:rPr>
        <w:t>项目拟建场址符合规范的原则和要求。本项目拟建场址建设条件与规范要求对比分析结果见表2.</w:t>
      </w:r>
      <w:r>
        <w:rPr>
          <w:rFonts w:hint="eastAsia" w:ascii="Times New Roman" w:hAnsi="Times New Roman"/>
          <w:color w:val="auto"/>
          <w:lang w:val="en-US" w:eastAsia="zh-CN"/>
        </w:rPr>
        <w:t>9</w:t>
      </w:r>
      <w:r>
        <w:rPr>
          <w:rFonts w:ascii="Times New Roman" w:hAnsi="Times New Roman"/>
          <w:color w:val="auto"/>
        </w:rPr>
        <w:t>-</w:t>
      </w:r>
      <w:r>
        <w:rPr>
          <w:rFonts w:hint="eastAsia" w:ascii="Times New Roman" w:hAnsi="Times New Roman"/>
          <w:color w:val="auto"/>
          <w:lang w:val="en-US" w:eastAsia="zh-CN"/>
        </w:rPr>
        <w:t>3</w:t>
      </w:r>
      <w:r>
        <w:rPr>
          <w:rFonts w:ascii="Times New Roman" w:hAnsi="Times New Roman"/>
          <w:color w:val="auto"/>
        </w:rPr>
        <w:t>。</w:t>
      </w:r>
    </w:p>
    <w:p>
      <w:pPr>
        <w:pStyle w:val="166"/>
        <w:spacing w:before="120" w:beforeLines="0"/>
        <w:rPr>
          <w:color w:val="auto"/>
        </w:rPr>
      </w:pPr>
      <w:r>
        <w:rPr>
          <w:color w:val="auto"/>
        </w:rPr>
        <w:t>表2.</w:t>
      </w:r>
      <w:r>
        <w:rPr>
          <w:rFonts w:hint="eastAsia"/>
          <w:color w:val="auto"/>
          <w:lang w:val="en-US" w:eastAsia="zh-CN"/>
        </w:rPr>
        <w:t>9</w:t>
      </w:r>
      <w:r>
        <w:rPr>
          <w:color w:val="auto"/>
        </w:rPr>
        <w:t>-</w:t>
      </w:r>
      <w:r>
        <w:rPr>
          <w:rFonts w:hint="eastAsia"/>
          <w:color w:val="auto"/>
          <w:lang w:val="en-US" w:eastAsia="zh-CN"/>
        </w:rPr>
        <w:t xml:space="preserve">3 </w:t>
      </w:r>
      <w:r>
        <w:rPr>
          <w:color w:val="auto"/>
        </w:rPr>
        <w:t>拟建场址建设条件与规范要求对比分析结果</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731"/>
        <w:gridCol w:w="4687"/>
        <w:gridCol w:w="2480"/>
        <w:gridCol w:w="889"/>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wBefore w:w="0" w:type="dxa"/>
          <w:wAfter w:w="0" w:type="dxa"/>
          <w:trHeight w:val="340" w:hRule="atLeast"/>
          <w:tblHeader/>
        </w:trPr>
        <w:tc>
          <w:tcPr>
            <w:tcW w:w="731" w:type="dxa"/>
            <w:noWrap w:val="0"/>
            <w:vAlign w:val="center"/>
          </w:tcPr>
          <w:p>
            <w:pPr>
              <w:pStyle w:val="332"/>
              <w:kinsoku w:val="0"/>
              <w:overflowPunct w:val="0"/>
              <w:jc w:val="center"/>
              <w:rPr>
                <w:b/>
                <w:color w:val="auto"/>
                <w:sz w:val="20"/>
                <w:szCs w:val="20"/>
              </w:rPr>
            </w:pPr>
            <w:bookmarkStart w:id="27" w:name="序号"/>
            <w:bookmarkEnd w:id="27"/>
            <w:r>
              <w:rPr>
                <w:b/>
                <w:color w:val="auto"/>
                <w:sz w:val="20"/>
                <w:szCs w:val="20"/>
              </w:rPr>
              <w:t>序号</w:t>
            </w:r>
          </w:p>
        </w:tc>
        <w:tc>
          <w:tcPr>
            <w:tcW w:w="4687" w:type="dxa"/>
            <w:noWrap w:val="0"/>
            <w:vAlign w:val="center"/>
          </w:tcPr>
          <w:p>
            <w:pPr>
              <w:pStyle w:val="332"/>
              <w:kinsoku w:val="0"/>
              <w:overflowPunct w:val="0"/>
              <w:ind w:right="2"/>
              <w:jc w:val="center"/>
              <w:rPr>
                <w:b/>
                <w:color w:val="auto"/>
                <w:sz w:val="20"/>
                <w:szCs w:val="20"/>
              </w:rPr>
            </w:pPr>
            <w:bookmarkStart w:id="28" w:name="规范要求"/>
            <w:bookmarkEnd w:id="28"/>
            <w:r>
              <w:rPr>
                <w:b/>
                <w:color w:val="auto"/>
                <w:sz w:val="20"/>
                <w:szCs w:val="20"/>
              </w:rPr>
              <w:t>规范要求</w:t>
            </w:r>
          </w:p>
        </w:tc>
        <w:tc>
          <w:tcPr>
            <w:tcW w:w="2480" w:type="dxa"/>
            <w:noWrap w:val="0"/>
            <w:vAlign w:val="center"/>
          </w:tcPr>
          <w:p>
            <w:pPr>
              <w:pStyle w:val="332"/>
              <w:kinsoku w:val="0"/>
              <w:overflowPunct w:val="0"/>
              <w:ind w:right="1"/>
              <w:jc w:val="center"/>
              <w:rPr>
                <w:b/>
                <w:color w:val="auto"/>
                <w:sz w:val="20"/>
                <w:szCs w:val="20"/>
              </w:rPr>
            </w:pPr>
            <w:bookmarkStart w:id="29" w:name="选址条件"/>
            <w:bookmarkEnd w:id="29"/>
            <w:r>
              <w:rPr>
                <w:b/>
                <w:color w:val="auto"/>
                <w:sz w:val="20"/>
                <w:szCs w:val="20"/>
              </w:rPr>
              <w:t>选址条件</w:t>
            </w:r>
          </w:p>
        </w:tc>
        <w:tc>
          <w:tcPr>
            <w:tcW w:w="889" w:type="dxa"/>
            <w:noWrap w:val="0"/>
            <w:vAlign w:val="center"/>
          </w:tcPr>
          <w:p>
            <w:pPr>
              <w:pStyle w:val="332"/>
              <w:kinsoku w:val="0"/>
              <w:overflowPunct w:val="0"/>
              <w:jc w:val="center"/>
              <w:rPr>
                <w:b/>
                <w:color w:val="auto"/>
                <w:sz w:val="20"/>
                <w:szCs w:val="20"/>
              </w:rPr>
            </w:pPr>
            <w:bookmarkStart w:id="30" w:name="符合性"/>
            <w:bookmarkEnd w:id="30"/>
            <w:r>
              <w:rPr>
                <w:b/>
                <w:color w:val="auto"/>
                <w:sz w:val="20"/>
                <w:szCs w:val="20"/>
              </w:rPr>
              <w:t>符合性</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31" w:name="1"/>
            <w:bookmarkEnd w:id="31"/>
            <w:r>
              <w:rPr>
                <w:color w:val="auto"/>
                <w:w w:val="99"/>
                <w:sz w:val="20"/>
                <w:szCs w:val="20"/>
              </w:rPr>
              <w:t>1</w:t>
            </w:r>
          </w:p>
        </w:tc>
        <w:tc>
          <w:tcPr>
            <w:tcW w:w="4687" w:type="dxa"/>
            <w:noWrap w:val="0"/>
            <w:vAlign w:val="center"/>
          </w:tcPr>
          <w:p>
            <w:pPr>
              <w:pStyle w:val="332"/>
              <w:kinsoku w:val="0"/>
              <w:overflowPunct w:val="0"/>
              <w:ind w:right="102"/>
              <w:jc w:val="center"/>
              <w:rPr>
                <w:color w:val="auto"/>
                <w:sz w:val="20"/>
                <w:szCs w:val="20"/>
              </w:rPr>
            </w:pPr>
            <w:r>
              <w:rPr>
                <w:color w:val="auto"/>
                <w:sz w:val="20"/>
                <w:szCs w:val="20"/>
              </w:rPr>
              <w:t>禁止建设在生活饮用水水源保护区、风景名胜区、</w:t>
            </w:r>
            <w:r>
              <w:rPr>
                <w:color w:val="auto"/>
                <w:w w:val="99"/>
                <w:sz w:val="20"/>
                <w:szCs w:val="20"/>
              </w:rPr>
              <w:t xml:space="preserve"> </w:t>
            </w:r>
            <w:r>
              <w:rPr>
                <w:color w:val="auto"/>
                <w:sz w:val="20"/>
                <w:szCs w:val="20"/>
              </w:rPr>
              <w:t>自然保护区的核心区及缓冲区。</w:t>
            </w:r>
          </w:p>
        </w:tc>
        <w:tc>
          <w:tcPr>
            <w:tcW w:w="2480" w:type="dxa"/>
            <w:noWrap w:val="0"/>
            <w:vAlign w:val="center"/>
          </w:tcPr>
          <w:p>
            <w:pPr>
              <w:pStyle w:val="332"/>
              <w:kinsoku w:val="0"/>
              <w:overflowPunct w:val="0"/>
              <w:jc w:val="center"/>
              <w:rPr>
                <w:color w:val="auto"/>
                <w:sz w:val="20"/>
                <w:szCs w:val="20"/>
              </w:rPr>
            </w:pPr>
            <w:bookmarkStart w:id="32" w:name="建设场地附近无生活饮用水水源保护区、风景名胜区等敏感地区"/>
            <w:bookmarkEnd w:id="32"/>
            <w:r>
              <w:rPr>
                <w:color w:val="auto"/>
                <w:sz w:val="20"/>
                <w:szCs w:val="20"/>
              </w:rPr>
              <w:t>建设场地附近</w:t>
            </w:r>
            <w:r>
              <w:rPr>
                <w:rFonts w:hint="eastAsia"/>
                <w:color w:val="auto"/>
                <w:sz w:val="20"/>
                <w:szCs w:val="20"/>
              </w:rPr>
              <w:t>无集中式</w:t>
            </w:r>
            <w:r>
              <w:rPr>
                <w:color w:val="auto"/>
                <w:sz w:val="20"/>
                <w:szCs w:val="20"/>
              </w:rPr>
              <w:t>生活饮用水水源保护区、风景名胜区、自然保护区等敏感地区</w:t>
            </w:r>
          </w:p>
        </w:tc>
        <w:tc>
          <w:tcPr>
            <w:tcW w:w="889" w:type="dxa"/>
            <w:noWrap w:val="0"/>
            <w:vAlign w:val="center"/>
          </w:tcPr>
          <w:p>
            <w:pPr>
              <w:pStyle w:val="332"/>
              <w:kinsoku w:val="0"/>
              <w:overflowPunct w:val="0"/>
              <w:jc w:val="center"/>
              <w:rPr>
                <w:color w:val="auto"/>
                <w:sz w:val="20"/>
                <w:szCs w:val="20"/>
              </w:rPr>
            </w:pPr>
            <w:r>
              <w:rPr>
                <w:color w:val="auto"/>
                <w:sz w:val="20"/>
                <w:szCs w:val="20"/>
              </w:rPr>
              <w:t>符合</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33" w:name="2"/>
            <w:bookmarkEnd w:id="33"/>
            <w:r>
              <w:rPr>
                <w:color w:val="auto"/>
                <w:w w:val="99"/>
                <w:sz w:val="20"/>
                <w:szCs w:val="20"/>
              </w:rPr>
              <w:t>2</w:t>
            </w:r>
          </w:p>
        </w:tc>
        <w:tc>
          <w:tcPr>
            <w:tcW w:w="4687" w:type="dxa"/>
            <w:noWrap w:val="0"/>
            <w:vAlign w:val="center"/>
          </w:tcPr>
          <w:p>
            <w:pPr>
              <w:pStyle w:val="332"/>
              <w:kinsoku w:val="0"/>
              <w:overflowPunct w:val="0"/>
              <w:ind w:right="-5"/>
              <w:jc w:val="center"/>
              <w:rPr>
                <w:color w:val="auto"/>
                <w:sz w:val="20"/>
                <w:szCs w:val="20"/>
              </w:rPr>
            </w:pPr>
            <w:bookmarkStart w:id="34" w:name="禁止建设在城市和城镇居民区、包括文教科研区、医疗区、商业区、工业区、游览区等人口"/>
            <w:bookmarkEnd w:id="34"/>
            <w:r>
              <w:rPr>
                <w:color w:val="auto"/>
                <w:sz w:val="20"/>
                <w:szCs w:val="20"/>
              </w:rPr>
              <w:t>禁止建设在城市和城镇居民区，包括文教科研区、</w:t>
            </w:r>
            <w:r>
              <w:rPr>
                <w:color w:val="auto"/>
                <w:spacing w:val="-5"/>
                <w:sz w:val="20"/>
                <w:szCs w:val="20"/>
              </w:rPr>
              <w:t>医疗区、商业区、工业区、游览区等人口集中地区。</w:t>
            </w:r>
          </w:p>
        </w:tc>
        <w:tc>
          <w:tcPr>
            <w:tcW w:w="2480" w:type="dxa"/>
            <w:noWrap w:val="0"/>
            <w:vAlign w:val="center"/>
          </w:tcPr>
          <w:p>
            <w:pPr>
              <w:pStyle w:val="332"/>
              <w:kinsoku w:val="0"/>
              <w:overflowPunct w:val="0"/>
              <w:ind w:right="1"/>
              <w:jc w:val="center"/>
              <w:rPr>
                <w:color w:val="auto"/>
                <w:sz w:val="20"/>
                <w:szCs w:val="20"/>
              </w:rPr>
            </w:pPr>
            <w:bookmarkStart w:id="35" w:name="项目位于农村地区，所在地不属于人口集中地区"/>
            <w:bookmarkEnd w:id="35"/>
            <w:r>
              <w:rPr>
                <w:color w:val="auto"/>
                <w:sz w:val="20"/>
                <w:szCs w:val="20"/>
              </w:rPr>
              <w:t>项目位于农村地区，所在地不属于人口集中地区</w:t>
            </w:r>
          </w:p>
        </w:tc>
        <w:tc>
          <w:tcPr>
            <w:tcW w:w="889" w:type="dxa"/>
            <w:noWrap w:val="0"/>
            <w:vAlign w:val="center"/>
          </w:tcPr>
          <w:p>
            <w:pPr>
              <w:pStyle w:val="332"/>
              <w:kinsoku w:val="0"/>
              <w:overflowPunct w:val="0"/>
              <w:jc w:val="center"/>
              <w:rPr>
                <w:color w:val="auto"/>
                <w:sz w:val="20"/>
                <w:szCs w:val="20"/>
              </w:rPr>
            </w:pPr>
            <w:r>
              <w:rPr>
                <w:color w:val="auto"/>
                <w:sz w:val="20"/>
                <w:szCs w:val="20"/>
              </w:rPr>
              <w:t>符合</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36" w:name="3"/>
            <w:bookmarkEnd w:id="36"/>
            <w:r>
              <w:rPr>
                <w:color w:val="auto"/>
                <w:w w:val="99"/>
                <w:sz w:val="20"/>
                <w:szCs w:val="20"/>
              </w:rPr>
              <w:t>3</w:t>
            </w:r>
          </w:p>
        </w:tc>
        <w:tc>
          <w:tcPr>
            <w:tcW w:w="4687" w:type="dxa"/>
            <w:noWrap w:val="0"/>
            <w:vAlign w:val="center"/>
          </w:tcPr>
          <w:p>
            <w:pPr>
              <w:pStyle w:val="332"/>
              <w:kinsoku w:val="0"/>
              <w:overflowPunct w:val="0"/>
              <w:jc w:val="center"/>
              <w:rPr>
                <w:color w:val="auto"/>
                <w:sz w:val="20"/>
                <w:szCs w:val="20"/>
              </w:rPr>
            </w:pPr>
            <w:bookmarkStart w:id="37" w:name="禁止建设在县级人民政府依法划定的禁养区域"/>
            <w:bookmarkEnd w:id="37"/>
            <w:r>
              <w:rPr>
                <w:color w:val="auto"/>
                <w:sz w:val="20"/>
                <w:szCs w:val="20"/>
              </w:rPr>
              <w:t>禁止建设在县级人民政府依法划定的禁养区域</w:t>
            </w:r>
          </w:p>
        </w:tc>
        <w:tc>
          <w:tcPr>
            <w:tcW w:w="2480" w:type="dxa"/>
            <w:noWrap w:val="0"/>
            <w:vAlign w:val="center"/>
          </w:tcPr>
          <w:p>
            <w:pPr>
              <w:pStyle w:val="332"/>
              <w:kinsoku w:val="0"/>
              <w:overflowPunct w:val="0"/>
              <w:jc w:val="center"/>
              <w:rPr>
                <w:color w:val="auto"/>
                <w:sz w:val="20"/>
                <w:szCs w:val="20"/>
              </w:rPr>
            </w:pPr>
            <w:bookmarkStart w:id="38" w:name="不属于禁养区域"/>
            <w:bookmarkEnd w:id="38"/>
            <w:r>
              <w:rPr>
                <w:color w:val="auto"/>
                <w:sz w:val="20"/>
                <w:szCs w:val="20"/>
              </w:rPr>
              <w:t>不属于禁养区域</w:t>
            </w:r>
          </w:p>
        </w:tc>
        <w:tc>
          <w:tcPr>
            <w:tcW w:w="889" w:type="dxa"/>
            <w:noWrap w:val="0"/>
            <w:vAlign w:val="center"/>
          </w:tcPr>
          <w:p>
            <w:pPr>
              <w:pStyle w:val="332"/>
              <w:kinsoku w:val="0"/>
              <w:overflowPunct w:val="0"/>
              <w:jc w:val="center"/>
              <w:rPr>
                <w:color w:val="auto"/>
                <w:sz w:val="20"/>
                <w:szCs w:val="20"/>
              </w:rPr>
            </w:pPr>
            <w:r>
              <w:rPr>
                <w:color w:val="auto"/>
                <w:sz w:val="20"/>
                <w:szCs w:val="20"/>
              </w:rPr>
              <w:t>符合</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39" w:name="4"/>
            <w:bookmarkEnd w:id="39"/>
            <w:r>
              <w:rPr>
                <w:color w:val="auto"/>
                <w:w w:val="99"/>
                <w:sz w:val="20"/>
                <w:szCs w:val="20"/>
              </w:rPr>
              <w:t>4</w:t>
            </w:r>
          </w:p>
        </w:tc>
        <w:tc>
          <w:tcPr>
            <w:tcW w:w="4687" w:type="dxa"/>
            <w:noWrap w:val="0"/>
            <w:vAlign w:val="center"/>
          </w:tcPr>
          <w:p>
            <w:pPr>
              <w:pStyle w:val="332"/>
              <w:kinsoku w:val="0"/>
              <w:overflowPunct w:val="0"/>
              <w:jc w:val="center"/>
              <w:rPr>
                <w:color w:val="auto"/>
                <w:sz w:val="20"/>
                <w:szCs w:val="20"/>
              </w:rPr>
            </w:pPr>
            <w:bookmarkStart w:id="40" w:name="禁止建设在国家或地方法律、法规规定需特殊保护的其它区域"/>
            <w:bookmarkEnd w:id="40"/>
            <w:r>
              <w:rPr>
                <w:color w:val="auto"/>
                <w:sz w:val="20"/>
                <w:szCs w:val="20"/>
              </w:rPr>
              <w:t>禁止建设在国家或地方法律、法规规定需特殊保护的其它区域</w:t>
            </w:r>
          </w:p>
        </w:tc>
        <w:tc>
          <w:tcPr>
            <w:tcW w:w="2480" w:type="dxa"/>
            <w:noWrap w:val="0"/>
            <w:vAlign w:val="center"/>
          </w:tcPr>
          <w:p>
            <w:pPr>
              <w:pStyle w:val="332"/>
              <w:kinsoku w:val="0"/>
              <w:overflowPunct w:val="0"/>
              <w:jc w:val="center"/>
              <w:rPr>
                <w:color w:val="auto"/>
                <w:sz w:val="20"/>
                <w:szCs w:val="20"/>
              </w:rPr>
            </w:pPr>
            <w:bookmarkStart w:id="41" w:name="周边无需特殊保护的区域"/>
            <w:bookmarkEnd w:id="41"/>
            <w:r>
              <w:rPr>
                <w:color w:val="auto"/>
                <w:sz w:val="20"/>
                <w:szCs w:val="20"/>
              </w:rPr>
              <w:t>周边无需特殊保护的区域</w:t>
            </w:r>
          </w:p>
        </w:tc>
        <w:tc>
          <w:tcPr>
            <w:tcW w:w="889" w:type="dxa"/>
            <w:noWrap w:val="0"/>
            <w:vAlign w:val="center"/>
          </w:tcPr>
          <w:p>
            <w:pPr>
              <w:pStyle w:val="332"/>
              <w:kinsoku w:val="0"/>
              <w:overflowPunct w:val="0"/>
              <w:jc w:val="center"/>
              <w:rPr>
                <w:color w:val="auto"/>
                <w:sz w:val="20"/>
                <w:szCs w:val="20"/>
              </w:rPr>
            </w:pPr>
            <w:r>
              <w:rPr>
                <w:color w:val="auto"/>
                <w:sz w:val="20"/>
                <w:szCs w:val="20"/>
              </w:rPr>
              <w:t>符合</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42" w:name="5"/>
            <w:bookmarkEnd w:id="42"/>
            <w:r>
              <w:rPr>
                <w:color w:val="auto"/>
                <w:w w:val="99"/>
                <w:sz w:val="20"/>
                <w:szCs w:val="20"/>
              </w:rPr>
              <w:t>5</w:t>
            </w:r>
          </w:p>
        </w:tc>
        <w:tc>
          <w:tcPr>
            <w:tcW w:w="4687" w:type="dxa"/>
            <w:noWrap w:val="0"/>
            <w:vAlign w:val="center"/>
          </w:tcPr>
          <w:p>
            <w:pPr>
              <w:pStyle w:val="332"/>
              <w:kinsoku w:val="0"/>
              <w:overflowPunct w:val="0"/>
              <w:jc w:val="center"/>
              <w:rPr>
                <w:color w:val="auto"/>
                <w:sz w:val="20"/>
                <w:szCs w:val="20"/>
              </w:rPr>
            </w:pPr>
            <w:bookmarkStart w:id="43" w:name="在禁建区域附近建设的，应设在禁建区域常年主导风向的下风向或侧风向处，场界与禁建区"/>
            <w:bookmarkEnd w:id="43"/>
            <w:r>
              <w:rPr>
                <w:color w:val="auto"/>
                <w:sz w:val="20"/>
                <w:szCs w:val="20"/>
              </w:rPr>
              <w:t>在禁建区域附近建设的，应设在禁建区域常年主导风向的下风向或侧风向处，场界与禁建区域边界的</w:t>
            </w:r>
            <w:r>
              <w:rPr>
                <w:color w:val="auto"/>
                <w:w w:val="99"/>
                <w:sz w:val="20"/>
                <w:szCs w:val="20"/>
              </w:rPr>
              <w:t xml:space="preserve"> </w:t>
            </w:r>
            <w:r>
              <w:rPr>
                <w:color w:val="auto"/>
                <w:sz w:val="20"/>
                <w:szCs w:val="20"/>
              </w:rPr>
              <w:t>最小距离不得小于</w:t>
            </w:r>
            <w:r>
              <w:rPr>
                <w:color w:val="auto"/>
                <w:spacing w:val="-59"/>
                <w:sz w:val="20"/>
                <w:szCs w:val="20"/>
              </w:rPr>
              <w:t xml:space="preserve"> </w:t>
            </w:r>
            <w:r>
              <w:rPr>
                <w:color w:val="auto"/>
                <w:sz w:val="20"/>
                <w:szCs w:val="20"/>
              </w:rPr>
              <w:t>500m</w:t>
            </w:r>
          </w:p>
        </w:tc>
        <w:tc>
          <w:tcPr>
            <w:tcW w:w="2480" w:type="dxa"/>
            <w:noWrap w:val="0"/>
            <w:vAlign w:val="center"/>
          </w:tcPr>
          <w:p>
            <w:pPr>
              <w:pStyle w:val="332"/>
              <w:kinsoku w:val="0"/>
              <w:overflowPunct w:val="0"/>
              <w:ind w:right="139"/>
              <w:jc w:val="center"/>
              <w:rPr>
                <w:color w:val="auto"/>
                <w:sz w:val="20"/>
                <w:szCs w:val="20"/>
              </w:rPr>
            </w:pPr>
            <w:bookmarkStart w:id="44" w:name="本项目500m范围内不存在上述禁建区"/>
            <w:bookmarkEnd w:id="44"/>
            <w:r>
              <w:rPr>
                <w:color w:val="auto"/>
                <w:sz w:val="20"/>
                <w:szCs w:val="20"/>
              </w:rPr>
              <w:t>本项目</w:t>
            </w:r>
            <w:r>
              <w:rPr>
                <w:color w:val="auto"/>
                <w:spacing w:val="-54"/>
                <w:sz w:val="20"/>
                <w:szCs w:val="20"/>
              </w:rPr>
              <w:t xml:space="preserve"> </w:t>
            </w:r>
            <w:r>
              <w:rPr>
                <w:color w:val="auto"/>
                <w:sz w:val="20"/>
                <w:szCs w:val="20"/>
              </w:rPr>
              <w:t>500m范围内不存</w:t>
            </w:r>
            <w:r>
              <w:rPr>
                <w:color w:val="auto"/>
                <w:w w:val="99"/>
                <w:sz w:val="20"/>
                <w:szCs w:val="20"/>
              </w:rPr>
              <w:t xml:space="preserve"> </w:t>
            </w:r>
            <w:r>
              <w:rPr>
                <w:color w:val="auto"/>
                <w:sz w:val="20"/>
                <w:szCs w:val="20"/>
              </w:rPr>
              <w:t>在上述禁建区</w:t>
            </w:r>
          </w:p>
        </w:tc>
        <w:tc>
          <w:tcPr>
            <w:tcW w:w="889" w:type="dxa"/>
            <w:noWrap w:val="0"/>
            <w:vAlign w:val="center"/>
          </w:tcPr>
          <w:p>
            <w:pPr>
              <w:pStyle w:val="332"/>
              <w:kinsoku w:val="0"/>
              <w:overflowPunct w:val="0"/>
              <w:jc w:val="center"/>
              <w:rPr>
                <w:color w:val="auto"/>
                <w:sz w:val="20"/>
                <w:szCs w:val="20"/>
              </w:rPr>
            </w:pPr>
            <w:r>
              <w:rPr>
                <w:color w:val="auto"/>
                <w:sz w:val="20"/>
                <w:szCs w:val="20"/>
              </w:rPr>
              <w:t>符合</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731" w:type="dxa"/>
            <w:noWrap w:val="0"/>
            <w:vAlign w:val="center"/>
          </w:tcPr>
          <w:p>
            <w:pPr>
              <w:pStyle w:val="332"/>
              <w:kinsoku w:val="0"/>
              <w:overflowPunct w:val="0"/>
              <w:ind w:right="1"/>
              <w:jc w:val="center"/>
              <w:rPr>
                <w:color w:val="auto"/>
                <w:sz w:val="20"/>
                <w:szCs w:val="20"/>
              </w:rPr>
            </w:pPr>
            <w:bookmarkStart w:id="45" w:name="6"/>
            <w:bookmarkEnd w:id="45"/>
            <w:r>
              <w:rPr>
                <w:color w:val="auto"/>
                <w:w w:val="99"/>
                <w:sz w:val="20"/>
                <w:szCs w:val="20"/>
              </w:rPr>
              <w:t>6</w:t>
            </w:r>
          </w:p>
        </w:tc>
        <w:tc>
          <w:tcPr>
            <w:tcW w:w="4687" w:type="dxa"/>
            <w:noWrap w:val="0"/>
            <w:vAlign w:val="center"/>
          </w:tcPr>
          <w:p>
            <w:pPr>
              <w:pStyle w:val="332"/>
              <w:kinsoku w:val="0"/>
              <w:overflowPunct w:val="0"/>
              <w:jc w:val="center"/>
              <w:rPr>
                <w:color w:val="auto"/>
                <w:sz w:val="20"/>
                <w:szCs w:val="20"/>
              </w:rPr>
            </w:pPr>
            <w:bookmarkStart w:id="46" w:name="粪便贮存设施的位置必须远离各类功能地表水体（距离不得小于400m），并应设在养殖"/>
            <w:bookmarkEnd w:id="46"/>
            <w:r>
              <w:rPr>
                <w:color w:val="auto"/>
                <w:sz w:val="20"/>
                <w:szCs w:val="20"/>
              </w:rPr>
              <w:t>畜禽粪便贮存设施的位置必须远离各类功能地表水体（距离不得小于</w:t>
            </w:r>
            <w:r>
              <w:rPr>
                <w:color w:val="auto"/>
                <w:spacing w:val="-62"/>
                <w:sz w:val="20"/>
                <w:szCs w:val="20"/>
              </w:rPr>
              <w:t xml:space="preserve"> </w:t>
            </w:r>
            <w:r>
              <w:rPr>
                <w:color w:val="auto"/>
                <w:sz w:val="20"/>
                <w:szCs w:val="20"/>
              </w:rPr>
              <w:t>400m），并应设在养殖场生产及生活管理区的常年主导风向的下风向或侧风向处</w:t>
            </w:r>
          </w:p>
        </w:tc>
        <w:tc>
          <w:tcPr>
            <w:tcW w:w="2480" w:type="dxa"/>
            <w:noWrap w:val="0"/>
            <w:vAlign w:val="center"/>
          </w:tcPr>
          <w:p>
            <w:pPr>
              <w:pStyle w:val="332"/>
              <w:kinsoku w:val="0"/>
              <w:overflowPunct w:val="0"/>
              <w:ind w:right="1"/>
              <w:jc w:val="center"/>
              <w:rPr>
                <w:color w:val="auto"/>
                <w:sz w:val="20"/>
                <w:szCs w:val="20"/>
              </w:rPr>
            </w:pPr>
            <w:bookmarkStart w:id="47" w:name="干粪棚距最近地表水体劳武水库800m＞400m，且位于生活管理区常年主导风向侧风"/>
            <w:bookmarkEnd w:id="47"/>
            <w:r>
              <w:rPr>
                <w:color w:val="auto"/>
                <w:sz w:val="20"/>
                <w:szCs w:val="20"/>
              </w:rPr>
              <w:t>畜禽粪便贮存设施距最近</w:t>
            </w:r>
            <w:r>
              <w:rPr>
                <w:rFonts w:hint="eastAsia"/>
                <w:color w:val="auto"/>
                <w:sz w:val="20"/>
                <w:szCs w:val="20"/>
              </w:rPr>
              <w:t>具水体功能的</w:t>
            </w:r>
            <w:r>
              <w:rPr>
                <w:color w:val="auto"/>
                <w:sz w:val="20"/>
                <w:szCs w:val="20"/>
              </w:rPr>
              <w:t>地表水体</w:t>
            </w:r>
            <w:r>
              <w:rPr>
                <w:rFonts w:hint="eastAsia"/>
                <w:color w:val="auto"/>
                <w:sz w:val="20"/>
                <w:szCs w:val="20"/>
                <w:lang w:val="en-US" w:eastAsia="zh-CN"/>
              </w:rPr>
              <w:t>小于</w:t>
            </w:r>
            <w:r>
              <w:rPr>
                <w:color w:val="auto"/>
                <w:sz w:val="20"/>
                <w:szCs w:val="20"/>
              </w:rPr>
              <w:t>400m，且位于生活管理区常年主导风向侧风向</w:t>
            </w:r>
          </w:p>
        </w:tc>
        <w:tc>
          <w:tcPr>
            <w:tcW w:w="889" w:type="dxa"/>
            <w:noWrap w:val="0"/>
            <w:vAlign w:val="center"/>
          </w:tcPr>
          <w:p>
            <w:pPr>
              <w:pStyle w:val="332"/>
              <w:kinsoku w:val="0"/>
              <w:overflowPunct w:val="0"/>
              <w:jc w:val="center"/>
              <w:rPr>
                <w:color w:val="auto"/>
                <w:sz w:val="20"/>
                <w:szCs w:val="20"/>
              </w:rPr>
            </w:pPr>
            <w:bookmarkStart w:id="48" w:name="符合"/>
            <w:bookmarkEnd w:id="48"/>
            <w:r>
              <w:rPr>
                <w:color w:val="auto"/>
                <w:sz w:val="20"/>
                <w:szCs w:val="20"/>
              </w:rPr>
              <w:t>符合</w:t>
            </w:r>
          </w:p>
        </w:tc>
      </w:tr>
    </w:tbl>
    <w:p>
      <w:pPr>
        <w:pStyle w:val="16"/>
        <w:wordWrap w:val="0"/>
        <w:spacing w:line="440" w:lineRule="exact"/>
        <w:ind w:firstLine="480"/>
        <w:rPr>
          <w:rFonts w:ascii="Times New Roman" w:hAnsi="Times New Roman"/>
          <w:color w:val="auto"/>
        </w:rPr>
      </w:pPr>
      <w:r>
        <w:rPr>
          <w:rFonts w:ascii="Times New Roman" w:hAnsi="Times New Roman"/>
          <w:color w:val="auto"/>
        </w:rPr>
        <w:t>根据表2.</w:t>
      </w:r>
      <w:r>
        <w:rPr>
          <w:rFonts w:hint="eastAsia" w:ascii="Times New Roman" w:hAnsi="Times New Roman"/>
          <w:color w:val="auto"/>
          <w:lang w:val="en-US" w:eastAsia="zh-CN"/>
        </w:rPr>
        <w:t>9</w:t>
      </w:r>
      <w:r>
        <w:rPr>
          <w:rFonts w:ascii="Times New Roman" w:hAnsi="Times New Roman"/>
          <w:color w:val="auto"/>
        </w:rPr>
        <w:t>-</w:t>
      </w:r>
      <w:r>
        <w:rPr>
          <w:rFonts w:hint="eastAsia" w:ascii="Times New Roman" w:hAnsi="Times New Roman"/>
          <w:color w:val="auto"/>
          <w:lang w:val="en-US" w:eastAsia="zh-CN"/>
        </w:rPr>
        <w:t>3</w:t>
      </w:r>
      <w:r>
        <w:rPr>
          <w:rFonts w:ascii="Times New Roman" w:hAnsi="Times New Roman"/>
          <w:color w:val="auto"/>
        </w:rPr>
        <w:t>可知，本项目选址符合《畜禽养殖业污染防治技术规范》（HJ/T81-2001）中相关要求。</w:t>
      </w:r>
    </w:p>
    <w:p>
      <w:pPr>
        <w:pStyle w:val="16"/>
        <w:spacing w:line="440" w:lineRule="exact"/>
        <w:ind w:firstLine="482"/>
        <w:rPr>
          <w:rFonts w:ascii="Times New Roman" w:hAnsi="Times New Roman"/>
          <w:b/>
          <w:color w:val="auto"/>
        </w:rPr>
      </w:pPr>
      <w:r>
        <w:rPr>
          <w:rFonts w:ascii="Times New Roman" w:hAnsi="Times New Roman"/>
          <w:b/>
          <w:color w:val="auto"/>
        </w:rPr>
        <w:t>（2）与《畜禽规模养殖污染防治条例》选址相符性分析</w:t>
      </w:r>
    </w:p>
    <w:p>
      <w:pPr>
        <w:pStyle w:val="16"/>
        <w:spacing w:line="440" w:lineRule="exact"/>
        <w:ind w:firstLine="480"/>
        <w:rPr>
          <w:rFonts w:ascii="Times New Roman" w:hAnsi="Times New Roman"/>
          <w:color w:val="auto"/>
        </w:rPr>
      </w:pPr>
      <w:r>
        <w:rPr>
          <w:rFonts w:ascii="Times New Roman" w:hAnsi="Times New Roman"/>
          <w:color w:val="auto"/>
        </w:rPr>
        <w:t>根据《畜禽规模养殖污染防治条例》（国务院令第643号）的第十一条，禁止在下列区域内建设畜禽养殖场、养殖小区：饮用水水源保护区，风景名胜区；自然保护区的核心区和缓冲区；城镇居民区、文化教育科学研究区等人口集中区域；法律、法规规定的其他禁止养殖区域。</w:t>
      </w:r>
    </w:p>
    <w:p>
      <w:pPr>
        <w:pStyle w:val="16"/>
        <w:spacing w:line="440" w:lineRule="exact"/>
        <w:ind w:firstLine="480"/>
        <w:rPr>
          <w:rFonts w:ascii="Times New Roman" w:hAnsi="Times New Roman"/>
          <w:color w:val="auto"/>
        </w:rPr>
      </w:pPr>
      <w:r>
        <w:rPr>
          <w:rFonts w:ascii="Times New Roman" w:hAnsi="Times New Roman"/>
          <w:color w:val="auto"/>
        </w:rPr>
        <w:t>本项目所在地附近无自然保护区、生活饮用水水源保护区、风景名胜区、城镇居民区、文化教育科学研究区等人口集中区域等敏感地区。故本项目选址符合《畜禽规模养殖污染防治条例》中要求。</w:t>
      </w:r>
    </w:p>
    <w:p>
      <w:pPr>
        <w:pStyle w:val="16"/>
        <w:spacing w:line="440" w:lineRule="exact"/>
        <w:ind w:firstLine="482"/>
        <w:rPr>
          <w:rFonts w:hint="eastAsia" w:ascii="Times New Roman" w:hAnsi="Times New Roman"/>
          <w:b/>
          <w:color w:val="auto"/>
        </w:rPr>
      </w:pPr>
      <w:r>
        <w:rPr>
          <w:rFonts w:ascii="Times New Roman" w:hAnsi="Times New Roman"/>
          <w:b/>
          <w:color w:val="auto"/>
        </w:rPr>
        <w:t>（3）</w:t>
      </w:r>
      <w:r>
        <w:rPr>
          <w:rFonts w:hint="eastAsia" w:ascii="Times New Roman" w:hAnsi="Times New Roman"/>
          <w:b/>
          <w:color w:val="auto"/>
        </w:rPr>
        <w:t>与《</w:t>
      </w:r>
      <w:r>
        <w:rPr>
          <w:rFonts w:hint="eastAsia" w:ascii="Times New Roman" w:hAnsi="Times New Roman"/>
          <w:b/>
          <w:color w:val="auto"/>
          <w:lang w:eastAsia="zh-CN"/>
        </w:rPr>
        <w:t>绵阳市游仙区畜禽养殖禁养区划定方案</w:t>
      </w:r>
      <w:r>
        <w:rPr>
          <w:rFonts w:hint="eastAsia" w:ascii="Times New Roman" w:hAnsi="Times New Roman"/>
          <w:b/>
          <w:color w:val="auto"/>
        </w:rPr>
        <w:t>》的符合性分析</w:t>
      </w:r>
    </w:p>
    <w:p>
      <w:pPr>
        <w:pStyle w:val="16"/>
        <w:spacing w:line="440" w:lineRule="exact"/>
        <w:ind w:firstLine="480"/>
        <w:rPr>
          <w:rFonts w:ascii="Times New Roman" w:hAnsi="Times New Roman"/>
          <w:bCs/>
          <w:color w:val="auto"/>
        </w:rPr>
      </w:pPr>
      <w:r>
        <w:rPr>
          <w:rFonts w:hint="eastAsia" w:ascii="Times New Roman" w:hAnsi="Times New Roman"/>
          <w:bCs/>
          <w:color w:val="auto"/>
        </w:rPr>
        <w:t>根据</w:t>
      </w:r>
      <w:r>
        <w:rPr>
          <w:rFonts w:hint="eastAsia" w:ascii="Times New Roman" w:hAnsi="Times New Roman"/>
          <w:color w:val="auto"/>
        </w:rPr>
        <w:t>绵阳市游仙区人民政府</w:t>
      </w:r>
      <w:r>
        <w:rPr>
          <w:rFonts w:hint="eastAsia" w:ascii="Times New Roman" w:hAnsi="Times New Roman"/>
          <w:bCs/>
          <w:color w:val="auto"/>
        </w:rPr>
        <w:t>关于《印发</w:t>
      </w:r>
      <w:r>
        <w:rPr>
          <w:rFonts w:hint="eastAsia" w:ascii="Times New Roman" w:hAnsi="Times New Roman"/>
          <w:bCs/>
          <w:color w:val="auto"/>
          <w:lang w:eastAsia="zh-CN"/>
        </w:rPr>
        <w:t>绵阳市游仙区畜禽养殖禁养区划定方案</w:t>
      </w:r>
      <w:r>
        <w:rPr>
          <w:rFonts w:hint="eastAsia" w:ascii="Times New Roman" w:hAnsi="Times New Roman"/>
          <w:bCs/>
          <w:color w:val="auto"/>
        </w:rPr>
        <w:t>》的通知，</w:t>
      </w:r>
      <w:r>
        <w:rPr>
          <w:rFonts w:cs="Times New Roman"/>
          <w:color w:val="auto"/>
        </w:rPr>
        <w:t>绵游府发〔2019〕12号文件</w:t>
      </w:r>
      <w:r>
        <w:rPr>
          <w:rFonts w:hint="eastAsia" w:ascii="Times New Roman" w:hAnsi="Times New Roman"/>
          <w:bCs/>
          <w:color w:val="auto"/>
        </w:rPr>
        <w:t>，本项目与其规划方案的符合性分析见下表。</w:t>
      </w:r>
    </w:p>
    <w:p>
      <w:pPr>
        <w:pStyle w:val="166"/>
        <w:spacing w:before="120" w:beforeLines="0"/>
        <w:rPr>
          <w:color w:val="auto"/>
        </w:rPr>
      </w:pPr>
      <w:r>
        <w:rPr>
          <w:color w:val="auto"/>
        </w:rPr>
        <w:t>表2.</w:t>
      </w:r>
      <w:r>
        <w:rPr>
          <w:rFonts w:hint="eastAsia"/>
          <w:color w:val="auto"/>
          <w:lang w:val="en-US" w:eastAsia="zh-CN"/>
        </w:rPr>
        <w:t>9</w:t>
      </w:r>
      <w:r>
        <w:rPr>
          <w:color w:val="auto"/>
        </w:rPr>
        <w:t>-</w:t>
      </w:r>
      <w:r>
        <w:rPr>
          <w:rFonts w:hint="eastAsia"/>
          <w:color w:val="auto"/>
          <w:lang w:val="en-US" w:eastAsia="zh-CN"/>
        </w:rPr>
        <w:t xml:space="preserve">4 </w:t>
      </w:r>
      <w:r>
        <w:rPr>
          <w:color w:val="auto"/>
        </w:rPr>
        <w:t>与《</w:t>
      </w:r>
      <w:r>
        <w:rPr>
          <w:rFonts w:hint="eastAsia"/>
          <w:color w:val="auto"/>
          <w:lang w:eastAsia="zh-CN"/>
        </w:rPr>
        <w:t>绵阳市游仙区畜禽养殖禁养区划定方案</w:t>
      </w:r>
      <w:r>
        <w:rPr>
          <w:color w:val="auto"/>
        </w:rPr>
        <w:t>》符合性分析一览表</w:t>
      </w:r>
    </w:p>
    <w:tbl>
      <w:tblPr>
        <w:tblStyle w:val="5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4925"/>
        <w:gridCol w:w="2589"/>
        <w:gridCol w:w="6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序号</w:t>
            </w:r>
          </w:p>
        </w:tc>
        <w:tc>
          <w:tcPr>
            <w:tcW w:w="2747"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《绵阳市游仙区畜禽养殖禁养区划定方案》</w:t>
            </w:r>
          </w:p>
        </w:tc>
        <w:tc>
          <w:tcPr>
            <w:tcW w:w="144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本项目情况</w:t>
            </w:r>
          </w:p>
        </w:tc>
        <w:tc>
          <w:tcPr>
            <w:tcW w:w="363"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三</w:t>
            </w:r>
          </w:p>
        </w:tc>
        <w:tc>
          <w:tcPr>
            <w:tcW w:w="4560" w:type="pct"/>
            <w:gridSpan w:val="3"/>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划分区域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（一）</w:t>
            </w:r>
          </w:p>
        </w:tc>
        <w:tc>
          <w:tcPr>
            <w:tcW w:w="4560" w:type="pct"/>
            <w:gridSpan w:val="3"/>
            <w:noWrap w:val="0"/>
            <w:vAlign w:val="center"/>
          </w:tcPr>
          <w:p>
            <w:pPr>
              <w:pStyle w:val="306"/>
              <w:spacing w:line="240" w:lineRule="auto"/>
              <w:ind w:firstLine="0" w:firstLineChars="0"/>
              <w:jc w:val="left"/>
              <w:rPr>
                <w:rFonts w:cs="Times New Roman"/>
                <w:b/>
                <w:color w:val="auto"/>
                <w:sz w:val="21"/>
              </w:rPr>
            </w:pPr>
            <w:r>
              <w:rPr>
                <w:rFonts w:cs="Times New Roman"/>
                <w:b/>
                <w:color w:val="auto"/>
                <w:sz w:val="21"/>
              </w:rPr>
              <w:t>畜禽养殖禁养区范围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1</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饮用水水源一级保护区</w:t>
            </w:r>
          </w:p>
        </w:tc>
        <w:tc>
          <w:tcPr>
            <w:tcW w:w="1449" w:type="pct"/>
            <w:vMerge w:val="restar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本项目位于</w:t>
            </w:r>
            <w:r>
              <w:rPr>
                <w:rFonts w:hint="eastAsia" w:cs="Times New Roman"/>
                <w:color w:val="auto"/>
                <w:sz w:val="21"/>
                <w:lang w:eastAsia="zh-CN"/>
              </w:rPr>
              <w:t>游仙区盐泉镇通远村</w:t>
            </w:r>
            <w:r>
              <w:rPr>
                <w:rFonts w:cs="Times New Roman"/>
                <w:color w:val="auto"/>
                <w:sz w:val="21"/>
              </w:rPr>
              <w:t>，对比《绵阳市游仙区畜禽养殖禁、限养区分布图》，本项目不在禁养区内，详见附图</w:t>
            </w:r>
            <w:r>
              <w:rPr>
                <w:rFonts w:hint="eastAsia" w:cs="Times New Roman"/>
                <w:color w:val="auto"/>
                <w:sz w:val="21"/>
              </w:rPr>
              <w:t>10。</w:t>
            </w:r>
          </w:p>
        </w:tc>
        <w:tc>
          <w:tcPr>
            <w:tcW w:w="363" w:type="pct"/>
            <w:vMerge w:val="restar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不在禁养区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2</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饮用水水源一级保护区</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3</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自然保护区</w:t>
            </w:r>
          </w:p>
          <w:p>
            <w:pPr>
              <w:pStyle w:val="306"/>
              <w:spacing w:line="240" w:lineRule="auto"/>
              <w:ind w:firstLine="0" w:firstLineChars="0"/>
              <w:jc w:val="left"/>
              <w:rPr>
                <w:rFonts w:cs="Times New Roman"/>
                <w:color w:val="auto"/>
                <w:sz w:val="21"/>
              </w:rPr>
            </w:pPr>
            <w:r>
              <w:rPr>
                <w:rFonts w:cs="Times New Roman"/>
                <w:color w:val="auto"/>
                <w:sz w:val="21"/>
              </w:rPr>
              <w:t>四川游仙水禽湿地自然保护区核心区和缓冲区（游仙区管辖区域）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4</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风景名胜区</w:t>
            </w:r>
          </w:p>
          <w:p>
            <w:pPr>
              <w:pStyle w:val="306"/>
              <w:spacing w:line="240" w:lineRule="auto"/>
              <w:ind w:firstLine="0" w:firstLineChars="0"/>
              <w:jc w:val="left"/>
              <w:rPr>
                <w:rFonts w:cs="Times New Roman"/>
                <w:color w:val="auto"/>
                <w:sz w:val="21"/>
              </w:rPr>
            </w:pPr>
            <w:r>
              <w:rPr>
                <w:rFonts w:cs="Times New Roman"/>
                <w:color w:val="auto"/>
                <w:sz w:val="21"/>
              </w:rPr>
              <w:t>剑门蜀道风景名胜区和富乐山风景名胜区</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5</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城镇居民区和文化教育科学研究区</w:t>
            </w:r>
          </w:p>
          <w:p>
            <w:pPr>
              <w:pStyle w:val="306"/>
              <w:spacing w:line="240" w:lineRule="auto"/>
              <w:ind w:firstLine="0" w:firstLineChars="0"/>
              <w:jc w:val="left"/>
              <w:rPr>
                <w:rFonts w:cs="Times New Roman"/>
                <w:color w:val="auto"/>
                <w:sz w:val="21"/>
              </w:rPr>
            </w:pPr>
            <w:r>
              <w:rPr>
                <w:rFonts w:cs="Times New Roman"/>
                <w:color w:val="auto"/>
                <w:sz w:val="21"/>
              </w:rPr>
              <w:t>5.1 城镇居民区涪江街道、富乐街道、游仙经济试验区、游仙高新区及各乡镇的城镇居民区等人口集中区域。</w:t>
            </w:r>
          </w:p>
          <w:p>
            <w:pPr>
              <w:pStyle w:val="306"/>
              <w:spacing w:line="240" w:lineRule="auto"/>
              <w:ind w:firstLine="0" w:firstLineChars="0"/>
              <w:jc w:val="left"/>
              <w:rPr>
                <w:rFonts w:cs="Times New Roman"/>
                <w:color w:val="auto"/>
                <w:sz w:val="21"/>
              </w:rPr>
            </w:pPr>
            <w:r>
              <w:rPr>
                <w:rFonts w:cs="Times New Roman"/>
                <w:color w:val="auto"/>
                <w:sz w:val="21"/>
              </w:rPr>
              <w:t>5.2 文化教育科研区：学校、医院、科研院所等区域。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6</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法律法规规定的其他禁止建设养殖场的区域。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（二）</w:t>
            </w:r>
          </w:p>
        </w:tc>
        <w:tc>
          <w:tcPr>
            <w:tcW w:w="4560" w:type="pct"/>
            <w:gridSpan w:val="3"/>
            <w:noWrap w:val="0"/>
            <w:vAlign w:val="center"/>
          </w:tcPr>
          <w:p>
            <w:pPr>
              <w:pStyle w:val="306"/>
              <w:spacing w:line="240" w:lineRule="auto"/>
              <w:ind w:firstLine="0" w:firstLineChars="0"/>
              <w:jc w:val="left"/>
              <w:rPr>
                <w:rFonts w:cs="Times New Roman"/>
                <w:color w:val="auto"/>
                <w:sz w:val="21"/>
              </w:rPr>
            </w:pPr>
            <w:r>
              <w:rPr>
                <w:rFonts w:cs="Times New Roman"/>
                <w:b/>
                <w:color w:val="auto"/>
                <w:sz w:val="21"/>
              </w:rPr>
              <w:t>畜禽养殖限养区范围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1</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城镇居民区外延500米以内的区域。</w:t>
            </w:r>
          </w:p>
        </w:tc>
        <w:tc>
          <w:tcPr>
            <w:tcW w:w="1449" w:type="pct"/>
            <w:vMerge w:val="restar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对比《绵阳市游仙区畜禽养殖禁、限养区分布图》，本项目位于限养区内</w:t>
            </w:r>
          </w:p>
        </w:tc>
        <w:tc>
          <w:tcPr>
            <w:tcW w:w="363" w:type="pct"/>
            <w:vMerge w:val="restart"/>
            <w:noWrap w:val="0"/>
            <w:vAlign w:val="center"/>
          </w:tcPr>
          <w:p>
            <w:pPr>
              <w:pStyle w:val="306"/>
              <w:spacing w:line="240" w:lineRule="auto"/>
              <w:ind w:firstLine="0" w:firstLineChars="0"/>
              <w:jc w:val="center"/>
              <w:rPr>
                <w:rFonts w:cs="Times New Roman"/>
                <w:color w:val="auto"/>
                <w:sz w:val="21"/>
              </w:rPr>
            </w:pPr>
            <w:r>
              <w:rPr>
                <w:rFonts w:hint="eastAsia"/>
                <w:color w:val="auto"/>
                <w:sz w:val="21"/>
                <w:szCs w:val="21"/>
                <w:vertAlign w:val="baseline"/>
                <w:lang w:val="en-US" w:eastAsia="zh-CN"/>
              </w:rPr>
              <w:t>不在限养区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2</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公路、铁路等主要交通干线两侧500米以内的区域。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3</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城镇居民区和学校、医院等公共场所设定的禁养区外延500米以内的区域。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4</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自然保护区、风景名胜区等区域设定的禁养区外延500米以内的区域。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5</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重要河流岸带。涪江、芙蓉溪、魏刘河沿河离岸1000米以内的区域。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6</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根据城镇发展规划和区域污染物排放总量控制要求，应当限制养殖的区域。</w:t>
            </w:r>
          </w:p>
        </w:tc>
        <w:tc>
          <w:tcPr>
            <w:tcW w:w="1449" w:type="pct"/>
            <w:vMerge w:val="continue"/>
            <w:noWrap w:val="0"/>
            <w:vAlign w:val="center"/>
          </w:tcPr>
          <w:p>
            <w:pPr>
              <w:pStyle w:val="306"/>
              <w:spacing w:line="240" w:lineRule="auto"/>
              <w:ind w:firstLine="0" w:firstLineChars="0"/>
              <w:jc w:val="left"/>
              <w:rPr>
                <w:rFonts w:cs="Times New Roman"/>
                <w:color w:val="auto"/>
                <w:sz w:val="21"/>
              </w:rPr>
            </w:pPr>
          </w:p>
        </w:tc>
        <w:tc>
          <w:tcPr>
            <w:tcW w:w="363" w:type="pct"/>
            <w:vMerge w:val="continue"/>
            <w:noWrap w:val="0"/>
            <w:vAlign w:val="center"/>
          </w:tcPr>
          <w:p>
            <w:pPr>
              <w:pStyle w:val="306"/>
              <w:spacing w:line="240" w:lineRule="auto"/>
              <w:ind w:firstLine="0" w:firstLineChars="0"/>
              <w:jc w:val="center"/>
              <w:rPr>
                <w:rFonts w:cs="Times New Roman"/>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四</w:t>
            </w:r>
          </w:p>
        </w:tc>
        <w:tc>
          <w:tcPr>
            <w:tcW w:w="4560" w:type="pct"/>
            <w:gridSpan w:val="3"/>
            <w:noWrap w:val="0"/>
            <w:vAlign w:val="center"/>
          </w:tcPr>
          <w:p>
            <w:pPr>
              <w:pStyle w:val="306"/>
              <w:spacing w:line="240" w:lineRule="auto"/>
              <w:ind w:firstLine="0" w:firstLineChars="0"/>
              <w:jc w:val="center"/>
              <w:rPr>
                <w:rFonts w:cs="Times New Roman"/>
                <w:color w:val="auto"/>
                <w:sz w:val="21"/>
              </w:rPr>
            </w:pPr>
            <w:r>
              <w:rPr>
                <w:rFonts w:cs="Times New Roman"/>
                <w:b/>
                <w:color w:val="auto"/>
                <w:sz w:val="21"/>
              </w:rPr>
              <w:t>畜禽养殖区分类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（一）</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禁养区：禁止新建各类畜禽养殖场</w:t>
            </w:r>
          </w:p>
        </w:tc>
        <w:tc>
          <w:tcPr>
            <w:tcW w:w="1449"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本项目</w:t>
            </w:r>
            <w:r>
              <w:rPr>
                <w:rFonts w:hint="eastAsia" w:cs="Times New Roman"/>
                <w:color w:val="auto"/>
                <w:sz w:val="21"/>
              </w:rPr>
              <w:t>不在</w:t>
            </w:r>
            <w:r>
              <w:rPr>
                <w:rFonts w:cs="Times New Roman"/>
                <w:color w:val="auto"/>
                <w:sz w:val="21"/>
              </w:rPr>
              <w:t>禁养区</w:t>
            </w:r>
          </w:p>
        </w:tc>
        <w:tc>
          <w:tcPr>
            <w:tcW w:w="363"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（二）</w:t>
            </w:r>
          </w:p>
        </w:tc>
        <w:tc>
          <w:tcPr>
            <w:tcW w:w="2747" w:type="pct"/>
            <w:noWrap w:val="0"/>
            <w:vAlign w:val="center"/>
          </w:tcPr>
          <w:p>
            <w:pPr>
              <w:pStyle w:val="306"/>
              <w:spacing w:line="240" w:lineRule="auto"/>
              <w:ind w:firstLine="0" w:firstLineChars="0"/>
              <w:jc w:val="left"/>
              <w:rPr>
                <w:rFonts w:cs="Times New Roman"/>
                <w:color w:val="auto"/>
                <w:sz w:val="21"/>
              </w:rPr>
            </w:pPr>
            <w:r>
              <w:rPr>
                <w:rFonts w:hint="eastAsia"/>
                <w:color w:val="auto"/>
                <w:sz w:val="21"/>
                <w:szCs w:val="21"/>
                <w:vertAlign w:val="baseline"/>
                <w:lang w:val="en-US" w:eastAsia="zh-CN"/>
              </w:rPr>
              <w:t>限养区：严格控制畜禽养殖总量和规模，达到种养平衡，实现粪污全量资源化，不得向外排放。</w:t>
            </w:r>
          </w:p>
        </w:tc>
        <w:tc>
          <w:tcPr>
            <w:tcW w:w="1449" w:type="pct"/>
            <w:noWrap w:val="0"/>
            <w:vAlign w:val="center"/>
          </w:tcPr>
          <w:p>
            <w:pPr>
              <w:pStyle w:val="306"/>
              <w:spacing w:line="240" w:lineRule="auto"/>
              <w:ind w:firstLine="0" w:firstLineChars="0"/>
              <w:rPr>
                <w:rFonts w:cs="Times New Roman"/>
                <w:color w:val="auto"/>
                <w:sz w:val="21"/>
              </w:rPr>
            </w:pPr>
            <w:r>
              <w:rPr>
                <w:rFonts w:hint="eastAsia"/>
                <w:color w:val="auto"/>
                <w:sz w:val="21"/>
                <w:szCs w:val="21"/>
                <w:vertAlign w:val="baseline"/>
                <w:lang w:val="en-US" w:eastAsia="zh-CN"/>
              </w:rPr>
              <w:t>本项目不在限养区</w:t>
            </w:r>
          </w:p>
        </w:tc>
        <w:tc>
          <w:tcPr>
            <w:tcW w:w="363" w:type="pct"/>
            <w:noWrap w:val="0"/>
            <w:vAlign w:val="center"/>
          </w:tcPr>
          <w:p>
            <w:pPr>
              <w:pStyle w:val="306"/>
              <w:spacing w:line="240" w:lineRule="auto"/>
              <w:ind w:firstLine="0" w:firstLineChars="0"/>
              <w:jc w:val="center"/>
              <w:rPr>
                <w:rFonts w:hint="eastAsia" w:eastAsia="宋体" w:cs="Times New Roman"/>
                <w:color w:val="auto"/>
                <w:sz w:val="21"/>
                <w:lang w:eastAsia="zh-CN"/>
              </w:rPr>
            </w:pPr>
            <w:r>
              <w:rPr>
                <w:rFonts w:hint="eastAsia" w:cs="Times New Roman"/>
                <w:color w:val="auto"/>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b/>
                <w:color w:val="auto"/>
                <w:sz w:val="21"/>
              </w:rPr>
            </w:pPr>
            <w:r>
              <w:rPr>
                <w:rFonts w:cs="Times New Roman"/>
                <w:b/>
                <w:color w:val="auto"/>
                <w:sz w:val="21"/>
              </w:rPr>
              <w:t>五</w:t>
            </w:r>
          </w:p>
        </w:tc>
        <w:tc>
          <w:tcPr>
            <w:tcW w:w="4560" w:type="pct"/>
            <w:gridSpan w:val="3"/>
            <w:noWrap w:val="0"/>
            <w:vAlign w:val="center"/>
          </w:tcPr>
          <w:p>
            <w:pPr>
              <w:pStyle w:val="306"/>
              <w:spacing w:line="240" w:lineRule="auto"/>
              <w:ind w:firstLine="0" w:firstLineChars="0"/>
              <w:jc w:val="center"/>
              <w:rPr>
                <w:rFonts w:cs="Times New Roman"/>
                <w:color w:val="auto"/>
                <w:sz w:val="21"/>
              </w:rPr>
            </w:pPr>
            <w:r>
              <w:rPr>
                <w:rFonts w:cs="Times New Roman"/>
                <w:b/>
                <w:color w:val="auto"/>
                <w:sz w:val="21"/>
              </w:rPr>
              <w:t>工作要求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（一）</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禁养区监管。</w:t>
            </w:r>
          </w:p>
        </w:tc>
        <w:tc>
          <w:tcPr>
            <w:tcW w:w="2588" w:type="dxa"/>
            <w:noWrap w:val="0"/>
            <w:vAlign w:val="center"/>
          </w:tcPr>
          <w:p>
            <w:pPr>
              <w:pStyle w:val="306"/>
              <w:spacing w:line="240" w:lineRule="auto"/>
              <w:ind w:left="0" w:leftChars="0" w:firstLine="0" w:firstLineChars="0"/>
              <w:jc w:val="left"/>
              <w:rPr>
                <w:rFonts w:cs="Times New Roman"/>
                <w:color w:val="auto"/>
                <w:sz w:val="21"/>
              </w:rPr>
            </w:pPr>
            <w:r>
              <w:rPr>
                <w:rFonts w:cs="Times New Roman"/>
                <w:color w:val="auto"/>
                <w:sz w:val="21"/>
              </w:rPr>
              <w:t>本项目</w:t>
            </w:r>
            <w:r>
              <w:rPr>
                <w:rFonts w:hint="eastAsia" w:cs="Times New Roman"/>
                <w:color w:val="auto"/>
                <w:sz w:val="21"/>
              </w:rPr>
              <w:t>不在</w:t>
            </w:r>
            <w:r>
              <w:rPr>
                <w:rFonts w:cs="Times New Roman"/>
                <w:color w:val="auto"/>
                <w:sz w:val="21"/>
              </w:rPr>
              <w:t>禁养区</w:t>
            </w:r>
          </w:p>
        </w:tc>
        <w:tc>
          <w:tcPr>
            <w:tcW w:w="363"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pPr>
              <w:pStyle w:val="306"/>
              <w:spacing w:line="240" w:lineRule="auto"/>
              <w:ind w:firstLine="0" w:firstLineChars="0"/>
              <w:jc w:val="center"/>
              <w:rPr>
                <w:rFonts w:cs="Times New Roman"/>
                <w:color w:val="auto"/>
                <w:sz w:val="21"/>
              </w:rPr>
            </w:pPr>
            <w:r>
              <w:rPr>
                <w:rFonts w:cs="Times New Roman"/>
                <w:color w:val="auto"/>
                <w:sz w:val="21"/>
              </w:rPr>
              <w:t>（二）</w:t>
            </w:r>
          </w:p>
        </w:tc>
        <w:tc>
          <w:tcPr>
            <w:tcW w:w="2747" w:type="pct"/>
            <w:noWrap w:val="0"/>
            <w:vAlign w:val="center"/>
          </w:tcPr>
          <w:p>
            <w:pPr>
              <w:pStyle w:val="306"/>
              <w:spacing w:line="240" w:lineRule="auto"/>
              <w:ind w:firstLine="0" w:firstLineChars="0"/>
              <w:jc w:val="left"/>
              <w:rPr>
                <w:rFonts w:cs="Times New Roman"/>
                <w:color w:val="auto"/>
                <w:sz w:val="21"/>
              </w:rPr>
            </w:pPr>
            <w:r>
              <w:rPr>
                <w:rFonts w:cs="Times New Roman"/>
                <w:color w:val="auto"/>
                <w:sz w:val="21"/>
              </w:rPr>
              <w:t>限养区治理。强化治污能力建设。坚持“谁污染、谁治理”的原则，开展限养区养殖场（小区）治理。推广以地定养、种养结合等循环利用模式，实现畜禽养殖粪污的资源化利用。限养区域所有养殖场（小区）必须做到粪污干湿分离、雨污分离，建有完善的粪便、养殖废水等粪污处理设施设备以及病死畜禽无害化处理暂存等设施设备，采取粪污生物消纳（有机肥生产）等综合利用配套措施。</w:t>
            </w:r>
          </w:p>
        </w:tc>
        <w:tc>
          <w:tcPr>
            <w:tcW w:w="2588" w:type="dxa"/>
            <w:noWrap w:val="0"/>
            <w:vAlign w:val="center"/>
          </w:tcPr>
          <w:p>
            <w:pPr>
              <w:pStyle w:val="306"/>
              <w:spacing w:line="240" w:lineRule="auto"/>
              <w:ind w:left="0" w:leftChars="0" w:firstLine="0" w:firstLineChars="0"/>
              <w:rPr>
                <w:rFonts w:cs="Times New Roman"/>
                <w:color w:val="auto"/>
                <w:sz w:val="21"/>
              </w:rPr>
            </w:pPr>
            <w:r>
              <w:rPr>
                <w:rFonts w:hint="eastAsia"/>
                <w:color w:val="auto"/>
                <w:sz w:val="21"/>
                <w:szCs w:val="21"/>
                <w:vertAlign w:val="baseline"/>
                <w:lang w:val="en-US" w:eastAsia="zh-CN"/>
              </w:rPr>
              <w:t>本项目不在限养区</w:t>
            </w:r>
          </w:p>
        </w:tc>
        <w:tc>
          <w:tcPr>
            <w:tcW w:w="363" w:type="pct"/>
            <w:noWrap w:val="0"/>
            <w:vAlign w:val="center"/>
          </w:tcPr>
          <w:p>
            <w:pPr>
              <w:pStyle w:val="306"/>
              <w:spacing w:line="240" w:lineRule="auto"/>
              <w:ind w:firstLine="0" w:firstLineChars="0"/>
              <w:jc w:val="center"/>
              <w:rPr>
                <w:rFonts w:hint="eastAsia" w:eastAsia="宋体" w:cs="Times New Roman"/>
                <w:color w:val="auto"/>
                <w:sz w:val="21"/>
                <w:lang w:eastAsia="zh-CN"/>
              </w:rPr>
            </w:pPr>
            <w:r>
              <w:rPr>
                <w:rFonts w:hint="eastAsia" w:cs="Times New Roman"/>
                <w:color w:val="auto"/>
                <w:sz w:val="21"/>
                <w:lang w:val="en-US" w:eastAsia="zh-CN"/>
              </w:rPr>
              <w:t>/</w:t>
            </w:r>
          </w:p>
        </w:tc>
      </w:tr>
    </w:tbl>
    <w:p>
      <w:pPr>
        <w:pStyle w:val="265"/>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9"/>
        <w:rPr>
          <w:rFonts w:hint="eastAsia"/>
          <w:color w:val="auto"/>
          <w:lang w:val="en-US" w:eastAsia="zh-CN"/>
        </w:rPr>
      </w:pPr>
      <w:bookmarkStart w:id="49" w:name="_Toc498610071"/>
      <w:r>
        <w:rPr>
          <w:rFonts w:hint="eastAsia"/>
          <w:color w:val="auto"/>
          <w:lang w:val="en-US" w:eastAsia="zh-CN"/>
        </w:rPr>
        <w:t>由上表可知，本项目不在《绵阳市游仙区畜禽养殖禁养区划定方案》中的禁养区及限养区范围内，并且项目采用种养结合的循环利用模式，实现场内粪污的资源化利用。因此，本项目符合绵阳市游仙区养殖规划。</w:t>
      </w:r>
    </w:p>
    <w:p>
      <w:pPr>
        <w:pStyle w:val="7"/>
        <w:rPr>
          <w:rFonts w:eastAsia="黑体"/>
          <w:color w:val="auto"/>
          <w:sz w:val="32"/>
        </w:rPr>
      </w:pPr>
      <w:bookmarkStart w:id="50" w:name="_Toc6985"/>
      <w:r>
        <w:rPr>
          <w:rFonts w:eastAsia="黑体"/>
          <w:color w:val="auto"/>
          <w:sz w:val="32"/>
        </w:rPr>
        <w:t>环境功能区划与环境保护目标</w:t>
      </w:r>
      <w:bookmarkEnd w:id="49"/>
      <w:bookmarkEnd w:id="50"/>
    </w:p>
    <w:p>
      <w:pPr>
        <w:pStyle w:val="8"/>
        <w:tabs>
          <w:tab w:val="clear" w:pos="0"/>
        </w:tabs>
        <w:rPr>
          <w:color w:val="auto"/>
        </w:rPr>
      </w:pPr>
      <w:r>
        <w:rPr>
          <w:rFonts w:eastAsia="黑体"/>
          <w:color w:val="auto"/>
          <w:sz w:val="28"/>
          <w:szCs w:val="28"/>
        </w:rPr>
        <w:t>环境功能区划</w:t>
      </w:r>
    </w:p>
    <w:p>
      <w:pPr>
        <w:pStyle w:val="9"/>
        <w:spacing w:before="120" w:beforeLines="50"/>
        <w:rPr>
          <w:color w:val="auto"/>
        </w:rPr>
      </w:pPr>
      <w:r>
        <w:rPr>
          <w:color w:val="auto"/>
        </w:rPr>
        <w:t>大气环境功能区</w:t>
      </w:r>
    </w:p>
    <w:p>
      <w:pPr>
        <w:pStyle w:val="16"/>
        <w:spacing w:line="360" w:lineRule="auto"/>
        <w:ind w:firstLine="480"/>
        <w:rPr>
          <w:rFonts w:ascii="Times New Roman" w:hAnsi="Times New Roman"/>
          <w:color w:val="auto"/>
        </w:rPr>
      </w:pPr>
      <w:r>
        <w:rPr>
          <w:rFonts w:ascii="Times New Roman" w:hAnsi="Times New Roman"/>
          <w:color w:val="auto"/>
        </w:rPr>
        <w:t>本项目所在地属于典型的农村环境，根据《环境空气质量标准》（GB3095-2012）中环境空气质量功能区分类，属于《环境空气质量标准》（GB3095-2012）中的二类区。</w:t>
      </w:r>
    </w:p>
    <w:p>
      <w:pPr>
        <w:pStyle w:val="9"/>
        <w:spacing w:before="120" w:beforeLines="50"/>
        <w:rPr>
          <w:color w:val="auto"/>
        </w:rPr>
      </w:pPr>
      <w:bookmarkStart w:id="51" w:name="2.8.2地表水环境功能区"/>
      <w:bookmarkEnd w:id="51"/>
      <w:bookmarkStart w:id="52" w:name="bookmark31"/>
      <w:bookmarkEnd w:id="52"/>
      <w:r>
        <w:rPr>
          <w:color w:val="auto"/>
        </w:rPr>
        <w:t>地表水环境功能区</w:t>
      </w:r>
    </w:p>
    <w:p>
      <w:pPr>
        <w:pStyle w:val="16"/>
        <w:spacing w:line="360" w:lineRule="auto"/>
        <w:ind w:firstLine="480"/>
        <w:rPr>
          <w:rFonts w:ascii="Times New Roman" w:hAnsi="Times New Roman"/>
          <w:color w:val="auto"/>
        </w:rPr>
      </w:pPr>
      <w:r>
        <w:rPr>
          <w:rFonts w:ascii="Times New Roman" w:hAnsi="Times New Roman"/>
          <w:color w:val="auto"/>
        </w:rPr>
        <w:t>根据现场踏勘，项目</w:t>
      </w:r>
      <w:r>
        <w:rPr>
          <w:rFonts w:hint="eastAsia" w:ascii="Times New Roman" w:hAnsi="Times New Roman"/>
          <w:color w:val="auto"/>
          <w:lang w:val="en-US" w:eastAsia="zh-CN"/>
        </w:rPr>
        <w:t>东</w:t>
      </w:r>
      <w:r>
        <w:rPr>
          <w:rFonts w:ascii="Times New Roman" w:hAnsi="Times New Roman"/>
          <w:color w:val="auto"/>
        </w:rPr>
        <w:t>侧约</w:t>
      </w:r>
      <w:r>
        <w:rPr>
          <w:rFonts w:hint="eastAsia" w:ascii="Times New Roman" w:hAnsi="Times New Roman"/>
          <w:color w:val="auto"/>
          <w:lang w:val="en-US" w:eastAsia="zh-CN"/>
        </w:rPr>
        <w:t>2.8k</w:t>
      </w:r>
      <w:r>
        <w:rPr>
          <w:rFonts w:hint="eastAsia" w:ascii="Times New Roman" w:hAnsi="Times New Roman"/>
          <w:color w:val="auto"/>
        </w:rPr>
        <w:t>m</w:t>
      </w:r>
      <w:r>
        <w:rPr>
          <w:rFonts w:hint="eastAsia" w:ascii="Times New Roman" w:hAnsi="Times New Roman"/>
          <w:color w:val="auto"/>
          <w:lang w:val="en-US" w:eastAsia="zh-CN"/>
        </w:rPr>
        <w:t>庙儿湾水库、8.1k</w:t>
      </w:r>
      <w:r>
        <w:rPr>
          <w:rFonts w:ascii="Times New Roman" w:hAnsi="Times New Roman"/>
          <w:color w:val="auto"/>
        </w:rPr>
        <w:t>m为</w:t>
      </w:r>
      <w:r>
        <w:rPr>
          <w:rFonts w:hint="eastAsia" w:ascii="Times New Roman" w:hAnsi="Times New Roman"/>
          <w:color w:val="auto"/>
          <w:lang w:val="en-US" w:eastAsia="zh-CN"/>
        </w:rPr>
        <w:t>魏城河</w:t>
      </w:r>
      <w:r>
        <w:rPr>
          <w:rFonts w:ascii="Times New Roman" w:hAnsi="Times New Roman"/>
          <w:color w:val="auto"/>
        </w:rPr>
        <w:t>，其主要水体功能为排洪、灌溉，水域功能为《地表水环境质量标准》（GB3838-2002）中的Ⅲ类标准水域。</w:t>
      </w:r>
    </w:p>
    <w:p>
      <w:pPr>
        <w:pStyle w:val="9"/>
        <w:spacing w:before="120" w:beforeLines="50"/>
        <w:rPr>
          <w:color w:val="auto"/>
        </w:rPr>
      </w:pPr>
      <w:r>
        <w:rPr>
          <w:rFonts w:hint="eastAsia"/>
          <w:color w:val="auto"/>
        </w:rPr>
        <w:t>地下水环境功能区</w:t>
      </w:r>
    </w:p>
    <w:p>
      <w:pPr>
        <w:pStyle w:val="16"/>
        <w:spacing w:line="360" w:lineRule="auto"/>
        <w:ind w:firstLine="480"/>
        <w:rPr>
          <w:rFonts w:ascii="Times New Roman" w:hAnsi="Times New Roman"/>
          <w:color w:val="auto"/>
        </w:rPr>
      </w:pPr>
      <w:r>
        <w:rPr>
          <w:rFonts w:hint="eastAsia" w:ascii="Times New Roman" w:hAnsi="Times New Roman"/>
          <w:color w:val="auto"/>
        </w:rPr>
        <w:t>项目范围内尚未进行地下水环境功能区划，根据《生活饮用水卫生标准》（GB5749-2006）的要求，以人体健康基准值为依据，所在区域地下水按《地下水质量标准》（GB/T14848-2017）Ⅲ类水质要求执行。</w:t>
      </w:r>
    </w:p>
    <w:p>
      <w:pPr>
        <w:pStyle w:val="9"/>
        <w:spacing w:before="120" w:beforeLines="50"/>
        <w:rPr>
          <w:color w:val="auto"/>
        </w:rPr>
      </w:pPr>
      <w:bookmarkStart w:id="53" w:name="bookmark32"/>
      <w:bookmarkEnd w:id="53"/>
      <w:bookmarkStart w:id="54" w:name="2.8.3声环境功能区"/>
      <w:bookmarkEnd w:id="54"/>
      <w:r>
        <w:rPr>
          <w:color w:val="auto"/>
        </w:rPr>
        <w:t>声环境功能区</w:t>
      </w:r>
    </w:p>
    <w:p>
      <w:pPr>
        <w:pStyle w:val="16"/>
        <w:spacing w:line="360" w:lineRule="auto"/>
        <w:ind w:firstLine="480"/>
        <w:rPr>
          <w:rFonts w:ascii="Times New Roman" w:hAnsi="Times New Roman"/>
          <w:color w:val="auto"/>
        </w:rPr>
      </w:pPr>
      <w:r>
        <w:rPr>
          <w:rFonts w:ascii="Times New Roman" w:hAnsi="Times New Roman"/>
          <w:color w:val="auto"/>
        </w:rPr>
        <w:t>根据《声环境质量标准》（GB3096-2008）中对噪声区域的划分，本项目养殖场为2类声环境功能区，执行2类环境噪声限值。</w:t>
      </w:r>
    </w:p>
    <w:p>
      <w:pPr>
        <w:pStyle w:val="9"/>
        <w:spacing w:before="120" w:beforeLines="50"/>
        <w:rPr>
          <w:color w:val="auto"/>
        </w:rPr>
      </w:pPr>
      <w:r>
        <w:rPr>
          <w:rFonts w:hint="eastAsia"/>
          <w:color w:val="auto"/>
        </w:rPr>
        <w:t>生态</w:t>
      </w:r>
      <w:r>
        <w:rPr>
          <w:color w:val="auto"/>
        </w:rPr>
        <w:t>环境功能区</w:t>
      </w:r>
    </w:p>
    <w:p>
      <w:pPr>
        <w:pStyle w:val="16"/>
        <w:spacing w:line="360" w:lineRule="auto"/>
        <w:ind w:firstLine="480"/>
        <w:rPr>
          <w:rFonts w:ascii="Times New Roman" w:hAnsi="Times New Roman"/>
          <w:color w:val="auto"/>
          <w:szCs w:val="24"/>
        </w:rPr>
      </w:pPr>
      <w:r>
        <w:rPr>
          <w:rFonts w:hint="eastAsia" w:ascii="Times New Roman" w:hAnsi="Times New Roman"/>
          <w:color w:val="auto"/>
          <w:szCs w:val="24"/>
        </w:rPr>
        <w:t>根据《全国生态功能区划（修编版）》（环境保护部、中国科学院公告2015年第 61号，2015年11月），项目位于四川盆地农产品提供功能区（II-01-30），不属于重要生态功能区。</w:t>
      </w:r>
    </w:p>
    <w:p>
      <w:pPr>
        <w:pStyle w:val="16"/>
        <w:spacing w:line="360" w:lineRule="auto"/>
        <w:ind w:firstLine="480"/>
        <w:rPr>
          <w:rFonts w:hint="eastAsia" w:ascii="Times New Roman" w:hAnsi="Times New Roman"/>
          <w:b/>
          <w:bCs/>
          <w:color w:val="auto"/>
          <w:sz w:val="21"/>
          <w:szCs w:val="21"/>
        </w:rPr>
      </w:pPr>
      <w:r>
        <w:rPr>
          <w:rFonts w:hint="eastAsia" w:ascii="Times New Roman" w:hAnsi="Times New Roman"/>
          <w:color w:val="auto"/>
          <w:szCs w:val="24"/>
        </w:rPr>
        <w:t>依据《四川省生态功能区划》</w:t>
      </w:r>
      <w:r>
        <w:rPr>
          <w:rFonts w:hint="eastAsia" w:ascii="宋体" w:hAnsi="宋体"/>
          <w:color w:val="auto"/>
          <w:szCs w:val="24"/>
        </w:rPr>
        <w:t>(</w:t>
      </w:r>
      <w:r>
        <w:rPr>
          <w:rFonts w:hint="eastAsia" w:ascii="Times New Roman" w:hAnsi="Times New Roman"/>
          <w:color w:val="auto"/>
          <w:szCs w:val="24"/>
        </w:rPr>
        <w:t>川府函[2006]100号，2006年5月31日</w:t>
      </w:r>
      <w:r>
        <w:rPr>
          <w:rFonts w:hint="eastAsia" w:ascii="宋体" w:hAnsi="宋体"/>
          <w:color w:val="auto"/>
          <w:szCs w:val="24"/>
        </w:rPr>
        <w:t>)</w:t>
      </w:r>
      <w:r>
        <w:rPr>
          <w:rFonts w:hint="eastAsia" w:ascii="Times New Roman" w:hAnsi="Times New Roman"/>
          <w:color w:val="auto"/>
          <w:szCs w:val="24"/>
        </w:rPr>
        <w:t>，项目建设地位于四川盆地亚热带湿润气候生态区（Ⅰ）中的盆中丘陵农林复合生态亚区（Ⅰ-</w:t>
      </w:r>
      <w:r>
        <w:rPr>
          <w:rFonts w:ascii="Times New Roman" w:hAnsi="Times New Roman"/>
          <w:color w:val="auto"/>
          <w:szCs w:val="24"/>
        </w:rPr>
        <w:t>2</w:t>
      </w:r>
      <w:r>
        <w:rPr>
          <w:rFonts w:hint="eastAsia" w:ascii="Times New Roman" w:hAnsi="Times New Roman"/>
          <w:color w:val="auto"/>
          <w:szCs w:val="24"/>
        </w:rPr>
        <w:t>）中的涪江中下游农业生态功能区（Ⅰ-</w:t>
      </w:r>
      <w:r>
        <w:rPr>
          <w:rFonts w:ascii="Times New Roman" w:hAnsi="Times New Roman"/>
          <w:color w:val="auto"/>
          <w:szCs w:val="24"/>
        </w:rPr>
        <w:t>2-4</w:t>
      </w:r>
      <w:r>
        <w:rPr>
          <w:rFonts w:hint="eastAsia" w:ascii="Times New Roman" w:hAnsi="Times New Roman"/>
          <w:color w:val="auto"/>
          <w:szCs w:val="24"/>
        </w:rPr>
        <w:t>）。项目区不属于特殊生态敏感区和重要生态敏感区，为一般区域。</w:t>
      </w:r>
    </w:p>
    <w:p>
      <w:pPr>
        <w:pStyle w:val="8"/>
        <w:tabs>
          <w:tab w:val="clear" w:pos="0"/>
        </w:tabs>
        <w:rPr>
          <w:rFonts w:eastAsia="黑体"/>
          <w:color w:val="auto"/>
          <w:sz w:val="28"/>
          <w:szCs w:val="28"/>
        </w:rPr>
      </w:pPr>
      <w:r>
        <w:rPr>
          <w:rFonts w:eastAsia="黑体"/>
          <w:color w:val="auto"/>
          <w:sz w:val="28"/>
          <w:szCs w:val="28"/>
        </w:rPr>
        <w:t>环境保护目标</w:t>
      </w:r>
    </w:p>
    <w:p>
      <w:pPr>
        <w:ind w:firstLine="480"/>
        <w:rPr>
          <w:color w:val="auto"/>
        </w:rPr>
      </w:pPr>
      <w:r>
        <w:rPr>
          <w:color w:val="auto"/>
        </w:rPr>
        <w:t>本项目位于</w:t>
      </w:r>
      <w:r>
        <w:rPr>
          <w:rFonts w:hint="eastAsia"/>
          <w:color w:val="auto"/>
        </w:rPr>
        <w:t>四川省</w:t>
      </w:r>
      <w:r>
        <w:rPr>
          <w:rFonts w:hint="eastAsia"/>
          <w:color w:val="auto"/>
          <w:lang w:eastAsia="zh-CN"/>
        </w:rPr>
        <w:t>绵阳市游仙区盐泉镇通远村（原葫芦村4社）</w:t>
      </w:r>
      <w:r>
        <w:rPr>
          <w:rFonts w:hint="eastAsia"/>
          <w:color w:val="auto"/>
        </w:rPr>
        <w:t>山上</w:t>
      </w:r>
      <w:r>
        <w:rPr>
          <w:color w:val="auto"/>
        </w:rPr>
        <w:t>，项目占地范围内不涉及基本农田保护区、生态保护红线区、风景名胜区、自然保护区、饮用水源保护区、</w:t>
      </w:r>
      <w:r>
        <w:rPr>
          <w:bCs/>
          <w:color w:val="auto"/>
        </w:rPr>
        <w:t>名胜古迹和重点文物保护单位等特殊保护目标。</w:t>
      </w:r>
      <w:r>
        <w:rPr>
          <w:color w:val="auto"/>
        </w:rPr>
        <w:t>根据本工程排污特点和外环境特征，确定的环境保护目标见附图和表2.</w:t>
      </w:r>
      <w:r>
        <w:rPr>
          <w:rFonts w:hint="eastAsia"/>
          <w:color w:val="auto"/>
          <w:lang w:val="en-US" w:eastAsia="zh-CN"/>
        </w:rPr>
        <w:t>10</w:t>
      </w:r>
      <w:r>
        <w:rPr>
          <w:color w:val="auto"/>
        </w:rPr>
        <w:t>-1。</w:t>
      </w:r>
    </w:p>
    <w:p>
      <w:pPr>
        <w:pStyle w:val="166"/>
        <w:spacing w:before="0" w:beforeLines="0" w:line="240" w:lineRule="auto"/>
        <w:rPr>
          <w:color w:val="auto"/>
        </w:rPr>
      </w:pPr>
      <w:r>
        <w:rPr>
          <w:color w:val="auto"/>
        </w:rPr>
        <w:t>表2.</w:t>
      </w:r>
      <w:r>
        <w:rPr>
          <w:rFonts w:hint="eastAsia"/>
          <w:color w:val="auto"/>
          <w:lang w:val="en-US" w:eastAsia="zh-CN"/>
        </w:rPr>
        <w:t>10</w:t>
      </w:r>
      <w:r>
        <w:rPr>
          <w:color w:val="auto"/>
        </w:rPr>
        <w:t>-1</w:t>
      </w:r>
      <w:r>
        <w:rPr>
          <w:rFonts w:hint="eastAsia"/>
          <w:color w:val="auto"/>
          <w:lang w:val="en-US" w:eastAsia="zh-CN"/>
        </w:rPr>
        <w:t xml:space="preserve"> </w:t>
      </w:r>
      <w:r>
        <w:rPr>
          <w:color w:val="auto"/>
        </w:rPr>
        <w:t>主要环境保护目标</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305"/>
        <w:gridCol w:w="1335"/>
        <w:gridCol w:w="1140"/>
        <w:gridCol w:w="697"/>
        <w:gridCol w:w="623"/>
        <w:gridCol w:w="769"/>
        <w:gridCol w:w="926"/>
        <w:gridCol w:w="9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09"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名称</w:t>
            </w:r>
          </w:p>
        </w:tc>
        <w:tc>
          <w:tcPr>
            <w:tcW w:w="1466" w:type="pct"/>
            <w:gridSpan w:val="2"/>
            <w:noWrap w:val="0"/>
            <w:vAlign w:val="center"/>
          </w:tcPr>
          <w:p>
            <w:pPr>
              <w:adjustRightInd w:val="0"/>
              <w:snapToGrid w:val="0"/>
              <w:spacing w:line="240" w:lineRule="auto"/>
              <w:ind w:firstLine="0" w:firstLineChars="0"/>
              <w:jc w:val="center"/>
              <w:rPr>
                <w:b/>
                <w:color w:val="auto"/>
                <w:sz w:val="20"/>
                <w:szCs w:val="20"/>
                <w:highlight w:val="none"/>
              </w:rPr>
            </w:pPr>
            <w:r>
              <w:rPr>
                <w:rFonts w:hint="eastAsia"/>
                <w:b/>
                <w:color w:val="auto"/>
                <w:sz w:val="20"/>
                <w:szCs w:val="20"/>
                <w:highlight w:val="none"/>
                <w:lang w:val="en-US" w:eastAsia="zh-CN"/>
              </w:rPr>
              <w:t>经纬度</w:t>
            </w:r>
            <w:r>
              <w:rPr>
                <w:b/>
                <w:color w:val="auto"/>
                <w:sz w:val="20"/>
                <w:szCs w:val="20"/>
                <w:highlight w:val="none"/>
              </w:rPr>
              <w:t>坐标</w:t>
            </w:r>
          </w:p>
        </w:tc>
        <w:tc>
          <w:tcPr>
            <w:tcW w:w="633"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保护对象</w:t>
            </w:r>
          </w:p>
        </w:tc>
        <w:tc>
          <w:tcPr>
            <w:tcW w:w="387"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保护内容</w:t>
            </w:r>
          </w:p>
        </w:tc>
        <w:tc>
          <w:tcPr>
            <w:tcW w:w="346"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环境功能区划</w:t>
            </w:r>
          </w:p>
        </w:tc>
        <w:tc>
          <w:tcPr>
            <w:tcW w:w="427"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相对厂址方位</w:t>
            </w:r>
          </w:p>
        </w:tc>
        <w:tc>
          <w:tcPr>
            <w:tcW w:w="514"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b/>
                <w:color w:val="auto"/>
                <w:sz w:val="20"/>
                <w:szCs w:val="20"/>
                <w:highlight w:val="none"/>
              </w:rPr>
              <w:t>相对厂界距离</w:t>
            </w:r>
            <w:r>
              <w:rPr>
                <w:rFonts w:hint="eastAsia"/>
                <w:b/>
                <w:color w:val="auto"/>
                <w:sz w:val="20"/>
                <w:szCs w:val="20"/>
                <w:highlight w:val="none"/>
              </w:rPr>
              <w:t>（m）</w:t>
            </w:r>
          </w:p>
        </w:tc>
        <w:tc>
          <w:tcPr>
            <w:tcW w:w="514" w:type="pct"/>
            <w:vMerge w:val="restart"/>
            <w:noWrap w:val="0"/>
            <w:vAlign w:val="center"/>
          </w:tcPr>
          <w:p>
            <w:pPr>
              <w:adjustRightInd w:val="0"/>
              <w:snapToGrid w:val="0"/>
              <w:spacing w:line="240" w:lineRule="auto"/>
              <w:ind w:firstLine="0" w:firstLineChars="0"/>
              <w:jc w:val="center"/>
              <w:rPr>
                <w:rFonts w:hint="default" w:eastAsia="宋体"/>
                <w:b/>
                <w:color w:val="auto"/>
                <w:sz w:val="20"/>
                <w:szCs w:val="20"/>
                <w:highlight w:val="none"/>
                <w:lang w:val="en-US" w:eastAsia="zh-CN"/>
              </w:rPr>
            </w:pPr>
            <w:r>
              <w:rPr>
                <w:rFonts w:hint="eastAsia"/>
                <w:b/>
                <w:color w:val="auto"/>
                <w:sz w:val="20"/>
                <w:szCs w:val="20"/>
                <w:highlight w:val="none"/>
                <w:lang w:val="en-US" w:eastAsia="zh-CN"/>
              </w:rPr>
              <w:t>标高（m）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09"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725" w:type="pct"/>
            <w:noWrap w:val="0"/>
            <w:vAlign w:val="center"/>
          </w:tcPr>
          <w:p>
            <w:pPr>
              <w:adjustRightInd w:val="0"/>
              <w:snapToGrid w:val="0"/>
              <w:spacing w:line="240" w:lineRule="auto"/>
              <w:ind w:firstLine="0" w:firstLineChars="0"/>
              <w:jc w:val="center"/>
              <w:rPr>
                <w:rFonts w:hint="eastAsia" w:eastAsia="宋体"/>
                <w:b/>
                <w:color w:val="auto"/>
                <w:sz w:val="20"/>
                <w:szCs w:val="20"/>
                <w:highlight w:val="none"/>
                <w:lang w:val="en-US" w:eastAsia="zh-CN"/>
              </w:rPr>
            </w:pPr>
            <w:r>
              <w:rPr>
                <w:rFonts w:hint="eastAsia"/>
                <w:b/>
                <w:color w:val="auto"/>
                <w:sz w:val="20"/>
                <w:szCs w:val="20"/>
                <w:highlight w:val="none"/>
                <w:lang w:val="en-US" w:eastAsia="zh-CN"/>
              </w:rPr>
              <w:t>N</w:t>
            </w:r>
          </w:p>
        </w:tc>
        <w:tc>
          <w:tcPr>
            <w:tcW w:w="741" w:type="pct"/>
            <w:noWrap w:val="0"/>
            <w:vAlign w:val="center"/>
          </w:tcPr>
          <w:p>
            <w:pPr>
              <w:adjustRightInd w:val="0"/>
              <w:snapToGrid w:val="0"/>
              <w:spacing w:line="240" w:lineRule="auto"/>
              <w:ind w:firstLine="0" w:firstLineChars="0"/>
              <w:jc w:val="center"/>
              <w:rPr>
                <w:rFonts w:hint="eastAsia" w:eastAsia="宋体"/>
                <w:b/>
                <w:color w:val="auto"/>
                <w:sz w:val="20"/>
                <w:szCs w:val="20"/>
                <w:highlight w:val="none"/>
                <w:lang w:eastAsia="zh-CN"/>
              </w:rPr>
            </w:pPr>
            <w:r>
              <w:rPr>
                <w:rFonts w:hint="eastAsia"/>
                <w:b/>
                <w:color w:val="auto"/>
                <w:sz w:val="20"/>
                <w:szCs w:val="20"/>
                <w:highlight w:val="none"/>
                <w:lang w:val="en-US" w:eastAsia="zh-CN"/>
              </w:rPr>
              <w:t>E</w:t>
            </w:r>
          </w:p>
        </w:tc>
        <w:tc>
          <w:tcPr>
            <w:tcW w:w="633"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514"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514"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pStyle w:val="261"/>
              <w:rPr>
                <w:rFonts w:hint="eastAsia" w:ascii="宋体" w:hAnsi="宋体"/>
                <w:color w:val="auto"/>
                <w:sz w:val="20"/>
                <w:szCs w:val="20"/>
                <w:highlight w:val="none"/>
                <w:lang w:val="en-US" w:eastAsia="zh-CN"/>
              </w:rPr>
            </w:pPr>
            <w:r>
              <w:rPr>
                <w:rFonts w:hint="eastAsia" w:ascii="宋体" w:hAnsi="宋体" w:eastAsia="宋体"/>
                <w:color w:val="auto"/>
                <w:sz w:val="20"/>
                <w:szCs w:val="20"/>
                <w:highlight w:val="none"/>
                <w:lang w:val="en-US" w:eastAsia="zh-CN"/>
              </w:rPr>
              <w:t>北侧住户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104.9902981</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31.4113347</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3户10人</w:t>
            </w:r>
          </w:p>
        </w:tc>
        <w:tc>
          <w:tcPr>
            <w:tcW w:w="387" w:type="pct"/>
            <w:vMerge w:val="restart"/>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满足GB3095-2012</w:t>
            </w:r>
            <w:r>
              <w:rPr>
                <w:rFonts w:hint="eastAsia"/>
                <w:color w:val="auto"/>
                <w:sz w:val="20"/>
                <w:szCs w:val="20"/>
                <w:highlight w:val="none"/>
              </w:rPr>
              <w:t>二级标准</w:t>
            </w:r>
          </w:p>
        </w:tc>
        <w:tc>
          <w:tcPr>
            <w:tcW w:w="346" w:type="pct"/>
            <w:vMerge w:val="restart"/>
            <w:noWrap w:val="0"/>
            <w:vAlign w:val="center"/>
          </w:tcPr>
          <w:p>
            <w:pPr>
              <w:adjustRightInd w:val="0"/>
              <w:snapToGrid w:val="0"/>
              <w:spacing w:line="240" w:lineRule="auto"/>
              <w:ind w:firstLine="0" w:firstLineChars="0"/>
              <w:jc w:val="center"/>
              <w:rPr>
                <w:b/>
                <w:color w:val="auto"/>
                <w:sz w:val="20"/>
                <w:szCs w:val="20"/>
                <w:highlight w:val="none"/>
              </w:rPr>
            </w:pPr>
            <w:r>
              <w:rPr>
                <w:rFonts w:hint="eastAsia"/>
                <w:b w:val="0"/>
                <w:bCs/>
                <w:color w:val="auto"/>
                <w:sz w:val="20"/>
                <w:szCs w:val="20"/>
                <w:highlight w:val="none"/>
              </w:rPr>
              <w:t>二类区</w:t>
            </w:r>
          </w:p>
        </w:tc>
        <w:tc>
          <w:tcPr>
            <w:tcW w:w="427" w:type="pct"/>
            <w:noWrap w:val="0"/>
            <w:vAlign w:val="center"/>
          </w:tcPr>
          <w:p>
            <w:pPr>
              <w:pStyle w:val="261"/>
              <w:rPr>
                <w:rFonts w:hint="default"/>
                <w:color w:val="auto"/>
                <w:sz w:val="20"/>
                <w:szCs w:val="20"/>
                <w:highlight w:val="none"/>
                <w:lang w:val="en-US" w:eastAsia="zh-CN"/>
              </w:rPr>
            </w:pPr>
            <w:r>
              <w:rPr>
                <w:rFonts w:hint="eastAsia"/>
                <w:color w:val="auto"/>
                <w:sz w:val="20"/>
                <w:szCs w:val="20"/>
                <w:highlight w:val="none"/>
                <w:lang w:val="en-US" w:eastAsia="zh-CN"/>
              </w:rPr>
              <w:t>N</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190~224</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476~480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pStyle w:val="261"/>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东北侧住户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104.9944649</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31.4105717</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8户26人</w:t>
            </w:r>
          </w:p>
        </w:tc>
        <w:tc>
          <w:tcPr>
            <w:tcW w:w="387" w:type="pct"/>
            <w:vMerge w:val="continue"/>
            <w:noWrap w:val="0"/>
            <w:vAlign w:val="center"/>
          </w:tcPr>
          <w:p>
            <w:pPr>
              <w:adjustRightInd w:val="0"/>
              <w:snapToGrid w:val="0"/>
              <w:spacing w:line="240" w:lineRule="auto"/>
              <w:ind w:firstLine="0" w:firstLineChars="0"/>
              <w:jc w:val="center"/>
              <w:rPr>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rFonts w:hint="eastAsia"/>
                <w:b/>
                <w:color w:val="auto"/>
                <w:sz w:val="20"/>
                <w:szCs w:val="20"/>
                <w:highlight w:val="none"/>
              </w:rPr>
            </w:pPr>
          </w:p>
        </w:tc>
        <w:tc>
          <w:tcPr>
            <w:tcW w:w="427" w:type="pct"/>
            <w:noWrap w:val="0"/>
            <w:vAlign w:val="center"/>
          </w:tcPr>
          <w:p>
            <w:pPr>
              <w:pStyle w:val="261"/>
              <w:rPr>
                <w:rFonts w:hint="default"/>
                <w:color w:val="auto"/>
                <w:sz w:val="20"/>
                <w:szCs w:val="20"/>
                <w:highlight w:val="none"/>
                <w:lang w:val="en-US" w:eastAsia="zh-CN"/>
              </w:rPr>
            </w:pPr>
            <w:r>
              <w:rPr>
                <w:rFonts w:hint="eastAsia"/>
                <w:color w:val="auto"/>
                <w:sz w:val="20"/>
                <w:szCs w:val="20"/>
                <w:highlight w:val="none"/>
                <w:lang w:val="en-US" w:eastAsia="zh-CN"/>
              </w:rPr>
              <w:t>NE</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315~432</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471~477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pStyle w:val="261"/>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葫芦村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104.9951508</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31.41467819</w:t>
            </w:r>
          </w:p>
        </w:tc>
        <w:tc>
          <w:tcPr>
            <w:tcW w:w="633"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约300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pStyle w:val="261"/>
              <w:rPr>
                <w:rFonts w:hint="default" w:eastAsia="宋体"/>
                <w:color w:val="auto"/>
                <w:sz w:val="20"/>
                <w:szCs w:val="20"/>
                <w:highlight w:val="none"/>
                <w:lang w:val="en-US" w:eastAsia="zh-CN"/>
              </w:rPr>
            </w:pPr>
            <w:r>
              <w:rPr>
                <w:rFonts w:hint="eastAsia"/>
                <w:color w:val="auto"/>
                <w:sz w:val="20"/>
                <w:szCs w:val="20"/>
                <w:highlight w:val="none"/>
                <w:lang w:val="en-US" w:eastAsia="zh-CN"/>
              </w:rPr>
              <w:t>NE</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910</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pStyle w:val="261"/>
              <w:rPr>
                <w:rFonts w:hint="default" w:ascii="宋体" w:hAnsi="宋体" w:eastAsia="宋体"/>
                <w:color w:val="auto"/>
                <w:sz w:val="20"/>
                <w:szCs w:val="20"/>
                <w:highlight w:val="none"/>
                <w:lang w:val="en-US" w:eastAsia="zh-CN"/>
              </w:rPr>
            </w:pPr>
            <w:r>
              <w:rPr>
                <w:rFonts w:hint="eastAsia" w:ascii="宋体" w:hAnsi="宋体" w:eastAsia="宋体"/>
                <w:color w:val="auto"/>
                <w:sz w:val="20"/>
                <w:szCs w:val="20"/>
                <w:highlight w:val="none"/>
                <w:lang w:val="en-US" w:eastAsia="zh-CN"/>
              </w:rPr>
              <w:t>东侧住户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104.9947358</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31.4089516</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5户16人</w:t>
            </w:r>
          </w:p>
        </w:tc>
        <w:tc>
          <w:tcPr>
            <w:tcW w:w="387" w:type="pct"/>
            <w:vMerge w:val="continue"/>
            <w:noWrap w:val="0"/>
            <w:vAlign w:val="center"/>
          </w:tcPr>
          <w:p>
            <w:pPr>
              <w:adjustRightInd w:val="0"/>
              <w:snapToGrid w:val="0"/>
              <w:spacing w:line="240" w:lineRule="auto"/>
              <w:ind w:firstLine="0" w:firstLineChars="0"/>
              <w:jc w:val="center"/>
              <w:rPr>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pStyle w:val="261"/>
              <w:rPr>
                <w:rFonts w:hint="default"/>
                <w:color w:val="auto"/>
                <w:sz w:val="20"/>
                <w:szCs w:val="20"/>
                <w:highlight w:val="none"/>
                <w:lang w:val="en-US" w:eastAsia="zh-CN"/>
              </w:rPr>
            </w:pPr>
            <w:r>
              <w:rPr>
                <w:rFonts w:hint="eastAsia"/>
                <w:color w:val="auto"/>
                <w:sz w:val="20"/>
                <w:szCs w:val="20"/>
                <w:highlight w:val="none"/>
                <w:lang w:val="en-US" w:eastAsia="zh-CN"/>
              </w:rPr>
              <w:t>E</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250~330</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473~480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pStyle w:val="261"/>
              <w:rPr>
                <w:rFonts w:hint="default" w:ascii="宋体" w:hAnsi="宋体" w:eastAsia="宋体"/>
                <w:color w:val="auto"/>
                <w:sz w:val="20"/>
                <w:szCs w:val="20"/>
                <w:highlight w:val="none"/>
                <w:lang w:val="en-US" w:eastAsia="zh-CN"/>
              </w:rPr>
            </w:pPr>
            <w:r>
              <w:rPr>
                <w:rFonts w:hint="eastAsia" w:ascii="宋体" w:hAnsi="宋体" w:eastAsia="宋体"/>
                <w:color w:val="auto"/>
                <w:sz w:val="20"/>
                <w:szCs w:val="20"/>
                <w:highlight w:val="none"/>
                <w:lang w:val="en-US" w:eastAsia="zh-CN"/>
              </w:rPr>
              <w:t>合兴村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105.0101283</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31.41227493</w:t>
            </w:r>
          </w:p>
        </w:tc>
        <w:tc>
          <w:tcPr>
            <w:tcW w:w="633"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lang w:val="en-US" w:eastAsia="zh-CN"/>
              </w:rPr>
              <w:t>约160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pStyle w:val="261"/>
              <w:rPr>
                <w:rFonts w:hint="eastAsia" w:eastAsia="宋体"/>
                <w:color w:val="auto"/>
                <w:sz w:val="20"/>
                <w:szCs w:val="20"/>
                <w:highlight w:val="none"/>
                <w:lang w:eastAsia="zh-CN"/>
              </w:rPr>
            </w:pPr>
            <w:r>
              <w:rPr>
                <w:rFonts w:hint="eastAsia"/>
                <w:color w:val="auto"/>
                <w:sz w:val="20"/>
                <w:szCs w:val="20"/>
                <w:highlight w:val="none"/>
                <w:lang w:val="en-US" w:eastAsia="zh-CN"/>
              </w:rPr>
              <w:t>E</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1966</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光湖村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105.0110724</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31.40326271</w:t>
            </w:r>
          </w:p>
        </w:tc>
        <w:tc>
          <w:tcPr>
            <w:tcW w:w="633"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约</w:t>
            </w:r>
            <w:r>
              <w:rPr>
                <w:rFonts w:hint="eastAsia"/>
                <w:color w:val="auto"/>
                <w:sz w:val="20"/>
                <w:szCs w:val="20"/>
                <w:highlight w:val="none"/>
              </w:rPr>
              <w:t>9</w:t>
            </w:r>
            <w:r>
              <w:rPr>
                <w:rFonts w:hint="eastAsia"/>
                <w:color w:val="auto"/>
                <w:sz w:val="20"/>
                <w:szCs w:val="20"/>
                <w:highlight w:val="none"/>
                <w:lang w:val="en-US" w:eastAsia="zh-CN"/>
              </w:rPr>
              <w:t>6</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eastAsia" w:eastAsia="宋体"/>
                <w:color w:val="auto"/>
                <w:sz w:val="20"/>
                <w:szCs w:val="20"/>
                <w:highlight w:val="none"/>
                <w:lang w:val="en-US" w:eastAsia="zh-CN"/>
              </w:rPr>
            </w:pPr>
            <w:r>
              <w:rPr>
                <w:rFonts w:hint="eastAsia"/>
                <w:color w:val="auto"/>
                <w:sz w:val="20"/>
                <w:szCs w:val="20"/>
                <w:highlight w:val="none"/>
                <w:lang w:val="en-US" w:eastAsia="zh-CN"/>
              </w:rPr>
              <w:t>E</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2030</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东南侧住户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104.9968789</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31.4040016</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3户10人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SE</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576~600</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474~476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南侧住户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104.9909458</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31.4051107</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13户42人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eastAsia" w:eastAsia="宋体"/>
                <w:color w:val="auto"/>
                <w:sz w:val="20"/>
                <w:szCs w:val="20"/>
                <w:highlight w:val="none"/>
                <w:lang w:val="en-US" w:eastAsia="zh-CN"/>
              </w:rPr>
            </w:pPr>
            <w:r>
              <w:rPr>
                <w:rFonts w:hint="eastAsia"/>
                <w:color w:val="auto"/>
                <w:sz w:val="20"/>
                <w:szCs w:val="20"/>
                <w:highlight w:val="none"/>
                <w:lang w:val="en-US" w:eastAsia="zh-CN"/>
              </w:rPr>
              <w:t>S</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139~287</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478~490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color w:val="auto"/>
                <w:sz w:val="20"/>
                <w:szCs w:val="20"/>
                <w:highlight w:val="none"/>
                <w:lang w:val="en-US"/>
              </w:rPr>
            </w:pPr>
            <w:r>
              <w:rPr>
                <w:rFonts w:hint="eastAsia" w:ascii="宋体" w:hAnsi="宋体"/>
                <w:color w:val="auto"/>
                <w:sz w:val="20"/>
                <w:szCs w:val="20"/>
                <w:highlight w:val="none"/>
                <w:lang w:val="en-US" w:eastAsia="zh-CN"/>
              </w:rPr>
              <w:t>红庙村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104.9889281</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31.39588127</w:t>
            </w:r>
          </w:p>
        </w:tc>
        <w:tc>
          <w:tcPr>
            <w:tcW w:w="633"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lang w:val="en-US" w:eastAsia="zh-CN"/>
              </w:rPr>
              <w:t>约150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rPr>
              <w:t>S</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rPr>
              <w:t>1</w:t>
            </w:r>
            <w:r>
              <w:rPr>
                <w:rFonts w:hint="eastAsia"/>
                <w:color w:val="auto"/>
                <w:sz w:val="20"/>
                <w:szCs w:val="20"/>
                <w:highlight w:val="none"/>
                <w:lang w:val="en-US" w:eastAsia="zh-CN"/>
              </w:rPr>
              <w:t>195</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ascii="宋体" w:hAnsi="宋体"/>
                <w:color w:val="auto"/>
                <w:sz w:val="20"/>
                <w:szCs w:val="20"/>
                <w:highlight w:val="none"/>
                <w:lang w:val="en-US" w:eastAsia="zh-CN"/>
              </w:rPr>
            </w:pPr>
            <w:r>
              <w:rPr>
                <w:rFonts w:hint="eastAsia" w:ascii="宋体" w:hAnsi="宋体"/>
                <w:color w:val="auto"/>
                <w:sz w:val="20"/>
                <w:szCs w:val="20"/>
                <w:highlight w:val="none"/>
                <w:lang w:val="en-US" w:eastAsia="zh-CN"/>
              </w:rPr>
              <w:t>西南侧住户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104.9857558</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31.4060468</w:t>
            </w:r>
          </w:p>
        </w:tc>
        <w:tc>
          <w:tcPr>
            <w:tcW w:w="633" w:type="pct"/>
            <w:noWrap w:val="0"/>
            <w:vAlign w:val="center"/>
          </w:tcPr>
          <w:p>
            <w:pPr>
              <w:spacing w:line="240" w:lineRule="auto"/>
              <w:ind w:firstLine="0" w:firstLineChars="0"/>
              <w:jc w:val="center"/>
              <w:rPr>
                <w:rFonts w:hint="eastAsia"/>
                <w:color w:val="auto"/>
                <w:sz w:val="20"/>
                <w:szCs w:val="20"/>
                <w:highlight w:val="none"/>
                <w:lang w:val="en-US" w:eastAsia="zh-CN"/>
              </w:rPr>
            </w:pPr>
            <w:r>
              <w:rPr>
                <w:rFonts w:hint="eastAsia"/>
                <w:color w:val="auto"/>
                <w:sz w:val="20"/>
                <w:szCs w:val="20"/>
                <w:highlight w:val="none"/>
                <w:lang w:val="en-US" w:eastAsia="zh-CN"/>
              </w:rPr>
              <w:t>7户22人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SW</w:t>
            </w:r>
          </w:p>
        </w:tc>
        <w:tc>
          <w:tcPr>
            <w:tcW w:w="514" w:type="pct"/>
            <w:noWrap w:val="0"/>
            <w:vAlign w:val="center"/>
          </w:tcPr>
          <w:p>
            <w:pPr>
              <w:spacing w:line="240" w:lineRule="auto"/>
              <w:ind w:firstLine="0" w:firstLineChars="0"/>
              <w:jc w:val="center"/>
              <w:rPr>
                <w:rFonts w:hint="eastAsia"/>
                <w:color w:val="auto"/>
                <w:kern w:val="2"/>
                <w:sz w:val="20"/>
                <w:szCs w:val="20"/>
                <w:highlight w:val="none"/>
                <w:lang w:val="en-US" w:eastAsia="zh-CN" w:bidi="ar-SA"/>
              </w:rPr>
            </w:pPr>
            <w:r>
              <w:rPr>
                <w:rFonts w:hint="eastAsia"/>
                <w:color w:val="auto"/>
                <w:sz w:val="20"/>
                <w:szCs w:val="20"/>
                <w:highlight w:val="none"/>
                <w:lang w:val="en-US" w:eastAsia="zh-CN"/>
              </w:rPr>
              <w:t>327~477</w:t>
            </w:r>
          </w:p>
        </w:tc>
        <w:tc>
          <w:tcPr>
            <w:tcW w:w="514" w:type="pct"/>
            <w:noWrap w:val="0"/>
            <w:vAlign w:val="center"/>
          </w:tcPr>
          <w:p>
            <w:pPr>
              <w:spacing w:line="240" w:lineRule="auto"/>
              <w:ind w:firstLine="0" w:firstLineChars="0"/>
              <w:jc w:val="center"/>
              <w:rPr>
                <w:rFonts w:hint="eastAsia"/>
                <w:color w:val="auto"/>
                <w:kern w:val="2"/>
                <w:sz w:val="20"/>
                <w:szCs w:val="20"/>
                <w:highlight w:val="none"/>
                <w:lang w:val="en-US" w:eastAsia="zh-CN" w:bidi="ar-SA"/>
              </w:rPr>
            </w:pPr>
            <w:r>
              <w:rPr>
                <w:rFonts w:hint="eastAsia"/>
                <w:color w:val="auto"/>
                <w:sz w:val="20"/>
                <w:szCs w:val="20"/>
                <w:highlight w:val="none"/>
                <w:lang w:val="en-US" w:eastAsia="zh-CN"/>
              </w:rPr>
              <w:t>477~490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eastAsia" w:eastAsia="宋体"/>
                <w:color w:val="auto"/>
                <w:sz w:val="20"/>
                <w:szCs w:val="20"/>
                <w:highlight w:val="none"/>
                <w:lang w:eastAsia="zh-CN"/>
              </w:rPr>
            </w:pPr>
            <w:r>
              <w:rPr>
                <w:rFonts w:hint="eastAsia" w:ascii="宋体" w:hAnsi="宋体"/>
                <w:color w:val="auto"/>
                <w:sz w:val="20"/>
                <w:szCs w:val="20"/>
                <w:highlight w:val="none"/>
                <w:lang w:val="en-US" w:eastAsia="zh-CN"/>
              </w:rPr>
              <w:t>黄家桥村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104.9715689</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31.39244804</w:t>
            </w:r>
          </w:p>
        </w:tc>
        <w:tc>
          <w:tcPr>
            <w:tcW w:w="633" w:type="pct"/>
            <w:noWrap w:val="0"/>
            <w:vAlign w:val="center"/>
          </w:tcPr>
          <w:p>
            <w:pPr>
              <w:spacing w:line="240" w:lineRule="auto"/>
              <w:ind w:firstLine="0" w:firstLineChars="0"/>
              <w:jc w:val="center"/>
              <w:rPr>
                <w:rFonts w:hint="eastAsia" w:eastAsia="宋体"/>
                <w:color w:val="auto"/>
                <w:sz w:val="20"/>
                <w:szCs w:val="20"/>
                <w:highlight w:val="none"/>
                <w:lang w:eastAsia="zh-CN"/>
              </w:rPr>
            </w:pPr>
            <w:r>
              <w:rPr>
                <w:rFonts w:hint="eastAsia"/>
                <w:color w:val="auto"/>
                <w:sz w:val="20"/>
                <w:szCs w:val="20"/>
                <w:highlight w:val="none"/>
                <w:lang w:val="en-US" w:eastAsia="zh-CN"/>
              </w:rPr>
              <w:t>约100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eastAsia"/>
                <w:color w:val="auto"/>
                <w:sz w:val="20"/>
                <w:szCs w:val="20"/>
                <w:highlight w:val="none"/>
              </w:rPr>
            </w:pPr>
            <w:r>
              <w:rPr>
                <w:rFonts w:hint="eastAsia"/>
                <w:color w:val="auto"/>
                <w:sz w:val="20"/>
                <w:szCs w:val="20"/>
                <w:highlight w:val="none"/>
                <w:lang w:val="en-US" w:eastAsia="zh-CN"/>
              </w:rPr>
              <w:t>S</w:t>
            </w:r>
            <w:r>
              <w:rPr>
                <w:rFonts w:hint="eastAsia"/>
                <w:color w:val="auto"/>
                <w:sz w:val="20"/>
                <w:szCs w:val="20"/>
                <w:highlight w:val="none"/>
              </w:rPr>
              <w:t>W</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2435</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西侧住户</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104.9850262</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31.4076239</w:t>
            </w:r>
          </w:p>
        </w:tc>
        <w:tc>
          <w:tcPr>
            <w:tcW w:w="633"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18户58人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rFonts w:hint="eastAsia" w:eastAsia="宋体"/>
                <w:color w:val="auto"/>
                <w:sz w:val="20"/>
                <w:szCs w:val="20"/>
                <w:highlight w:val="none"/>
                <w:lang w:val="en-US" w:eastAsia="zh-CN"/>
              </w:rPr>
            </w:pPr>
            <w:r>
              <w:rPr>
                <w:rFonts w:hint="eastAsia"/>
                <w:color w:val="auto"/>
                <w:sz w:val="20"/>
                <w:szCs w:val="20"/>
                <w:highlight w:val="none"/>
                <w:lang w:val="en-US" w:eastAsia="zh-CN"/>
              </w:rPr>
              <w:t>W</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230~560</w:t>
            </w:r>
          </w:p>
        </w:tc>
        <w:tc>
          <w:tcPr>
            <w:tcW w:w="514" w:type="pct"/>
            <w:noWrap w:val="0"/>
            <w:vAlign w:val="center"/>
          </w:tcPr>
          <w:p>
            <w:pPr>
              <w:spacing w:line="240" w:lineRule="auto"/>
              <w:ind w:firstLine="0" w:firstLineChars="0"/>
              <w:jc w:val="center"/>
              <w:rPr>
                <w:rFonts w:hint="default"/>
                <w:color w:val="auto"/>
                <w:sz w:val="20"/>
                <w:szCs w:val="20"/>
                <w:highlight w:val="none"/>
                <w:lang w:val="en-US" w:eastAsia="zh-CN"/>
              </w:rPr>
            </w:pPr>
            <w:r>
              <w:rPr>
                <w:rFonts w:hint="eastAsia"/>
                <w:color w:val="auto"/>
                <w:sz w:val="20"/>
                <w:szCs w:val="20"/>
                <w:highlight w:val="none"/>
                <w:lang w:val="en-US" w:eastAsia="zh-CN"/>
              </w:rPr>
              <w:t>480~490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黎明村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104.974809</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31.40283355</w:t>
            </w:r>
          </w:p>
        </w:tc>
        <w:tc>
          <w:tcPr>
            <w:tcW w:w="633"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lang w:val="en-US" w:eastAsia="zh-CN"/>
              </w:rPr>
              <w:t>约130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rPr>
              <w:t>W</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rPr>
              <w:t>1</w:t>
            </w:r>
            <w:r>
              <w:rPr>
                <w:rFonts w:hint="eastAsia"/>
                <w:color w:val="auto"/>
                <w:sz w:val="20"/>
                <w:szCs w:val="20"/>
                <w:highlight w:val="none"/>
                <w:lang w:val="en-US" w:eastAsia="zh-CN"/>
              </w:rPr>
              <w:t>554</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ascii="宋体" w:hAnsi="宋体" w:eastAsia="宋体"/>
                <w:color w:val="auto"/>
                <w:sz w:val="20"/>
                <w:szCs w:val="20"/>
                <w:highlight w:val="none"/>
                <w:lang w:val="en-US" w:eastAsia="zh-CN"/>
              </w:rPr>
              <w:t>严家桥村</w:t>
            </w:r>
          </w:p>
        </w:tc>
        <w:tc>
          <w:tcPr>
            <w:tcW w:w="725"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104.9830487</w:t>
            </w:r>
          </w:p>
        </w:tc>
        <w:tc>
          <w:tcPr>
            <w:tcW w:w="741"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rPr>
            </w:pPr>
            <w:r>
              <w:rPr>
                <w:rFonts w:hint="eastAsia"/>
                <w:color w:val="auto"/>
                <w:sz w:val="20"/>
                <w:szCs w:val="20"/>
                <w:highlight w:val="none"/>
                <w:lang w:val="en-US" w:eastAsia="zh-CN"/>
              </w:rPr>
              <w:t>31.4219738</w:t>
            </w:r>
          </w:p>
        </w:tc>
        <w:tc>
          <w:tcPr>
            <w:tcW w:w="633"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lang w:val="en-US" w:eastAsia="zh-CN"/>
              </w:rPr>
              <w:t>约280</w:t>
            </w:r>
            <w:r>
              <w:rPr>
                <w:rFonts w:hint="eastAsia"/>
                <w:color w:val="auto"/>
                <w:sz w:val="20"/>
                <w:szCs w:val="20"/>
                <w:highlight w:val="none"/>
              </w:rPr>
              <w:t>人</w:t>
            </w:r>
          </w:p>
        </w:tc>
        <w:tc>
          <w:tcPr>
            <w:tcW w:w="387"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346" w:type="pct"/>
            <w:vMerge w:val="continue"/>
            <w:noWrap w:val="0"/>
            <w:vAlign w:val="center"/>
          </w:tcPr>
          <w:p>
            <w:pPr>
              <w:adjustRightInd w:val="0"/>
              <w:snapToGrid w:val="0"/>
              <w:spacing w:line="240" w:lineRule="auto"/>
              <w:ind w:firstLine="0" w:firstLineChars="0"/>
              <w:jc w:val="center"/>
              <w:rPr>
                <w:b/>
                <w:color w:val="auto"/>
                <w:sz w:val="20"/>
                <w:szCs w:val="20"/>
                <w:highlight w:val="none"/>
              </w:rPr>
            </w:pPr>
          </w:p>
        </w:tc>
        <w:tc>
          <w:tcPr>
            <w:tcW w:w="427" w:type="pct"/>
            <w:noWrap w:val="0"/>
            <w:vAlign w:val="center"/>
          </w:tcPr>
          <w:p>
            <w:pPr>
              <w:spacing w:line="240" w:lineRule="auto"/>
              <w:ind w:firstLine="0" w:firstLineChars="0"/>
              <w:jc w:val="center"/>
              <w:rPr>
                <w:color w:val="auto"/>
                <w:sz w:val="20"/>
                <w:szCs w:val="20"/>
                <w:highlight w:val="none"/>
              </w:rPr>
            </w:pPr>
            <w:r>
              <w:rPr>
                <w:rFonts w:hint="eastAsia"/>
                <w:color w:val="auto"/>
                <w:sz w:val="20"/>
                <w:szCs w:val="20"/>
                <w:highlight w:val="none"/>
                <w:lang w:val="en-US" w:eastAsia="zh-CN"/>
              </w:rPr>
              <w:t>N</w:t>
            </w:r>
            <w:r>
              <w:rPr>
                <w:rFonts w:hint="eastAsia"/>
                <w:color w:val="auto"/>
                <w:sz w:val="20"/>
                <w:szCs w:val="20"/>
                <w:highlight w:val="none"/>
              </w:rPr>
              <w:t>W</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1661</w:t>
            </w:r>
          </w:p>
        </w:tc>
        <w:tc>
          <w:tcPr>
            <w:tcW w:w="514" w:type="pct"/>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472</w:t>
            </w:r>
          </w:p>
        </w:tc>
      </w:tr>
    </w:tbl>
    <w:p>
      <w:pPr>
        <w:spacing w:before="120" w:beforeLines="50" w:line="240" w:lineRule="auto"/>
        <w:ind w:firstLine="422"/>
        <w:jc w:val="center"/>
        <w:rPr>
          <w:b/>
          <w:color w:val="auto"/>
          <w:sz w:val="21"/>
          <w:szCs w:val="21"/>
        </w:rPr>
      </w:pPr>
      <w:r>
        <w:rPr>
          <w:b/>
          <w:color w:val="auto"/>
          <w:sz w:val="21"/>
          <w:szCs w:val="21"/>
        </w:rPr>
        <w:t>表2.</w:t>
      </w:r>
      <w:r>
        <w:rPr>
          <w:rFonts w:hint="eastAsia"/>
          <w:b/>
          <w:color w:val="auto"/>
          <w:sz w:val="21"/>
          <w:szCs w:val="21"/>
          <w:lang w:val="en-US" w:eastAsia="zh-CN"/>
        </w:rPr>
        <w:t>1</w:t>
      </w:r>
      <w:r>
        <w:rPr>
          <w:rFonts w:hint="eastAsia"/>
          <w:b/>
          <w:color w:val="auto"/>
          <w:sz w:val="21"/>
          <w:szCs w:val="21"/>
          <w:lang w:val="en-US" w:eastAsia="zh-CN"/>
        </w:rPr>
        <w:t>0</w:t>
      </w:r>
      <w:r>
        <w:rPr>
          <w:b/>
          <w:color w:val="auto"/>
          <w:sz w:val="21"/>
          <w:szCs w:val="21"/>
        </w:rPr>
        <w:t>-2</w:t>
      </w:r>
      <w:r>
        <w:rPr>
          <w:rFonts w:hint="eastAsia"/>
          <w:b/>
          <w:color w:val="auto"/>
          <w:sz w:val="21"/>
          <w:szCs w:val="21"/>
          <w:lang w:val="en-US" w:eastAsia="zh-CN"/>
        </w:rPr>
        <w:t xml:space="preserve"> </w:t>
      </w:r>
      <w:r>
        <w:rPr>
          <w:b/>
          <w:color w:val="auto"/>
          <w:sz w:val="21"/>
          <w:szCs w:val="21"/>
        </w:rPr>
        <w:t>主要</w:t>
      </w:r>
      <w:r>
        <w:rPr>
          <w:rFonts w:hint="eastAsia"/>
          <w:b/>
          <w:color w:val="auto"/>
          <w:sz w:val="21"/>
          <w:szCs w:val="21"/>
        </w:rPr>
        <w:t>地表水、</w:t>
      </w:r>
      <w:r>
        <w:rPr>
          <w:rFonts w:hint="eastAsia"/>
          <w:b/>
          <w:color w:val="auto"/>
          <w:sz w:val="21"/>
          <w:szCs w:val="21"/>
          <w:lang w:val="en-US" w:eastAsia="zh-CN"/>
        </w:rPr>
        <w:t>噪声、</w:t>
      </w:r>
      <w:r>
        <w:rPr>
          <w:rFonts w:hint="eastAsia"/>
          <w:b/>
          <w:color w:val="auto"/>
          <w:sz w:val="21"/>
          <w:szCs w:val="21"/>
        </w:rPr>
        <w:t>土壤</w:t>
      </w:r>
      <w:r>
        <w:rPr>
          <w:b/>
          <w:color w:val="auto"/>
          <w:sz w:val="21"/>
          <w:szCs w:val="21"/>
        </w:rPr>
        <w:t>环境及地下水环境保护目标表</w:t>
      </w:r>
    </w:p>
    <w:tbl>
      <w:tblPr>
        <w:tblStyle w:val="51"/>
        <w:tblW w:w="4998" w:type="pct"/>
        <w:jc w:val="center"/>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388"/>
        <w:gridCol w:w="1343"/>
        <w:gridCol w:w="1325"/>
        <w:gridCol w:w="1300"/>
        <w:gridCol w:w="1915"/>
        <w:gridCol w:w="1728"/>
      </w:tblGrid>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771" w:type="pct"/>
            <w:vMerge w:val="restart"/>
            <w:noWrap w:val="0"/>
            <w:vAlign w:val="center"/>
          </w:tcPr>
          <w:p>
            <w:pPr>
              <w:spacing w:line="240" w:lineRule="auto"/>
              <w:ind w:firstLine="0" w:firstLineChars="0"/>
              <w:jc w:val="center"/>
              <w:rPr>
                <w:b/>
                <w:color w:val="auto"/>
                <w:sz w:val="20"/>
                <w:szCs w:val="20"/>
              </w:rPr>
            </w:pPr>
            <w:r>
              <w:rPr>
                <w:rFonts w:hint="eastAsia"/>
                <w:b/>
                <w:color w:val="auto"/>
                <w:sz w:val="20"/>
                <w:szCs w:val="20"/>
              </w:rPr>
              <w:t>环境</w:t>
            </w:r>
          </w:p>
          <w:p>
            <w:pPr>
              <w:spacing w:line="240" w:lineRule="auto"/>
              <w:ind w:firstLine="0" w:firstLineChars="0"/>
              <w:jc w:val="center"/>
              <w:rPr>
                <w:b/>
                <w:color w:val="auto"/>
                <w:sz w:val="20"/>
                <w:szCs w:val="20"/>
              </w:rPr>
            </w:pPr>
            <w:r>
              <w:rPr>
                <w:b/>
                <w:color w:val="auto"/>
                <w:sz w:val="20"/>
                <w:szCs w:val="20"/>
              </w:rPr>
              <w:t>要素</w:t>
            </w:r>
          </w:p>
        </w:tc>
        <w:tc>
          <w:tcPr>
            <w:tcW w:w="746" w:type="pct"/>
            <w:vMerge w:val="restart"/>
            <w:noWrap w:val="0"/>
            <w:vAlign w:val="center"/>
          </w:tcPr>
          <w:p>
            <w:pPr>
              <w:spacing w:line="240" w:lineRule="auto"/>
              <w:ind w:firstLine="0" w:firstLineChars="0"/>
              <w:jc w:val="center"/>
              <w:rPr>
                <w:b/>
                <w:color w:val="auto"/>
                <w:sz w:val="20"/>
                <w:szCs w:val="20"/>
              </w:rPr>
            </w:pPr>
            <w:r>
              <w:rPr>
                <w:b/>
                <w:color w:val="auto"/>
                <w:sz w:val="20"/>
                <w:szCs w:val="20"/>
              </w:rPr>
              <w:t>名称</w:t>
            </w:r>
          </w:p>
        </w:tc>
        <w:tc>
          <w:tcPr>
            <w:tcW w:w="1458" w:type="pct"/>
            <w:gridSpan w:val="2"/>
            <w:noWrap w:val="0"/>
            <w:vAlign w:val="center"/>
          </w:tcPr>
          <w:p>
            <w:pPr>
              <w:spacing w:line="240" w:lineRule="auto"/>
              <w:ind w:firstLine="0" w:firstLineChars="0"/>
              <w:jc w:val="center"/>
              <w:rPr>
                <w:b/>
                <w:color w:val="auto"/>
                <w:sz w:val="20"/>
                <w:szCs w:val="20"/>
              </w:rPr>
            </w:pPr>
            <w:r>
              <w:rPr>
                <w:b/>
                <w:color w:val="auto"/>
                <w:sz w:val="20"/>
                <w:szCs w:val="20"/>
              </w:rPr>
              <w:t>建设项目相对位置</w:t>
            </w:r>
          </w:p>
        </w:tc>
        <w:tc>
          <w:tcPr>
            <w:tcW w:w="1064" w:type="pct"/>
            <w:vMerge w:val="restart"/>
            <w:noWrap w:val="0"/>
            <w:vAlign w:val="center"/>
          </w:tcPr>
          <w:p>
            <w:pPr>
              <w:spacing w:line="240" w:lineRule="auto"/>
              <w:ind w:firstLine="0" w:firstLineChars="0"/>
              <w:jc w:val="center"/>
              <w:rPr>
                <w:b/>
                <w:color w:val="auto"/>
                <w:sz w:val="20"/>
                <w:szCs w:val="20"/>
              </w:rPr>
            </w:pPr>
            <w:r>
              <w:rPr>
                <w:b/>
                <w:color w:val="auto"/>
                <w:sz w:val="20"/>
                <w:szCs w:val="20"/>
              </w:rPr>
              <w:t>环境保护级别</w:t>
            </w:r>
          </w:p>
        </w:tc>
        <w:tc>
          <w:tcPr>
            <w:tcW w:w="959" w:type="pct"/>
            <w:vMerge w:val="restart"/>
            <w:noWrap w:val="0"/>
            <w:vAlign w:val="center"/>
          </w:tcPr>
          <w:p>
            <w:pPr>
              <w:spacing w:line="240" w:lineRule="auto"/>
              <w:ind w:firstLine="0" w:firstLineChars="0"/>
              <w:jc w:val="center"/>
              <w:rPr>
                <w:b/>
                <w:color w:val="auto"/>
                <w:sz w:val="20"/>
                <w:szCs w:val="20"/>
              </w:rPr>
            </w:pPr>
            <w:r>
              <w:rPr>
                <w:b/>
                <w:color w:val="auto"/>
                <w:sz w:val="20"/>
                <w:szCs w:val="20"/>
              </w:rPr>
              <w:t>备注</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771" w:type="pct"/>
            <w:vMerge w:val="continue"/>
            <w:noWrap w:val="0"/>
            <w:vAlign w:val="center"/>
          </w:tcPr>
          <w:p>
            <w:pPr>
              <w:spacing w:line="240" w:lineRule="auto"/>
              <w:ind w:firstLine="0" w:firstLineChars="0"/>
              <w:jc w:val="center"/>
              <w:rPr>
                <w:color w:val="auto"/>
                <w:sz w:val="20"/>
                <w:szCs w:val="20"/>
              </w:rPr>
            </w:pPr>
          </w:p>
        </w:tc>
        <w:tc>
          <w:tcPr>
            <w:tcW w:w="746" w:type="pct"/>
            <w:vMerge w:val="continue"/>
            <w:noWrap w:val="0"/>
            <w:vAlign w:val="center"/>
          </w:tcPr>
          <w:p>
            <w:pPr>
              <w:spacing w:line="240" w:lineRule="auto"/>
              <w:ind w:firstLine="0" w:firstLineChars="0"/>
              <w:jc w:val="center"/>
              <w:rPr>
                <w:color w:val="auto"/>
                <w:sz w:val="20"/>
                <w:szCs w:val="20"/>
              </w:rPr>
            </w:pPr>
          </w:p>
        </w:tc>
        <w:tc>
          <w:tcPr>
            <w:tcW w:w="736" w:type="pct"/>
            <w:noWrap w:val="0"/>
            <w:vAlign w:val="center"/>
          </w:tcPr>
          <w:p>
            <w:pPr>
              <w:spacing w:line="240" w:lineRule="auto"/>
              <w:ind w:firstLine="0" w:firstLineChars="0"/>
              <w:jc w:val="center"/>
              <w:rPr>
                <w:b/>
                <w:color w:val="auto"/>
                <w:sz w:val="20"/>
                <w:szCs w:val="20"/>
              </w:rPr>
            </w:pPr>
            <w:r>
              <w:rPr>
                <w:b/>
                <w:color w:val="auto"/>
                <w:sz w:val="20"/>
                <w:szCs w:val="20"/>
              </w:rPr>
              <w:t>方位</w:t>
            </w:r>
          </w:p>
        </w:tc>
        <w:tc>
          <w:tcPr>
            <w:tcW w:w="722" w:type="pct"/>
            <w:noWrap w:val="0"/>
            <w:vAlign w:val="center"/>
          </w:tcPr>
          <w:p>
            <w:pPr>
              <w:spacing w:line="240" w:lineRule="auto"/>
              <w:ind w:firstLine="0" w:firstLineChars="0"/>
              <w:jc w:val="center"/>
              <w:rPr>
                <w:b/>
                <w:color w:val="auto"/>
                <w:sz w:val="20"/>
                <w:szCs w:val="20"/>
              </w:rPr>
            </w:pPr>
            <w:r>
              <w:rPr>
                <w:b/>
                <w:color w:val="auto"/>
                <w:sz w:val="20"/>
                <w:szCs w:val="20"/>
              </w:rPr>
              <w:t>距离</w:t>
            </w:r>
          </w:p>
        </w:tc>
        <w:tc>
          <w:tcPr>
            <w:tcW w:w="1064" w:type="pct"/>
            <w:vMerge w:val="continue"/>
            <w:noWrap w:val="0"/>
            <w:vAlign w:val="center"/>
          </w:tcPr>
          <w:p>
            <w:pPr>
              <w:spacing w:line="240" w:lineRule="auto"/>
              <w:ind w:firstLine="0" w:firstLineChars="0"/>
              <w:jc w:val="center"/>
              <w:rPr>
                <w:color w:val="auto"/>
                <w:sz w:val="20"/>
                <w:szCs w:val="20"/>
              </w:rPr>
            </w:pPr>
          </w:p>
        </w:tc>
        <w:tc>
          <w:tcPr>
            <w:tcW w:w="959" w:type="pct"/>
            <w:vMerge w:val="continue"/>
            <w:noWrap w:val="0"/>
            <w:vAlign w:val="center"/>
          </w:tcPr>
          <w:p>
            <w:pPr>
              <w:spacing w:line="240" w:lineRule="auto"/>
              <w:ind w:firstLine="0" w:firstLineChars="0"/>
              <w:jc w:val="center"/>
              <w:rPr>
                <w:color w:val="auto"/>
                <w:sz w:val="20"/>
                <w:szCs w:val="20"/>
              </w:rPr>
            </w:pP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vMerge w:val="restart"/>
            <w:noWrap w:val="0"/>
            <w:vAlign w:val="center"/>
          </w:tcPr>
          <w:p>
            <w:pPr>
              <w:spacing w:line="240" w:lineRule="auto"/>
              <w:ind w:firstLine="0" w:firstLineChars="0"/>
              <w:jc w:val="center"/>
              <w:rPr>
                <w:color w:val="auto"/>
                <w:sz w:val="20"/>
                <w:szCs w:val="20"/>
              </w:rPr>
            </w:pPr>
            <w:r>
              <w:rPr>
                <w:color w:val="auto"/>
                <w:sz w:val="20"/>
                <w:szCs w:val="20"/>
              </w:rPr>
              <w:t>地表水</w:t>
            </w:r>
          </w:p>
        </w:tc>
        <w:tc>
          <w:tcPr>
            <w:tcW w:w="746" w:type="pct"/>
            <w:noWrap w:val="0"/>
            <w:vAlign w:val="center"/>
          </w:tcPr>
          <w:p>
            <w:pPr>
              <w:spacing w:line="240" w:lineRule="auto"/>
              <w:ind w:firstLine="0" w:firstLineChars="0"/>
              <w:jc w:val="center"/>
              <w:rPr>
                <w:rFonts w:hint="eastAsia" w:eastAsia="宋体"/>
                <w:color w:val="auto"/>
                <w:sz w:val="20"/>
                <w:szCs w:val="20"/>
                <w:lang w:eastAsia="zh-CN"/>
              </w:rPr>
            </w:pPr>
            <w:r>
              <w:rPr>
                <w:rFonts w:hint="eastAsia"/>
                <w:color w:val="auto"/>
                <w:sz w:val="20"/>
                <w:szCs w:val="20"/>
                <w:lang w:val="en-US" w:eastAsia="zh-CN"/>
              </w:rPr>
              <w:t>魏城河</w:t>
            </w:r>
          </w:p>
        </w:tc>
        <w:tc>
          <w:tcPr>
            <w:tcW w:w="736" w:type="pct"/>
            <w:noWrap w:val="0"/>
            <w:vAlign w:val="center"/>
          </w:tcPr>
          <w:p>
            <w:pPr>
              <w:spacing w:line="240" w:lineRule="auto"/>
              <w:ind w:firstLine="0" w:firstLineChars="0"/>
              <w:jc w:val="center"/>
              <w:rPr>
                <w:rFonts w:hint="eastAsia" w:eastAsia="宋体"/>
                <w:color w:val="auto"/>
                <w:sz w:val="20"/>
                <w:szCs w:val="20"/>
                <w:lang w:eastAsia="zh-CN"/>
              </w:rPr>
            </w:pPr>
            <w:r>
              <w:rPr>
                <w:rFonts w:hint="eastAsia"/>
                <w:color w:val="auto"/>
                <w:sz w:val="20"/>
                <w:szCs w:val="20"/>
                <w:lang w:val="en-US" w:eastAsia="zh-CN"/>
              </w:rPr>
              <w:t>E</w:t>
            </w:r>
          </w:p>
        </w:tc>
        <w:tc>
          <w:tcPr>
            <w:tcW w:w="722"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lang w:val="en-US" w:eastAsia="zh-CN"/>
              </w:rPr>
              <w:t>8.1k</w:t>
            </w:r>
            <w:r>
              <w:rPr>
                <w:rFonts w:hint="eastAsia"/>
                <w:color w:val="auto"/>
                <w:sz w:val="20"/>
                <w:szCs w:val="20"/>
              </w:rPr>
              <w:t>m</w:t>
            </w:r>
          </w:p>
        </w:tc>
        <w:tc>
          <w:tcPr>
            <w:tcW w:w="1064" w:type="pct"/>
            <w:vMerge w:val="restart"/>
            <w:noWrap w:val="0"/>
            <w:vAlign w:val="center"/>
          </w:tcPr>
          <w:p>
            <w:pPr>
              <w:spacing w:line="240" w:lineRule="auto"/>
              <w:ind w:firstLine="0" w:firstLineChars="0"/>
              <w:jc w:val="center"/>
              <w:rPr>
                <w:color w:val="auto"/>
                <w:sz w:val="20"/>
                <w:szCs w:val="20"/>
              </w:rPr>
            </w:pPr>
            <w:r>
              <w:rPr>
                <w:color w:val="auto"/>
                <w:sz w:val="20"/>
                <w:szCs w:val="20"/>
              </w:rPr>
              <w:t>GB3838-2002</w:t>
            </w:r>
          </w:p>
          <w:p>
            <w:pPr>
              <w:spacing w:line="240" w:lineRule="auto"/>
              <w:ind w:firstLine="0" w:firstLineChars="0"/>
              <w:jc w:val="center"/>
              <w:rPr>
                <w:color w:val="auto"/>
                <w:sz w:val="20"/>
                <w:szCs w:val="20"/>
              </w:rPr>
            </w:pPr>
            <w:r>
              <w:rPr>
                <w:color w:val="auto"/>
                <w:sz w:val="20"/>
                <w:szCs w:val="20"/>
              </w:rPr>
              <w:t>III类标准</w:t>
            </w:r>
          </w:p>
        </w:tc>
        <w:tc>
          <w:tcPr>
            <w:tcW w:w="959" w:type="pct"/>
            <w:noWrap w:val="0"/>
            <w:vAlign w:val="center"/>
          </w:tcPr>
          <w:p>
            <w:pPr>
              <w:spacing w:line="240" w:lineRule="auto"/>
              <w:ind w:firstLine="0" w:firstLineChars="0"/>
              <w:jc w:val="center"/>
              <w:rPr>
                <w:rFonts w:hint="eastAsia"/>
                <w:color w:val="auto"/>
                <w:sz w:val="20"/>
                <w:szCs w:val="20"/>
              </w:rPr>
            </w:pPr>
            <w:r>
              <w:rPr>
                <w:color w:val="auto"/>
                <w:sz w:val="20"/>
                <w:szCs w:val="20"/>
              </w:rPr>
              <w:t>III类水域</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vMerge w:val="continue"/>
            <w:noWrap w:val="0"/>
            <w:vAlign w:val="center"/>
          </w:tcPr>
          <w:p>
            <w:pPr>
              <w:spacing w:line="240" w:lineRule="auto"/>
              <w:ind w:firstLine="0" w:firstLineChars="0"/>
              <w:jc w:val="center"/>
              <w:rPr>
                <w:color w:val="auto"/>
                <w:sz w:val="20"/>
                <w:szCs w:val="20"/>
              </w:rPr>
            </w:pPr>
          </w:p>
        </w:tc>
        <w:tc>
          <w:tcPr>
            <w:tcW w:w="746" w:type="pct"/>
            <w:noWrap w:val="0"/>
            <w:vAlign w:val="center"/>
          </w:tcPr>
          <w:p>
            <w:pPr>
              <w:spacing w:line="240" w:lineRule="auto"/>
              <w:ind w:firstLine="0" w:firstLineChars="0"/>
              <w:jc w:val="center"/>
              <w:rPr>
                <w:color w:val="auto"/>
                <w:sz w:val="20"/>
                <w:szCs w:val="20"/>
              </w:rPr>
            </w:pPr>
            <w:r>
              <w:rPr>
                <w:rFonts w:hint="eastAsia"/>
                <w:color w:val="auto"/>
                <w:sz w:val="20"/>
                <w:szCs w:val="20"/>
                <w:lang w:val="en-US" w:eastAsia="zh-CN"/>
              </w:rPr>
              <w:t>庙儿湾水库</w:t>
            </w:r>
          </w:p>
        </w:tc>
        <w:tc>
          <w:tcPr>
            <w:tcW w:w="736" w:type="pct"/>
            <w:noWrap w:val="0"/>
            <w:vAlign w:val="center"/>
          </w:tcPr>
          <w:p>
            <w:pPr>
              <w:spacing w:line="240" w:lineRule="auto"/>
              <w:ind w:firstLine="0" w:firstLineChars="0"/>
              <w:jc w:val="center"/>
              <w:rPr>
                <w:color w:val="auto"/>
                <w:sz w:val="20"/>
                <w:szCs w:val="20"/>
              </w:rPr>
            </w:pPr>
            <w:r>
              <w:rPr>
                <w:rFonts w:hint="eastAsia"/>
                <w:color w:val="auto"/>
                <w:sz w:val="20"/>
                <w:szCs w:val="20"/>
                <w:lang w:val="en-US" w:eastAsia="zh-CN"/>
              </w:rPr>
              <w:t>E</w:t>
            </w:r>
          </w:p>
        </w:tc>
        <w:tc>
          <w:tcPr>
            <w:tcW w:w="722" w:type="pct"/>
            <w:noWrap w:val="0"/>
            <w:vAlign w:val="center"/>
          </w:tcPr>
          <w:p>
            <w:pPr>
              <w:spacing w:line="240" w:lineRule="auto"/>
              <w:ind w:firstLine="0" w:firstLineChars="0"/>
              <w:jc w:val="center"/>
              <w:rPr>
                <w:color w:val="auto"/>
                <w:sz w:val="20"/>
                <w:szCs w:val="20"/>
              </w:rPr>
            </w:pPr>
            <w:r>
              <w:rPr>
                <w:rFonts w:hint="eastAsia"/>
                <w:color w:val="auto"/>
                <w:sz w:val="20"/>
                <w:szCs w:val="20"/>
                <w:lang w:val="en-US" w:eastAsia="zh-CN"/>
              </w:rPr>
              <w:t>2.8k</w:t>
            </w:r>
            <w:r>
              <w:rPr>
                <w:rFonts w:hint="eastAsia"/>
                <w:color w:val="auto"/>
                <w:sz w:val="20"/>
                <w:szCs w:val="20"/>
              </w:rPr>
              <w:t>m</w:t>
            </w:r>
          </w:p>
        </w:tc>
        <w:tc>
          <w:tcPr>
            <w:tcW w:w="1064" w:type="pct"/>
            <w:vMerge w:val="continue"/>
            <w:noWrap w:val="0"/>
            <w:vAlign w:val="center"/>
          </w:tcPr>
          <w:p>
            <w:pPr>
              <w:spacing w:line="240" w:lineRule="auto"/>
              <w:ind w:firstLine="0" w:firstLineChars="0"/>
              <w:jc w:val="center"/>
              <w:rPr>
                <w:color w:val="auto"/>
                <w:sz w:val="20"/>
                <w:szCs w:val="20"/>
              </w:rPr>
            </w:pPr>
          </w:p>
        </w:tc>
        <w:tc>
          <w:tcPr>
            <w:tcW w:w="959" w:type="pct"/>
            <w:noWrap w:val="0"/>
            <w:vAlign w:val="center"/>
          </w:tcPr>
          <w:p>
            <w:pPr>
              <w:spacing w:line="240" w:lineRule="auto"/>
              <w:ind w:firstLine="0" w:firstLineChars="0"/>
              <w:jc w:val="center"/>
              <w:rPr>
                <w:rFonts w:hint="eastAsia"/>
                <w:color w:val="auto"/>
                <w:sz w:val="20"/>
                <w:szCs w:val="20"/>
              </w:rPr>
            </w:pPr>
            <w:r>
              <w:rPr>
                <w:color w:val="auto"/>
                <w:sz w:val="20"/>
                <w:szCs w:val="20"/>
              </w:rPr>
              <w:t>III类水域</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vMerge w:val="restart"/>
            <w:noWrap w:val="0"/>
            <w:vAlign w:val="center"/>
          </w:tcPr>
          <w:p>
            <w:pPr>
              <w:spacing w:line="240" w:lineRule="auto"/>
              <w:ind w:firstLine="0" w:firstLineChars="0"/>
              <w:jc w:val="center"/>
              <w:rPr>
                <w:color w:val="auto"/>
                <w:sz w:val="20"/>
                <w:szCs w:val="20"/>
              </w:rPr>
            </w:pPr>
            <w:r>
              <w:rPr>
                <w:rFonts w:hint="eastAsia"/>
                <w:color w:val="auto"/>
                <w:sz w:val="20"/>
                <w:szCs w:val="20"/>
                <w:lang w:val="en-US" w:eastAsia="zh-CN"/>
              </w:rPr>
              <w:t>声环境</w:t>
            </w:r>
          </w:p>
        </w:tc>
        <w:tc>
          <w:tcPr>
            <w:tcW w:w="746" w:type="pct"/>
            <w:noWrap w:val="0"/>
            <w:vAlign w:val="center"/>
          </w:tcPr>
          <w:p>
            <w:pPr>
              <w:spacing w:line="240" w:lineRule="auto"/>
              <w:ind w:firstLine="0" w:firstLineChars="0"/>
              <w:jc w:val="center"/>
              <w:rPr>
                <w:rFonts w:hint="eastAsia"/>
                <w:color w:val="auto"/>
                <w:sz w:val="20"/>
                <w:szCs w:val="20"/>
                <w:lang w:val="en-US" w:eastAsia="zh-CN"/>
              </w:rPr>
            </w:pPr>
            <w:r>
              <w:rPr>
                <w:rFonts w:hint="eastAsia" w:ascii="宋体" w:hAnsi="宋体"/>
                <w:color w:val="auto"/>
                <w:sz w:val="20"/>
                <w:szCs w:val="20"/>
                <w:highlight w:val="none"/>
                <w:lang w:val="en-US" w:eastAsia="zh-CN"/>
              </w:rPr>
              <w:t>南侧住户</w:t>
            </w:r>
          </w:p>
        </w:tc>
        <w:tc>
          <w:tcPr>
            <w:tcW w:w="736" w:type="pct"/>
            <w:noWrap w:val="0"/>
            <w:vAlign w:val="center"/>
          </w:tcPr>
          <w:p>
            <w:pPr>
              <w:spacing w:line="240" w:lineRule="auto"/>
              <w:ind w:firstLine="0" w:firstLineChars="0"/>
              <w:jc w:val="center"/>
              <w:rPr>
                <w:rFonts w:hint="eastAsia"/>
                <w:color w:val="auto"/>
                <w:sz w:val="20"/>
                <w:szCs w:val="20"/>
                <w:lang w:val="en-US" w:eastAsia="zh-CN"/>
              </w:rPr>
            </w:pPr>
            <w:r>
              <w:rPr>
                <w:rFonts w:hint="eastAsia"/>
                <w:color w:val="auto"/>
                <w:sz w:val="20"/>
                <w:szCs w:val="20"/>
                <w:highlight w:val="none"/>
                <w:lang w:val="en-US" w:eastAsia="zh-CN"/>
              </w:rPr>
              <w:t>S</w:t>
            </w:r>
          </w:p>
        </w:tc>
        <w:tc>
          <w:tcPr>
            <w:tcW w:w="722" w:type="pct"/>
            <w:noWrap w:val="0"/>
            <w:vAlign w:val="center"/>
          </w:tcPr>
          <w:p>
            <w:pPr>
              <w:spacing w:line="240" w:lineRule="auto"/>
              <w:ind w:firstLine="0" w:firstLineChars="0"/>
              <w:jc w:val="center"/>
              <w:rPr>
                <w:rFonts w:hint="default"/>
                <w:color w:val="auto"/>
                <w:sz w:val="20"/>
                <w:szCs w:val="20"/>
                <w:lang w:val="en-US" w:eastAsia="zh-CN"/>
              </w:rPr>
            </w:pPr>
            <w:r>
              <w:rPr>
                <w:rFonts w:hint="eastAsia"/>
                <w:color w:val="auto"/>
                <w:sz w:val="20"/>
                <w:szCs w:val="20"/>
                <w:highlight w:val="none"/>
                <w:lang w:val="en-US" w:eastAsia="zh-CN"/>
              </w:rPr>
              <w:t>139~200m</w:t>
            </w:r>
          </w:p>
        </w:tc>
        <w:tc>
          <w:tcPr>
            <w:tcW w:w="1064" w:type="pct"/>
            <w:vMerge w:val="restart"/>
            <w:noWrap w:val="0"/>
            <w:vAlign w:val="center"/>
          </w:tcPr>
          <w:p>
            <w:pPr>
              <w:spacing w:line="240" w:lineRule="auto"/>
              <w:ind w:firstLine="0" w:firstLineChars="0"/>
              <w:jc w:val="center"/>
              <w:rPr>
                <w:color w:val="auto"/>
                <w:sz w:val="20"/>
                <w:szCs w:val="20"/>
              </w:rPr>
            </w:pPr>
            <w:r>
              <w:rPr>
                <w:rFonts w:hint="default"/>
                <w:color w:val="auto"/>
                <w:sz w:val="20"/>
                <w:szCs w:val="20"/>
                <w:lang w:val="en-US" w:eastAsia="zh-CN"/>
              </w:rPr>
              <w:t>GB3096-2008</w:t>
            </w:r>
            <w:r>
              <w:rPr>
                <w:rFonts w:hint="eastAsia"/>
                <w:color w:val="auto"/>
                <w:sz w:val="20"/>
                <w:szCs w:val="20"/>
                <w:lang w:val="en-US" w:eastAsia="zh-CN"/>
              </w:rPr>
              <w:t xml:space="preserve"> 2</w:t>
            </w:r>
            <w:r>
              <w:rPr>
                <w:rFonts w:hint="default"/>
                <w:color w:val="auto"/>
                <w:sz w:val="20"/>
                <w:szCs w:val="20"/>
                <w:lang w:val="en-US" w:eastAsia="zh-CN"/>
              </w:rPr>
              <w:t>类标准</w:t>
            </w:r>
          </w:p>
        </w:tc>
        <w:tc>
          <w:tcPr>
            <w:tcW w:w="959" w:type="pct"/>
            <w:vMerge w:val="restart"/>
            <w:noWrap w:val="0"/>
            <w:vAlign w:val="center"/>
          </w:tcPr>
          <w:p>
            <w:pPr>
              <w:spacing w:line="240" w:lineRule="auto"/>
              <w:ind w:firstLine="0" w:firstLineChars="0"/>
              <w:jc w:val="center"/>
              <w:rPr>
                <w:color w:val="auto"/>
                <w:sz w:val="20"/>
                <w:szCs w:val="20"/>
              </w:rPr>
            </w:pPr>
            <w:r>
              <w:rPr>
                <w:color w:val="auto"/>
                <w:sz w:val="20"/>
                <w:szCs w:val="20"/>
              </w:rPr>
              <w:t>2类声环境功能区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771" w:type="pct"/>
            <w:vMerge w:val="continue"/>
            <w:noWrap w:val="0"/>
            <w:vAlign w:val="center"/>
          </w:tcPr>
          <w:p>
            <w:pPr>
              <w:spacing w:line="240" w:lineRule="auto"/>
              <w:ind w:firstLine="0" w:firstLineChars="0"/>
              <w:jc w:val="center"/>
              <w:rPr>
                <w:rFonts w:hint="eastAsia"/>
                <w:color w:val="auto"/>
                <w:sz w:val="20"/>
                <w:szCs w:val="20"/>
                <w:lang w:val="en-US" w:eastAsia="zh-CN"/>
              </w:rPr>
            </w:pPr>
          </w:p>
        </w:tc>
        <w:tc>
          <w:tcPr>
            <w:tcW w:w="746" w:type="pct"/>
            <w:noWrap w:val="0"/>
            <w:vAlign w:val="center"/>
          </w:tcPr>
          <w:p>
            <w:pPr>
              <w:spacing w:line="240" w:lineRule="auto"/>
              <w:ind w:firstLine="0" w:firstLineChars="0"/>
              <w:jc w:val="center"/>
              <w:rPr>
                <w:rFonts w:hint="eastAsia"/>
                <w:color w:val="auto"/>
                <w:sz w:val="20"/>
                <w:szCs w:val="20"/>
                <w:lang w:val="en-US" w:eastAsia="zh-CN"/>
              </w:rPr>
            </w:pPr>
            <w:r>
              <w:rPr>
                <w:rFonts w:hint="eastAsia" w:ascii="宋体" w:hAnsi="宋体" w:eastAsia="宋体"/>
                <w:color w:val="auto"/>
                <w:sz w:val="20"/>
                <w:szCs w:val="20"/>
                <w:highlight w:val="none"/>
                <w:lang w:val="en-US" w:eastAsia="zh-CN"/>
              </w:rPr>
              <w:t>北侧住户</w:t>
            </w:r>
          </w:p>
        </w:tc>
        <w:tc>
          <w:tcPr>
            <w:tcW w:w="736" w:type="pct"/>
            <w:noWrap w:val="0"/>
            <w:vAlign w:val="center"/>
          </w:tcPr>
          <w:p>
            <w:pPr>
              <w:pStyle w:val="261"/>
              <w:ind w:firstLine="0" w:firstLineChars="0"/>
              <w:rPr>
                <w:rFonts w:hint="eastAsia"/>
                <w:color w:val="auto"/>
                <w:sz w:val="20"/>
                <w:szCs w:val="20"/>
                <w:lang w:val="en-US" w:eastAsia="zh-CN"/>
              </w:rPr>
            </w:pPr>
            <w:r>
              <w:rPr>
                <w:rFonts w:hint="eastAsia"/>
                <w:color w:val="auto"/>
                <w:sz w:val="20"/>
                <w:szCs w:val="20"/>
                <w:highlight w:val="none"/>
                <w:lang w:val="en-US" w:eastAsia="zh-CN"/>
              </w:rPr>
              <w:t>N</w:t>
            </w:r>
          </w:p>
        </w:tc>
        <w:tc>
          <w:tcPr>
            <w:tcW w:w="722" w:type="pct"/>
            <w:noWrap w:val="0"/>
            <w:vAlign w:val="center"/>
          </w:tcPr>
          <w:p>
            <w:pPr>
              <w:spacing w:line="240" w:lineRule="auto"/>
              <w:ind w:firstLine="0" w:firstLineChars="0"/>
              <w:jc w:val="center"/>
              <w:rPr>
                <w:rFonts w:hint="default"/>
                <w:color w:val="auto"/>
                <w:sz w:val="20"/>
                <w:szCs w:val="20"/>
                <w:lang w:val="en-US" w:eastAsia="zh-CN"/>
              </w:rPr>
            </w:pPr>
            <w:r>
              <w:rPr>
                <w:rFonts w:hint="eastAsia"/>
                <w:color w:val="auto"/>
                <w:sz w:val="20"/>
                <w:szCs w:val="20"/>
                <w:highlight w:val="none"/>
                <w:lang w:val="en-US" w:eastAsia="zh-CN"/>
              </w:rPr>
              <w:t>190~200m</w:t>
            </w:r>
          </w:p>
        </w:tc>
        <w:tc>
          <w:tcPr>
            <w:tcW w:w="1064" w:type="pct"/>
            <w:vMerge w:val="continue"/>
            <w:noWrap w:val="0"/>
            <w:vAlign w:val="center"/>
          </w:tcPr>
          <w:p>
            <w:pPr>
              <w:spacing w:line="240" w:lineRule="auto"/>
              <w:ind w:firstLine="0" w:firstLineChars="0"/>
              <w:jc w:val="center"/>
              <w:rPr>
                <w:color w:val="auto"/>
                <w:sz w:val="20"/>
                <w:szCs w:val="20"/>
              </w:rPr>
            </w:pPr>
          </w:p>
        </w:tc>
        <w:tc>
          <w:tcPr>
            <w:tcW w:w="959" w:type="pct"/>
            <w:vMerge w:val="continue"/>
            <w:noWrap w:val="0"/>
            <w:vAlign w:val="center"/>
          </w:tcPr>
          <w:p>
            <w:pPr>
              <w:spacing w:line="240" w:lineRule="auto"/>
              <w:ind w:firstLine="0" w:firstLineChars="0"/>
              <w:jc w:val="center"/>
              <w:rPr>
                <w:color w:val="auto"/>
                <w:sz w:val="20"/>
                <w:szCs w:val="20"/>
              </w:rPr>
            </w:pP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vMerge w:val="restart"/>
            <w:noWrap w:val="0"/>
            <w:vAlign w:val="center"/>
          </w:tcPr>
          <w:p>
            <w:pPr>
              <w:spacing w:line="240" w:lineRule="auto"/>
              <w:ind w:firstLine="0" w:firstLineChars="0"/>
              <w:jc w:val="center"/>
              <w:rPr>
                <w:color w:val="auto"/>
                <w:sz w:val="20"/>
                <w:szCs w:val="20"/>
              </w:rPr>
            </w:pPr>
            <w:r>
              <w:rPr>
                <w:color w:val="auto"/>
                <w:sz w:val="20"/>
                <w:szCs w:val="20"/>
              </w:rPr>
              <w:t>土壤环境</w:t>
            </w:r>
          </w:p>
        </w:tc>
        <w:tc>
          <w:tcPr>
            <w:tcW w:w="746"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林地</w:t>
            </w:r>
          </w:p>
        </w:tc>
        <w:tc>
          <w:tcPr>
            <w:tcW w:w="736"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四周</w:t>
            </w:r>
          </w:p>
        </w:tc>
        <w:tc>
          <w:tcPr>
            <w:tcW w:w="722"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lang w:val="en-US" w:eastAsia="zh-CN"/>
              </w:rPr>
              <w:t>50</w:t>
            </w:r>
            <w:r>
              <w:rPr>
                <w:color w:val="auto"/>
                <w:sz w:val="20"/>
                <w:szCs w:val="20"/>
              </w:rPr>
              <w:t>m</w:t>
            </w:r>
          </w:p>
        </w:tc>
        <w:tc>
          <w:tcPr>
            <w:tcW w:w="1064" w:type="pct"/>
            <w:vMerge w:val="restart"/>
            <w:noWrap w:val="0"/>
            <w:vAlign w:val="center"/>
          </w:tcPr>
          <w:p>
            <w:pPr>
              <w:spacing w:line="240" w:lineRule="auto"/>
              <w:ind w:firstLine="0" w:firstLineChars="0"/>
              <w:jc w:val="center"/>
              <w:rPr>
                <w:color w:val="auto"/>
                <w:sz w:val="20"/>
                <w:szCs w:val="20"/>
              </w:rPr>
            </w:pPr>
            <w:r>
              <w:rPr>
                <w:color w:val="auto"/>
                <w:sz w:val="20"/>
                <w:szCs w:val="20"/>
              </w:rPr>
              <w:t>GB 15618-2018</w:t>
            </w:r>
            <w:r>
              <w:rPr>
                <w:rFonts w:hint="eastAsia"/>
                <w:color w:val="auto"/>
                <w:sz w:val="20"/>
                <w:szCs w:val="20"/>
              </w:rPr>
              <w:t>中相关标准</w:t>
            </w:r>
          </w:p>
        </w:tc>
        <w:tc>
          <w:tcPr>
            <w:tcW w:w="959" w:type="pct"/>
            <w:vMerge w:val="restart"/>
            <w:noWrap w:val="0"/>
            <w:vAlign w:val="center"/>
          </w:tcPr>
          <w:p>
            <w:pPr>
              <w:spacing w:line="240" w:lineRule="auto"/>
              <w:ind w:firstLine="0" w:firstLineChars="0"/>
              <w:jc w:val="center"/>
              <w:rPr>
                <w:color w:val="auto"/>
                <w:sz w:val="20"/>
                <w:szCs w:val="20"/>
              </w:rPr>
            </w:pPr>
            <w:r>
              <w:rPr>
                <w:rFonts w:hint="eastAsia"/>
                <w:color w:val="auto"/>
                <w:sz w:val="20"/>
                <w:szCs w:val="20"/>
              </w:rPr>
              <w:t>不对区域土壤环境产生明显影响</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vMerge w:val="continue"/>
            <w:noWrap w:val="0"/>
            <w:vAlign w:val="center"/>
          </w:tcPr>
          <w:p>
            <w:pPr>
              <w:spacing w:line="240" w:lineRule="auto"/>
              <w:ind w:firstLine="0" w:firstLineChars="0"/>
              <w:jc w:val="center"/>
              <w:rPr>
                <w:color w:val="auto"/>
                <w:sz w:val="20"/>
                <w:szCs w:val="20"/>
              </w:rPr>
            </w:pPr>
          </w:p>
        </w:tc>
        <w:tc>
          <w:tcPr>
            <w:tcW w:w="746"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耕地</w:t>
            </w:r>
          </w:p>
        </w:tc>
        <w:tc>
          <w:tcPr>
            <w:tcW w:w="736"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四周</w:t>
            </w:r>
          </w:p>
        </w:tc>
        <w:tc>
          <w:tcPr>
            <w:tcW w:w="722" w:type="pct"/>
            <w:noWrap w:val="0"/>
            <w:vAlign w:val="center"/>
          </w:tcPr>
          <w:p>
            <w:pPr>
              <w:spacing w:line="240" w:lineRule="auto"/>
              <w:ind w:firstLine="0" w:firstLineChars="0"/>
              <w:jc w:val="center"/>
              <w:rPr>
                <w:rFonts w:hint="eastAsia"/>
                <w:color w:val="auto"/>
                <w:sz w:val="20"/>
                <w:szCs w:val="20"/>
              </w:rPr>
            </w:pPr>
            <w:r>
              <w:rPr>
                <w:rFonts w:hint="eastAsia"/>
                <w:color w:val="auto"/>
                <w:sz w:val="20"/>
                <w:szCs w:val="20"/>
                <w:lang w:val="en-US" w:eastAsia="zh-CN"/>
              </w:rPr>
              <w:t>50</w:t>
            </w:r>
            <w:r>
              <w:rPr>
                <w:color w:val="auto"/>
                <w:sz w:val="20"/>
                <w:szCs w:val="20"/>
              </w:rPr>
              <w:t>m</w:t>
            </w:r>
          </w:p>
        </w:tc>
        <w:tc>
          <w:tcPr>
            <w:tcW w:w="1064" w:type="pct"/>
            <w:vMerge w:val="continue"/>
            <w:noWrap w:val="0"/>
            <w:vAlign w:val="center"/>
          </w:tcPr>
          <w:p>
            <w:pPr>
              <w:spacing w:line="240" w:lineRule="auto"/>
              <w:ind w:firstLine="0" w:firstLineChars="0"/>
              <w:jc w:val="center"/>
              <w:rPr>
                <w:color w:val="auto"/>
                <w:sz w:val="20"/>
                <w:szCs w:val="20"/>
              </w:rPr>
            </w:pPr>
          </w:p>
        </w:tc>
        <w:tc>
          <w:tcPr>
            <w:tcW w:w="959" w:type="pct"/>
            <w:vMerge w:val="continue"/>
            <w:noWrap w:val="0"/>
            <w:vAlign w:val="center"/>
          </w:tcPr>
          <w:p>
            <w:pPr>
              <w:spacing w:line="240" w:lineRule="auto"/>
              <w:ind w:firstLine="0" w:firstLineChars="0"/>
              <w:jc w:val="center"/>
              <w:rPr>
                <w:rFonts w:hint="eastAsia"/>
                <w:color w:val="auto"/>
                <w:sz w:val="20"/>
                <w:szCs w:val="20"/>
              </w:rPr>
            </w:pP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71" w:type="pct"/>
            <w:noWrap w:val="0"/>
            <w:vAlign w:val="center"/>
          </w:tcPr>
          <w:p>
            <w:pPr>
              <w:spacing w:line="240" w:lineRule="auto"/>
              <w:ind w:firstLine="0" w:firstLineChars="0"/>
              <w:jc w:val="center"/>
              <w:rPr>
                <w:color w:val="auto"/>
                <w:sz w:val="20"/>
                <w:szCs w:val="20"/>
              </w:rPr>
            </w:pPr>
            <w:r>
              <w:rPr>
                <w:color w:val="auto"/>
                <w:sz w:val="20"/>
                <w:szCs w:val="20"/>
              </w:rPr>
              <w:t>地下水环境</w:t>
            </w:r>
          </w:p>
        </w:tc>
        <w:tc>
          <w:tcPr>
            <w:tcW w:w="2204" w:type="pct"/>
            <w:gridSpan w:val="3"/>
            <w:noWrap w:val="0"/>
            <w:vAlign w:val="center"/>
          </w:tcPr>
          <w:p>
            <w:pPr>
              <w:spacing w:line="240" w:lineRule="auto"/>
              <w:ind w:firstLine="0" w:firstLineChars="0"/>
              <w:jc w:val="center"/>
              <w:rPr>
                <w:color w:val="auto"/>
                <w:sz w:val="20"/>
                <w:szCs w:val="20"/>
              </w:rPr>
            </w:pPr>
            <w:r>
              <w:rPr>
                <w:rFonts w:hint="eastAsia"/>
                <w:color w:val="auto"/>
                <w:sz w:val="20"/>
                <w:szCs w:val="20"/>
              </w:rPr>
              <w:t>评价范围内地下水水质</w:t>
            </w:r>
          </w:p>
        </w:tc>
        <w:tc>
          <w:tcPr>
            <w:tcW w:w="2024" w:type="pct"/>
            <w:gridSpan w:val="2"/>
            <w:noWrap w:val="0"/>
            <w:vAlign w:val="center"/>
          </w:tcPr>
          <w:p>
            <w:pPr>
              <w:spacing w:line="240" w:lineRule="auto"/>
              <w:ind w:firstLine="0" w:firstLineChars="0"/>
              <w:jc w:val="center"/>
              <w:rPr>
                <w:color w:val="auto"/>
                <w:sz w:val="20"/>
                <w:szCs w:val="20"/>
              </w:rPr>
            </w:pPr>
            <w:r>
              <w:rPr>
                <w:color w:val="auto"/>
                <w:sz w:val="20"/>
                <w:szCs w:val="20"/>
              </w:rPr>
              <w:t>GB/T14848-2017中III类标准</w:t>
            </w:r>
          </w:p>
        </w:tc>
      </w:tr>
    </w:tbl>
    <w:p>
      <w:pPr>
        <w:pStyle w:val="211"/>
        <w:spacing w:line="440" w:lineRule="exact"/>
        <w:rPr>
          <w:rFonts w:ascii="Times New Roman" w:hAnsi="Times New Roman" w:cs="Times New Roman"/>
          <w:color w:val="auto"/>
        </w:rPr>
      </w:pPr>
    </w:p>
    <w:p>
      <w:pPr>
        <w:ind w:firstLine="480"/>
        <w:rPr>
          <w:color w:val="auto"/>
        </w:rPr>
      </w:pPr>
    </w:p>
    <w:p>
      <w:pPr>
        <w:ind w:firstLine="480"/>
        <w:rPr>
          <w:color w:val="auto"/>
        </w:rPr>
        <w:sectPr>
          <w:headerReference r:id="rId14" w:type="default"/>
          <w:pgSz w:w="11906" w:h="16838"/>
          <w:pgMar w:top="1418" w:right="1418" w:bottom="1418" w:left="1701" w:header="851" w:footer="992" w:gutter="0"/>
          <w:cols w:space="720" w:num="1"/>
          <w:docGrid w:linePitch="312" w:charSpace="0"/>
        </w:sectPr>
      </w:pPr>
    </w:p>
    <w:p>
      <w:pPr>
        <w:pStyle w:val="6"/>
        <w:rPr>
          <w:rFonts w:eastAsia="黑体"/>
          <w:color w:val="auto"/>
          <w:sz w:val="44"/>
        </w:rPr>
      </w:pPr>
      <w:bookmarkStart w:id="55" w:name="_Toc7363"/>
      <w:r>
        <w:rPr>
          <w:rFonts w:eastAsia="黑体"/>
          <w:color w:val="auto"/>
          <w:sz w:val="44"/>
        </w:rPr>
        <w:t>建设项目工程分析</w:t>
      </w:r>
      <w:bookmarkEnd w:id="55"/>
    </w:p>
    <w:p>
      <w:pPr>
        <w:pStyle w:val="7"/>
        <w:rPr>
          <w:rFonts w:eastAsia="黑体"/>
          <w:color w:val="auto"/>
          <w:sz w:val="32"/>
        </w:rPr>
      </w:pPr>
      <w:bookmarkStart w:id="56" w:name="_Toc251142448"/>
      <w:bookmarkStart w:id="57" w:name="_Toc436035669"/>
      <w:bookmarkStart w:id="58" w:name="_Toc2391"/>
      <w:bookmarkStart w:id="59" w:name="_Toc418753315"/>
      <w:r>
        <w:rPr>
          <w:rFonts w:eastAsia="黑体"/>
          <w:color w:val="auto"/>
          <w:sz w:val="32"/>
        </w:rPr>
        <w:t>建设项目概况</w:t>
      </w:r>
      <w:bookmarkEnd w:id="56"/>
      <w:bookmarkEnd w:id="57"/>
      <w:bookmarkEnd w:id="58"/>
      <w:bookmarkEnd w:id="59"/>
    </w:p>
    <w:p>
      <w:pPr>
        <w:pStyle w:val="8"/>
        <w:tabs>
          <w:tab w:val="clear" w:pos="0"/>
        </w:tabs>
        <w:rPr>
          <w:rFonts w:eastAsia="黑体"/>
          <w:color w:val="auto"/>
          <w:sz w:val="28"/>
          <w:szCs w:val="28"/>
        </w:rPr>
      </w:pPr>
      <w:r>
        <w:rPr>
          <w:rFonts w:eastAsia="黑体"/>
          <w:color w:val="auto"/>
          <w:sz w:val="28"/>
          <w:szCs w:val="28"/>
        </w:rPr>
        <w:t>项目名称、建设性质等</w:t>
      </w:r>
    </w:p>
    <w:p>
      <w:pPr>
        <w:ind w:firstLine="482"/>
        <w:rPr>
          <w:rFonts w:hint="eastAsia" w:eastAsia="宋体"/>
          <w:color w:val="auto"/>
          <w:lang w:eastAsia="zh-CN"/>
        </w:rPr>
      </w:pPr>
      <w:r>
        <w:rPr>
          <w:b/>
          <w:color w:val="auto"/>
        </w:rPr>
        <w:t>项目名称：</w:t>
      </w:r>
      <w:r>
        <w:rPr>
          <w:rFonts w:hint="eastAsia"/>
          <w:color w:val="auto"/>
          <w:lang w:eastAsia="zh-CN"/>
        </w:rPr>
        <w:t>绵阳市硕牧云康畜牧养殖有限责任公司生猪养殖项目</w:t>
      </w:r>
    </w:p>
    <w:p>
      <w:pPr>
        <w:ind w:firstLine="482"/>
        <w:rPr>
          <w:rFonts w:hint="eastAsia" w:eastAsia="宋体"/>
          <w:color w:val="auto"/>
          <w:lang w:eastAsia="zh-CN"/>
        </w:rPr>
      </w:pPr>
      <w:r>
        <w:rPr>
          <w:b/>
          <w:color w:val="auto"/>
        </w:rPr>
        <w:t>建设单位：</w:t>
      </w:r>
      <w:r>
        <w:rPr>
          <w:rFonts w:hint="eastAsia"/>
          <w:color w:val="auto"/>
          <w:lang w:eastAsia="zh-CN"/>
        </w:rPr>
        <w:t xml:space="preserve">绵阳市硕牧云康畜牧养殖有限责任公司 </w:t>
      </w:r>
    </w:p>
    <w:p>
      <w:pPr>
        <w:ind w:firstLine="482"/>
        <w:rPr>
          <w:rFonts w:hint="eastAsia" w:eastAsia="宋体"/>
          <w:color w:val="auto"/>
          <w:lang w:eastAsia="zh-CN"/>
        </w:rPr>
      </w:pPr>
      <w:r>
        <w:rPr>
          <w:b/>
          <w:color w:val="auto"/>
        </w:rPr>
        <w:t>建设地点：</w:t>
      </w:r>
      <w:bookmarkStart w:id="60" w:name="_Hlk45287283"/>
      <w:r>
        <w:rPr>
          <w:rFonts w:hint="eastAsia"/>
          <w:color w:val="auto"/>
        </w:rPr>
        <w:t>四川省</w:t>
      </w:r>
      <w:bookmarkEnd w:id="60"/>
      <w:r>
        <w:rPr>
          <w:rFonts w:hint="eastAsia"/>
          <w:color w:val="auto"/>
          <w:lang w:eastAsia="zh-CN"/>
        </w:rPr>
        <w:t>绵阳市游仙区盐泉镇通远村（原葫芦村4社）</w:t>
      </w:r>
    </w:p>
    <w:p>
      <w:pPr>
        <w:ind w:firstLine="482"/>
        <w:rPr>
          <w:rFonts w:hint="eastAsia" w:eastAsia="宋体"/>
          <w:color w:val="auto"/>
          <w:lang w:eastAsia="zh-CN"/>
        </w:rPr>
      </w:pPr>
      <w:r>
        <w:rPr>
          <w:b/>
          <w:color w:val="auto"/>
        </w:rPr>
        <w:t>建设性质</w:t>
      </w:r>
      <w:r>
        <w:rPr>
          <w:color w:val="auto"/>
        </w:rPr>
        <w:t>：新建</w:t>
      </w:r>
      <w:r>
        <w:rPr>
          <w:rFonts w:hint="eastAsia"/>
          <w:color w:val="auto"/>
          <w:lang w:eastAsia="zh-CN"/>
        </w:rPr>
        <w:t>（</w:t>
      </w:r>
      <w:r>
        <w:rPr>
          <w:rFonts w:hint="eastAsia"/>
          <w:color w:val="auto"/>
          <w:lang w:val="en-US" w:eastAsia="zh-CN"/>
        </w:rPr>
        <w:t>重新报批</w:t>
      </w:r>
      <w:r>
        <w:rPr>
          <w:rFonts w:hint="eastAsia"/>
          <w:color w:val="auto"/>
          <w:lang w:eastAsia="zh-CN"/>
        </w:rPr>
        <w:t>）</w:t>
      </w:r>
    </w:p>
    <w:p>
      <w:pPr>
        <w:pStyle w:val="16"/>
        <w:spacing w:line="360" w:lineRule="auto"/>
        <w:ind w:firstLine="482"/>
        <w:rPr>
          <w:rFonts w:ascii="Times New Roman" w:hAnsi="Times New Roman"/>
          <w:color w:val="auto"/>
        </w:rPr>
      </w:pPr>
      <w:r>
        <w:rPr>
          <w:rFonts w:ascii="Times New Roman" w:hAnsi="Times New Roman"/>
          <w:b/>
          <w:color w:val="auto"/>
        </w:rPr>
        <w:t>行业类别及代码：</w:t>
      </w:r>
      <w:r>
        <w:rPr>
          <w:rFonts w:ascii="Times New Roman" w:hAnsi="Times New Roman"/>
          <w:color w:val="auto"/>
        </w:rPr>
        <w:t>猪的饲养（A0313）</w:t>
      </w:r>
    </w:p>
    <w:p>
      <w:pPr>
        <w:ind w:firstLine="482"/>
        <w:rPr>
          <w:color w:val="auto"/>
        </w:rPr>
      </w:pPr>
      <w:r>
        <w:rPr>
          <w:b/>
          <w:color w:val="auto"/>
        </w:rPr>
        <w:t>项目投资：</w:t>
      </w:r>
      <w:r>
        <w:rPr>
          <w:color w:val="auto"/>
        </w:rPr>
        <w:t>项目总投资</w:t>
      </w:r>
      <w:r>
        <w:rPr>
          <w:rFonts w:hint="eastAsia"/>
          <w:color w:val="auto"/>
        </w:rPr>
        <w:t>4600</w:t>
      </w:r>
      <w:r>
        <w:rPr>
          <w:color w:val="auto"/>
        </w:rPr>
        <w:t>万元，自筹资金</w:t>
      </w:r>
      <w:r>
        <w:rPr>
          <w:rFonts w:hint="eastAsia"/>
          <w:color w:val="auto"/>
        </w:rPr>
        <w:t>4600</w:t>
      </w:r>
      <w:r>
        <w:rPr>
          <w:color w:val="auto"/>
        </w:rPr>
        <w:t>万元</w:t>
      </w:r>
    </w:p>
    <w:p>
      <w:pPr>
        <w:ind w:firstLine="482"/>
        <w:rPr>
          <w:color w:val="auto"/>
        </w:rPr>
      </w:pPr>
      <w:r>
        <w:rPr>
          <w:b/>
          <w:color w:val="auto"/>
        </w:rPr>
        <w:t>劳动定员：</w:t>
      </w:r>
      <w:r>
        <w:rPr>
          <w:color w:val="auto"/>
        </w:rPr>
        <w:t>项目劳动定员</w:t>
      </w:r>
      <w:r>
        <w:rPr>
          <w:rFonts w:hint="eastAsia"/>
          <w:color w:val="auto"/>
          <w:lang w:val="en-US" w:eastAsia="zh-CN"/>
        </w:rPr>
        <w:t>7</w:t>
      </w:r>
      <w:r>
        <w:rPr>
          <w:color w:val="auto"/>
        </w:rPr>
        <w:t>人</w:t>
      </w:r>
    </w:p>
    <w:p>
      <w:pPr>
        <w:ind w:firstLine="482"/>
        <w:rPr>
          <w:color w:val="auto"/>
        </w:rPr>
      </w:pPr>
      <w:r>
        <w:rPr>
          <w:b/>
          <w:color w:val="auto"/>
        </w:rPr>
        <w:t>工作制度：</w:t>
      </w:r>
      <w:r>
        <w:rPr>
          <w:color w:val="auto"/>
        </w:rPr>
        <w:t>实行单班制，每班工作8h，夜间不</w:t>
      </w:r>
      <w:r>
        <w:rPr>
          <w:rFonts w:hint="eastAsia"/>
          <w:color w:val="auto"/>
        </w:rPr>
        <w:t>工作</w:t>
      </w:r>
      <w:r>
        <w:rPr>
          <w:color w:val="auto"/>
        </w:rPr>
        <w:t>，全年工作365天。</w:t>
      </w:r>
    </w:p>
    <w:p>
      <w:pPr>
        <w:pStyle w:val="8"/>
        <w:tabs>
          <w:tab w:val="clear" w:pos="0"/>
        </w:tabs>
        <w:rPr>
          <w:color w:val="auto"/>
        </w:rPr>
      </w:pPr>
      <w:r>
        <w:rPr>
          <w:rFonts w:eastAsia="黑体"/>
          <w:color w:val="auto"/>
          <w:sz w:val="28"/>
          <w:szCs w:val="28"/>
        </w:rPr>
        <w:t>项目建设内容及规模</w:t>
      </w:r>
    </w:p>
    <w:p>
      <w:pPr>
        <w:ind w:firstLine="480"/>
        <w:rPr>
          <w:color w:val="auto"/>
        </w:rPr>
      </w:pPr>
      <w:r>
        <w:rPr>
          <w:color w:val="auto"/>
        </w:rPr>
        <w:t>本项目主要建设内容及规模为：</w:t>
      </w:r>
      <w:r>
        <w:rPr>
          <w:rFonts w:hint="eastAsia"/>
          <w:color w:val="auto"/>
        </w:rPr>
        <w:t>项目占地38.57亩，建设圈舍、配套设施、管理用房、蓄水池及污水处理环保设施等，计划年出栏14000头育肥猪。</w:t>
      </w:r>
      <w:r>
        <w:rPr>
          <w:rFonts w:hint="eastAsia"/>
          <w:color w:val="auto"/>
          <w:lang w:eastAsia="zh-CN"/>
        </w:rPr>
        <w:t>新建育肥栏舍</w:t>
      </w:r>
      <w:r>
        <w:rPr>
          <w:rFonts w:hint="eastAsia"/>
          <w:color w:val="auto"/>
          <w:lang w:val="en-US" w:eastAsia="zh-CN"/>
        </w:rPr>
        <w:t>6</w:t>
      </w:r>
      <w:r>
        <w:rPr>
          <w:rFonts w:hint="eastAsia"/>
          <w:color w:val="auto"/>
          <w:lang w:eastAsia="zh-CN"/>
        </w:rPr>
        <w:t>栋，并配套建设供电、供水等公用和辅助工程以及污粪处理等环保设施。</w:t>
      </w:r>
      <w:r>
        <w:rPr>
          <w:rFonts w:hint="eastAsia"/>
          <w:color w:val="auto"/>
        </w:rPr>
        <w:t>建成后达到年出栏育肥猪</w:t>
      </w:r>
      <w:r>
        <w:rPr>
          <w:rFonts w:hint="eastAsia"/>
          <w:color w:val="auto"/>
          <w:lang w:val="en-US" w:eastAsia="zh-CN"/>
        </w:rPr>
        <w:t>1.4万</w:t>
      </w:r>
      <w:r>
        <w:rPr>
          <w:rFonts w:hint="eastAsia"/>
          <w:color w:val="auto"/>
        </w:rPr>
        <w:t>头的</w:t>
      </w:r>
      <w:r>
        <w:rPr>
          <w:rFonts w:hint="eastAsia"/>
          <w:color w:val="auto"/>
          <w:lang w:val="en-US" w:eastAsia="zh-CN"/>
        </w:rPr>
        <w:t>养殖能力</w:t>
      </w:r>
      <w:r>
        <w:rPr>
          <w:rFonts w:hint="eastAsia"/>
          <w:color w:val="auto"/>
          <w:lang w:eastAsia="zh-CN"/>
        </w:rPr>
        <w:t>。本项目为育肥猪养殖项目，养殖场内不进行饲料加工和生猪屠宰。</w:t>
      </w:r>
    </w:p>
    <w:p>
      <w:pPr>
        <w:pStyle w:val="8"/>
        <w:tabs>
          <w:tab w:val="clear" w:pos="0"/>
        </w:tabs>
        <w:rPr>
          <w:color w:val="auto"/>
        </w:rPr>
      </w:pPr>
      <w:r>
        <w:rPr>
          <w:rFonts w:eastAsia="黑体"/>
          <w:color w:val="auto"/>
          <w:sz w:val="28"/>
          <w:szCs w:val="28"/>
        </w:rPr>
        <w:t>产品方案</w:t>
      </w:r>
    </w:p>
    <w:p>
      <w:pPr>
        <w:pStyle w:val="95"/>
        <w:spacing w:line="360" w:lineRule="auto"/>
        <w:ind w:firstLine="480" w:firstLineChars="200"/>
        <w:rPr>
          <w:rFonts w:hint="eastAsia" w:ascii="Times New Roman"/>
          <w:color w:val="auto"/>
          <w:sz w:val="24"/>
          <w:szCs w:val="24"/>
          <w:u w:val="none"/>
        </w:rPr>
      </w:pPr>
      <w:r>
        <w:rPr>
          <w:rFonts w:hint="eastAsia" w:ascii="Times New Roman"/>
          <w:color w:val="auto"/>
          <w:sz w:val="24"/>
          <w:szCs w:val="24"/>
          <w:u w:val="none"/>
        </w:rPr>
        <w:t>项目为育肥猪养殖，</w:t>
      </w:r>
      <w:bookmarkStart w:id="61" w:name="_Toc410633590"/>
      <w:r>
        <w:rPr>
          <w:rFonts w:hint="eastAsia" w:ascii="Times New Roman"/>
          <w:color w:val="auto"/>
          <w:sz w:val="24"/>
          <w:szCs w:val="24"/>
          <w:u w:val="none"/>
        </w:rPr>
        <w:t>计划年出栏量育肥猪14000 头，与</w:t>
      </w:r>
      <w:r>
        <w:rPr>
          <w:rFonts w:hint="eastAsia" w:ascii="Arial" w:hAnsi="Arial" w:eastAsia="宋体" w:cs="Arial"/>
          <w:i w:val="0"/>
          <w:caps w:val="0"/>
          <w:color w:val="auto"/>
          <w:spacing w:val="0"/>
          <w:sz w:val="24"/>
          <w:szCs w:val="24"/>
          <w:shd w:val="clear" w:color="auto" w:fill="FFFFFF"/>
        </w:rPr>
        <w:t>铁骑力士集团</w:t>
      </w:r>
      <w:r>
        <w:rPr>
          <w:rFonts w:hint="eastAsia" w:ascii="Times New Roman"/>
          <w:color w:val="auto"/>
          <w:sz w:val="24"/>
          <w:szCs w:val="24"/>
          <w:u w:val="none"/>
        </w:rPr>
        <w:t>进行合作，采取托养方式养殖育肥猪。由</w:t>
      </w:r>
      <w:r>
        <w:rPr>
          <w:rFonts w:hint="eastAsia" w:ascii="Arial" w:hAnsi="Arial" w:eastAsia="宋体" w:cs="Arial"/>
          <w:i w:val="0"/>
          <w:caps w:val="0"/>
          <w:color w:val="auto"/>
          <w:spacing w:val="0"/>
          <w:sz w:val="24"/>
          <w:szCs w:val="24"/>
          <w:shd w:val="clear" w:color="auto" w:fill="FFFFFF"/>
        </w:rPr>
        <w:t>铁骑力士集团</w:t>
      </w:r>
      <w:r>
        <w:rPr>
          <w:rFonts w:hint="eastAsia" w:ascii="Times New Roman"/>
          <w:color w:val="auto"/>
          <w:sz w:val="24"/>
          <w:szCs w:val="24"/>
          <w:u w:val="none"/>
        </w:rPr>
        <w:t>提供猪仔、饲料疫苗及技术支持等，保育</w:t>
      </w:r>
      <w:r>
        <w:rPr>
          <w:rFonts w:hint="eastAsia" w:ascii="Times New Roman"/>
          <w:color w:val="auto"/>
          <w:sz w:val="24"/>
          <w:szCs w:val="24"/>
          <w:u w:val="none"/>
          <w:lang w:val="en-US" w:eastAsia="zh-CN"/>
        </w:rPr>
        <w:t>猪</w:t>
      </w:r>
      <w:r>
        <w:rPr>
          <w:rFonts w:hint="eastAsia" w:ascii="Times New Roman"/>
          <w:color w:val="auto"/>
          <w:sz w:val="24"/>
          <w:szCs w:val="24"/>
          <w:u w:val="none"/>
        </w:rPr>
        <w:t>6.5~7.5kg 时进场，在本项目养殖场内进行养殖育肥，场内养殖周期约</w:t>
      </w:r>
      <w:r>
        <w:rPr>
          <w:rFonts w:hint="eastAsia" w:ascii="Times New Roman"/>
          <w:color w:val="auto"/>
          <w:sz w:val="24"/>
          <w:szCs w:val="24"/>
          <w:u w:val="none"/>
          <w:lang w:val="en-US" w:eastAsia="zh-CN"/>
        </w:rPr>
        <w:t>6</w:t>
      </w:r>
      <w:r>
        <w:rPr>
          <w:rFonts w:hint="eastAsia" w:ascii="Times New Roman"/>
          <w:color w:val="auto"/>
          <w:sz w:val="24"/>
          <w:szCs w:val="24"/>
          <w:u w:val="none"/>
        </w:rPr>
        <w:t>个月（</w:t>
      </w:r>
      <w:r>
        <w:rPr>
          <w:rFonts w:hint="eastAsia" w:ascii="Times New Roman"/>
          <w:color w:val="auto"/>
          <w:sz w:val="24"/>
          <w:szCs w:val="24"/>
          <w:u w:val="none"/>
          <w:lang w:val="en-US" w:eastAsia="zh-CN"/>
        </w:rPr>
        <w:t>175-180</w:t>
      </w:r>
      <w:r>
        <w:rPr>
          <w:rFonts w:hint="eastAsia" w:ascii="Times New Roman"/>
          <w:color w:val="auto"/>
          <w:sz w:val="24"/>
          <w:szCs w:val="24"/>
          <w:u w:val="none"/>
        </w:rPr>
        <w:t>天</w:t>
      </w:r>
      <w:r>
        <w:rPr>
          <w:rFonts w:hint="eastAsia" w:ascii="Times New Roman"/>
          <w:color w:val="auto"/>
          <w:sz w:val="24"/>
          <w:szCs w:val="24"/>
          <w:u w:val="none"/>
          <w:lang w:eastAsia="zh-CN"/>
        </w:rPr>
        <w:t>，</w:t>
      </w:r>
      <w:r>
        <w:rPr>
          <w:rFonts w:hint="eastAsia" w:ascii="Times New Roman"/>
          <w:color w:val="auto"/>
          <w:sz w:val="24"/>
          <w:szCs w:val="24"/>
          <w:u w:val="none"/>
          <w:lang w:val="en-US" w:eastAsia="zh-CN"/>
        </w:rPr>
        <w:t>本项目以180天计</w:t>
      </w:r>
      <w:r>
        <w:rPr>
          <w:rFonts w:hint="eastAsia" w:ascii="Times New Roman"/>
          <w:color w:val="auto"/>
          <w:sz w:val="24"/>
          <w:szCs w:val="24"/>
          <w:u w:val="none"/>
        </w:rPr>
        <w:t>），养殖至 130kg/只~150kg/只后再由该铁骑力士集团收购外售。 每年出栏两批次，间隔时间用于圈舍空置消毒。</w:t>
      </w:r>
      <w:r>
        <w:rPr>
          <w:rFonts w:hint="eastAsia" w:ascii="Times New Roman"/>
          <w:b/>
          <w:bCs/>
          <w:color w:val="auto"/>
          <w:sz w:val="24"/>
          <w:szCs w:val="24"/>
          <w:u w:val="none"/>
        </w:rPr>
        <w:t>本项目养殖场内不涉及配种、妊娠、分娩、哺乳、保育等过程，不进行饲料加工、生猪屠宰。</w:t>
      </w:r>
    </w:p>
    <w:p>
      <w:pPr>
        <w:pStyle w:val="95"/>
        <w:keepNext w:val="0"/>
        <w:keepLines w:val="0"/>
        <w:pageBreakBefore w:val="0"/>
        <w:widowControl w:val="0"/>
        <w:kinsoku/>
        <w:wordWrap/>
        <w:overflowPunct/>
        <w:topLinePunct w:val="0"/>
        <w:autoSpaceDE w:val="0"/>
        <w:autoSpaceDN w:val="0"/>
        <w:bidi w:val="0"/>
        <w:adjustRightInd w:val="0"/>
        <w:snapToGrid/>
        <w:spacing w:line="0" w:lineRule="atLeast"/>
        <w:ind w:firstLine="0" w:firstLineChars="0"/>
        <w:jc w:val="center"/>
        <w:textAlignment w:val="auto"/>
        <w:rPr>
          <w:rFonts w:hint="eastAsia" w:ascii="Times New Roman"/>
          <w:b/>
          <w:bCs/>
          <w:color w:val="auto"/>
          <w:sz w:val="20"/>
          <w:szCs w:val="20"/>
          <w:u w:val="none"/>
        </w:rPr>
      </w:pPr>
      <w:r>
        <w:rPr>
          <w:rFonts w:hint="eastAsia" w:ascii="Times New Roman"/>
          <w:b/>
          <w:bCs/>
          <w:color w:val="auto"/>
          <w:sz w:val="20"/>
          <w:szCs w:val="20"/>
          <w:u w:val="none"/>
        </w:rPr>
        <w:t xml:space="preserve">表 </w:t>
      </w:r>
      <w:r>
        <w:rPr>
          <w:rFonts w:hint="eastAsia" w:ascii="Times New Roman"/>
          <w:b/>
          <w:bCs/>
          <w:color w:val="auto"/>
          <w:sz w:val="20"/>
          <w:szCs w:val="20"/>
          <w:u w:val="none"/>
          <w:lang w:val="en-US" w:eastAsia="zh-CN"/>
        </w:rPr>
        <w:t>3</w:t>
      </w:r>
      <w:r>
        <w:rPr>
          <w:rFonts w:hint="eastAsia" w:ascii="Times New Roman"/>
          <w:b/>
          <w:bCs/>
          <w:color w:val="auto"/>
          <w:sz w:val="20"/>
          <w:szCs w:val="20"/>
          <w:u w:val="none"/>
        </w:rPr>
        <w:t>.</w:t>
      </w:r>
      <w:r>
        <w:rPr>
          <w:rFonts w:hint="eastAsia" w:ascii="Times New Roman"/>
          <w:b/>
          <w:bCs/>
          <w:color w:val="auto"/>
          <w:sz w:val="20"/>
          <w:szCs w:val="20"/>
          <w:u w:val="none"/>
          <w:lang w:val="en-US" w:eastAsia="zh-CN"/>
        </w:rPr>
        <w:t>1</w:t>
      </w:r>
      <w:r>
        <w:rPr>
          <w:rFonts w:hint="eastAsia" w:ascii="Times New Roman"/>
          <w:b/>
          <w:bCs/>
          <w:color w:val="auto"/>
          <w:sz w:val="20"/>
          <w:szCs w:val="20"/>
          <w:u w:val="none"/>
        </w:rPr>
        <w:t>-1</w:t>
      </w:r>
      <w:r>
        <w:rPr>
          <w:rFonts w:hint="eastAsia" w:ascii="Times New Roman"/>
          <w:b/>
          <w:bCs/>
          <w:color w:val="auto"/>
          <w:sz w:val="20"/>
          <w:szCs w:val="20"/>
          <w:u w:val="none"/>
          <w:lang w:val="en-US" w:eastAsia="zh-CN"/>
        </w:rPr>
        <w:t xml:space="preserve"> </w:t>
      </w:r>
      <w:r>
        <w:rPr>
          <w:rFonts w:hint="eastAsia" w:ascii="Times New Roman"/>
          <w:b/>
          <w:bCs/>
          <w:color w:val="auto"/>
          <w:sz w:val="20"/>
          <w:szCs w:val="20"/>
          <w:u w:val="none"/>
        </w:rPr>
        <w:t>项目产品方案情况表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left w:w="108" w:type="dxa"/>
          <w:right w:w="108" w:type="dxa"/>
        </w:tblCellMar>
      </w:tblPr>
      <w:tblGrid>
        <w:gridCol w:w="1799"/>
        <w:gridCol w:w="1799"/>
        <w:gridCol w:w="1799"/>
        <w:gridCol w:w="1802"/>
        <w:gridCol w:w="180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产品名称</w:t>
            </w:r>
          </w:p>
        </w:tc>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存栏量（头/a）</w:t>
            </w:r>
          </w:p>
        </w:tc>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存栏周期</w:t>
            </w:r>
          </w:p>
        </w:tc>
        <w:tc>
          <w:tcPr>
            <w:tcW w:w="1000"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出栏批次（批/a）</w:t>
            </w:r>
          </w:p>
        </w:tc>
        <w:tc>
          <w:tcPr>
            <w:tcW w:w="1000"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出栏量（头/a）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rPr>
          <w:jc w:val="center"/>
        </w:trPr>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color w:val="auto"/>
                <w:sz w:val="20"/>
                <w:szCs w:val="20"/>
                <w:u w:val="none"/>
                <w:vertAlign w:val="baseline"/>
              </w:rPr>
            </w:pPr>
            <w:r>
              <w:rPr>
                <w:rFonts w:hint="eastAsia" w:ascii="Times New Roman"/>
                <w:color w:val="auto"/>
                <w:sz w:val="20"/>
                <w:szCs w:val="20"/>
                <w:u w:val="none"/>
                <w:vertAlign w:val="baseline"/>
              </w:rPr>
              <w:t>育肥猪</w:t>
            </w:r>
          </w:p>
        </w:tc>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default" w:ascii="Times New Roman" w:eastAsia="宋体"/>
                <w:color w:val="auto"/>
                <w:sz w:val="20"/>
                <w:szCs w:val="20"/>
                <w:u w:val="none"/>
                <w:vertAlign w:val="baseline"/>
                <w:lang w:val="en-US" w:eastAsia="zh-CN"/>
              </w:rPr>
            </w:pPr>
            <w:r>
              <w:rPr>
                <w:rFonts w:hint="eastAsia" w:ascii="Times New Roman"/>
                <w:color w:val="auto"/>
                <w:sz w:val="20"/>
                <w:szCs w:val="20"/>
                <w:u w:val="none"/>
                <w:vertAlign w:val="baseline"/>
                <w:lang w:val="en-US" w:eastAsia="zh-CN"/>
              </w:rPr>
              <w:t>7000</w:t>
            </w:r>
          </w:p>
        </w:tc>
        <w:tc>
          <w:tcPr>
            <w:tcW w:w="999"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default" w:ascii="Times New Roman" w:eastAsia="宋体"/>
                <w:color w:val="auto"/>
                <w:sz w:val="20"/>
                <w:szCs w:val="20"/>
                <w:u w:val="none"/>
                <w:vertAlign w:val="baseline"/>
                <w:lang w:val="en-US" w:eastAsia="zh-CN"/>
              </w:rPr>
            </w:pPr>
            <w:r>
              <w:rPr>
                <w:rFonts w:hint="eastAsia" w:ascii="Times New Roman"/>
                <w:color w:val="auto"/>
                <w:sz w:val="20"/>
                <w:szCs w:val="20"/>
                <w:u w:val="none"/>
                <w:vertAlign w:val="baseline"/>
                <w:lang w:val="en-US" w:eastAsia="zh-CN"/>
              </w:rPr>
              <w:t>180天</w:t>
            </w:r>
          </w:p>
        </w:tc>
        <w:tc>
          <w:tcPr>
            <w:tcW w:w="1000"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eastAsia" w:ascii="Times New Roman" w:eastAsia="宋体"/>
                <w:color w:val="auto"/>
                <w:sz w:val="20"/>
                <w:szCs w:val="20"/>
                <w:u w:val="none"/>
                <w:vertAlign w:val="baseline"/>
                <w:lang w:val="en-US" w:eastAsia="zh-CN"/>
              </w:rPr>
            </w:pPr>
            <w:r>
              <w:rPr>
                <w:rFonts w:hint="eastAsia" w:ascii="Times New Roman"/>
                <w:color w:val="auto"/>
                <w:sz w:val="20"/>
                <w:szCs w:val="20"/>
                <w:u w:val="none"/>
                <w:vertAlign w:val="baseline"/>
                <w:lang w:val="en-US" w:eastAsia="zh-CN"/>
              </w:rPr>
              <w:t>2</w:t>
            </w:r>
          </w:p>
        </w:tc>
        <w:tc>
          <w:tcPr>
            <w:tcW w:w="1000" w:type="pct"/>
            <w:noWrap w:val="0"/>
            <w:vAlign w:val="top"/>
          </w:tcPr>
          <w:p>
            <w:pPr>
              <w:pStyle w:val="95"/>
              <w:keepNext w:val="0"/>
              <w:keepLines w:val="0"/>
              <w:pageBreakBefore w:val="0"/>
              <w:widowControl w:val="0"/>
              <w:kinsoku/>
              <w:wordWrap/>
              <w:overflowPunct/>
              <w:topLinePunct w:val="0"/>
              <w:autoSpaceDE w:val="0"/>
              <w:autoSpaceDN w:val="0"/>
              <w:bidi w:val="0"/>
              <w:adjustRightInd w:val="0"/>
              <w:snapToGrid/>
              <w:spacing w:line="0" w:lineRule="atLeast"/>
              <w:jc w:val="center"/>
              <w:textAlignment w:val="auto"/>
              <w:rPr>
                <w:rFonts w:hint="default" w:ascii="Times New Roman" w:eastAsia="宋体"/>
                <w:color w:val="auto"/>
                <w:sz w:val="20"/>
                <w:szCs w:val="20"/>
                <w:u w:val="none"/>
                <w:vertAlign w:val="baseline"/>
                <w:lang w:val="en-US" w:eastAsia="zh-CN"/>
              </w:rPr>
            </w:pPr>
            <w:r>
              <w:rPr>
                <w:rFonts w:hint="eastAsia" w:ascii="Times New Roman"/>
                <w:color w:val="auto"/>
                <w:sz w:val="20"/>
                <w:szCs w:val="20"/>
                <w:u w:val="none"/>
                <w:vertAlign w:val="baseline"/>
                <w:lang w:val="en-US" w:eastAsia="zh-CN"/>
              </w:rPr>
              <w:t>14000</w:t>
            </w:r>
          </w:p>
        </w:tc>
      </w:tr>
    </w:tbl>
    <w:p>
      <w:pPr>
        <w:pStyle w:val="95"/>
        <w:spacing w:line="360" w:lineRule="auto"/>
        <w:ind w:firstLine="400" w:firstLineChars="200"/>
        <w:rPr>
          <w:rFonts w:hint="eastAsia" w:ascii="Times New Roman"/>
          <w:color w:val="auto"/>
          <w:sz w:val="20"/>
          <w:szCs w:val="20"/>
          <w:u w:val="none"/>
        </w:rPr>
      </w:pPr>
    </w:p>
    <w:p>
      <w:pPr>
        <w:pStyle w:val="95"/>
        <w:spacing w:line="360" w:lineRule="auto"/>
        <w:rPr>
          <w:rFonts w:eastAsia="黑体"/>
          <w:color w:val="auto"/>
          <w:sz w:val="28"/>
          <w:szCs w:val="28"/>
        </w:rPr>
      </w:pPr>
      <w:r>
        <w:rPr>
          <w:rFonts w:eastAsia="黑体"/>
          <w:color w:val="auto"/>
          <w:sz w:val="28"/>
          <w:szCs w:val="28"/>
        </w:rPr>
        <w:t>项目组成</w:t>
      </w:r>
      <w:bookmarkEnd w:id="61"/>
    </w:p>
    <w:p>
      <w:pPr>
        <w:ind w:firstLine="480"/>
        <w:rPr>
          <w:color w:val="auto"/>
        </w:rPr>
      </w:pPr>
      <w:r>
        <w:rPr>
          <w:color w:val="auto"/>
        </w:rPr>
        <w:t>本项目主要建设</w:t>
      </w:r>
      <w:r>
        <w:rPr>
          <w:rFonts w:hint="eastAsia"/>
          <w:color w:val="auto"/>
        </w:rPr>
        <w:t>育肥</w:t>
      </w:r>
      <w:r>
        <w:rPr>
          <w:rFonts w:hint="eastAsia"/>
          <w:color w:val="auto"/>
          <w:lang w:val="en-US" w:eastAsia="zh-CN"/>
        </w:rPr>
        <w:t>猪</w:t>
      </w:r>
      <w:r>
        <w:rPr>
          <w:color w:val="auto"/>
        </w:rPr>
        <w:t>舍</w:t>
      </w:r>
      <w:r>
        <w:rPr>
          <w:rFonts w:hint="eastAsia"/>
          <w:color w:val="auto"/>
          <w:lang w:val="en-US" w:eastAsia="zh-CN"/>
        </w:rPr>
        <w:t>6栋</w:t>
      </w:r>
      <w:r>
        <w:rPr>
          <w:color w:val="auto"/>
        </w:rPr>
        <w:t>，同时配套建设相应的公用辅助工程及环保工程等。项目组成及主要环境问题见表3.1-</w:t>
      </w:r>
      <w:r>
        <w:rPr>
          <w:rFonts w:hint="eastAsia"/>
          <w:color w:val="auto"/>
          <w:lang w:val="en-US" w:eastAsia="zh-CN"/>
        </w:rPr>
        <w:t>2</w:t>
      </w:r>
      <w:r>
        <w:rPr>
          <w:color w:val="auto"/>
        </w:rPr>
        <w:t>。</w:t>
      </w:r>
    </w:p>
    <w:p>
      <w:pPr>
        <w:pStyle w:val="166"/>
        <w:spacing w:before="120" w:beforeLines="0"/>
        <w:rPr>
          <w:color w:val="auto"/>
        </w:rPr>
      </w:pPr>
      <w:r>
        <w:rPr>
          <w:color w:val="auto"/>
        </w:rPr>
        <w:t>表3.1-</w:t>
      </w:r>
      <w:r>
        <w:rPr>
          <w:rFonts w:hint="eastAsia"/>
          <w:color w:val="auto"/>
          <w:lang w:val="en-US" w:eastAsia="zh-CN"/>
        </w:rPr>
        <w:t xml:space="preserve">2 </w:t>
      </w:r>
      <w:r>
        <w:rPr>
          <w:color w:val="auto"/>
        </w:rPr>
        <w:t>项目组成及主要环境问题一览表</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766"/>
        <w:gridCol w:w="972"/>
        <w:gridCol w:w="4033"/>
        <w:gridCol w:w="1024"/>
        <w:gridCol w:w="990"/>
        <w:gridCol w:w="11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976" w:type="pct"/>
            <w:gridSpan w:val="2"/>
            <w:vMerge w:val="restart"/>
            <w:tcBorders>
              <w:top w:val="single" w:color="auto" w:sz="1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bookmarkStart w:id="62" w:name="_Hlk45098197"/>
            <w:r>
              <w:rPr>
                <w:b/>
                <w:color w:val="auto"/>
                <w:sz w:val="21"/>
                <w:szCs w:val="21"/>
              </w:rPr>
              <w:t>项目组成</w:t>
            </w:r>
          </w:p>
        </w:tc>
        <w:tc>
          <w:tcPr>
            <w:tcW w:w="2266" w:type="pct"/>
            <w:vMerge w:val="restart"/>
            <w:tcBorders>
              <w:top w:val="single" w:color="auto" w:sz="12" w:space="0"/>
              <w:left w:val="single" w:color="auto" w:sz="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主要建设内容</w:t>
            </w:r>
          </w:p>
        </w:tc>
        <w:tc>
          <w:tcPr>
            <w:tcW w:w="1131" w:type="pct"/>
            <w:gridSpan w:val="2"/>
            <w:tcBorders>
              <w:top w:val="single" w:color="auto" w:sz="12"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主要环境问题</w:t>
            </w:r>
          </w:p>
        </w:tc>
        <w:tc>
          <w:tcPr>
            <w:tcW w:w="624" w:type="pct"/>
            <w:vMerge w:val="restart"/>
            <w:tcBorders>
              <w:top w:val="single" w:color="auto" w:sz="12"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b/>
                <w:color w:val="auto"/>
                <w:sz w:val="21"/>
                <w:szCs w:val="21"/>
                <w:lang w:val="en-US" w:eastAsia="zh-CN"/>
              </w:rPr>
            </w:pPr>
            <w:r>
              <w:rPr>
                <w:rFonts w:hint="eastAsia"/>
                <w:b/>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976" w:type="pct"/>
            <w:gridSpan w:val="2"/>
            <w:vMerge w:val="continue"/>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eastAsia="黑体"/>
                <w:color w:val="auto"/>
                <w:sz w:val="21"/>
                <w:szCs w:val="21"/>
              </w:rPr>
            </w:pPr>
          </w:p>
        </w:tc>
        <w:tc>
          <w:tcPr>
            <w:tcW w:w="2266" w:type="pct"/>
            <w:vMerge w:val="continue"/>
            <w:tcBorders>
              <w:left w:val="single" w:color="auto" w:sz="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eastAsia="黑体"/>
                <w:color w:val="auto"/>
                <w:sz w:val="21"/>
                <w:szCs w:val="21"/>
              </w:rPr>
            </w:pPr>
          </w:p>
        </w:tc>
        <w:tc>
          <w:tcPr>
            <w:tcW w:w="575" w:type="pct"/>
            <w:tcBorders>
              <w:left w:val="single" w:color="auto" w:sz="2" w:space="0"/>
              <w:bottom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施工期</w:t>
            </w: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营运期</w:t>
            </w:r>
          </w:p>
        </w:tc>
        <w:tc>
          <w:tcPr>
            <w:tcW w:w="624"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主体</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育肥</w:t>
            </w:r>
            <w:r>
              <w:rPr>
                <w:rFonts w:hint="eastAsia"/>
                <w:color w:val="auto"/>
                <w:sz w:val="21"/>
                <w:szCs w:val="21"/>
                <w:lang w:val="en-US" w:eastAsia="zh-CN"/>
              </w:rPr>
              <w:t>猪</w:t>
            </w:r>
            <w:r>
              <w:rPr>
                <w:color w:val="auto"/>
                <w:sz w:val="21"/>
                <w:szCs w:val="21"/>
              </w:rPr>
              <w:t>舍</w:t>
            </w:r>
          </w:p>
        </w:tc>
        <w:tc>
          <w:tcPr>
            <w:tcW w:w="2266" w:type="pct"/>
            <w:tcBorders>
              <w:left w:val="single" w:color="auto" w:sz="2" w:space="0"/>
              <w:bottom w:val="single" w:color="auto" w:sz="4"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共设</w:t>
            </w:r>
            <w:r>
              <w:rPr>
                <w:rFonts w:hint="eastAsia"/>
                <w:color w:val="auto"/>
                <w:sz w:val="21"/>
                <w:szCs w:val="21"/>
                <w:lang w:val="en-US" w:eastAsia="zh-CN"/>
              </w:rPr>
              <w:t>6</w:t>
            </w:r>
            <w:r>
              <w:rPr>
                <w:rFonts w:hint="eastAsia"/>
                <w:color w:val="auto"/>
                <w:sz w:val="21"/>
                <w:szCs w:val="21"/>
              </w:rPr>
              <w:t>栋</w:t>
            </w:r>
            <w:r>
              <w:rPr>
                <w:rFonts w:hint="eastAsia"/>
                <w:color w:val="auto"/>
                <w:sz w:val="21"/>
                <w:szCs w:val="21"/>
                <w:lang w:eastAsia="zh-CN"/>
              </w:rPr>
              <w:t>（</w:t>
            </w:r>
            <w:r>
              <w:rPr>
                <w:rFonts w:hint="eastAsia"/>
                <w:color w:val="auto"/>
                <w:sz w:val="21"/>
                <w:szCs w:val="21"/>
                <w:lang w:val="en-US" w:eastAsia="zh-CN"/>
              </w:rPr>
              <w:t>编号1#-6#</w:t>
            </w:r>
            <w:r>
              <w:rPr>
                <w:rFonts w:hint="eastAsia"/>
                <w:color w:val="auto"/>
                <w:sz w:val="21"/>
                <w:szCs w:val="21"/>
                <w:lang w:eastAsia="zh-CN"/>
              </w:rPr>
              <w:t>）</w:t>
            </w:r>
            <w:r>
              <w:rPr>
                <w:rFonts w:hint="eastAsia"/>
                <w:color w:val="auto"/>
                <w:sz w:val="21"/>
                <w:szCs w:val="21"/>
              </w:rPr>
              <w:t>，采用砖混+钢结构，每栋猪舍规格为</w:t>
            </w:r>
            <w:r>
              <w:rPr>
                <w:rFonts w:hint="eastAsia"/>
                <w:color w:val="auto"/>
                <w:sz w:val="21"/>
                <w:szCs w:val="21"/>
                <w:lang w:val="en-US" w:eastAsia="zh-CN"/>
              </w:rPr>
              <w:t>68.5</w:t>
            </w:r>
            <w:r>
              <w:rPr>
                <w:rFonts w:hint="eastAsia"/>
                <w:color w:val="auto"/>
                <w:sz w:val="21"/>
                <w:szCs w:val="21"/>
              </w:rPr>
              <w:t>m×</w:t>
            </w:r>
            <w:r>
              <w:rPr>
                <w:rFonts w:hint="eastAsia"/>
                <w:color w:val="auto"/>
                <w:sz w:val="21"/>
                <w:szCs w:val="21"/>
                <w:lang w:val="en-US" w:eastAsia="zh-CN"/>
              </w:rPr>
              <w:t>22</w:t>
            </w:r>
            <w:r>
              <w:rPr>
                <w:rFonts w:hint="eastAsia"/>
                <w:color w:val="auto"/>
                <w:sz w:val="21"/>
                <w:szCs w:val="21"/>
              </w:rPr>
              <w:t>m，猪舍总面积约</w:t>
            </w:r>
            <w:r>
              <w:rPr>
                <w:rFonts w:hint="eastAsia"/>
                <w:color w:val="auto"/>
                <w:sz w:val="21"/>
                <w:szCs w:val="21"/>
                <w:lang w:val="en-US" w:eastAsia="zh-CN"/>
              </w:rPr>
              <w:t>9000</w:t>
            </w:r>
            <w:r>
              <w:rPr>
                <w:rFonts w:hint="eastAsia"/>
                <w:color w:val="auto"/>
                <w:sz w:val="21"/>
                <w:szCs w:val="21"/>
              </w:rPr>
              <w:t>㎡，地面采用漏粪板，下</w:t>
            </w:r>
            <w:r>
              <w:rPr>
                <w:rFonts w:hint="eastAsia"/>
                <w:color w:val="auto"/>
                <w:sz w:val="21"/>
                <w:szCs w:val="21"/>
                <w:lang w:val="en-US" w:eastAsia="zh-CN"/>
              </w:rPr>
              <w:t>为</w:t>
            </w:r>
            <w:r>
              <w:rPr>
                <w:rFonts w:hint="eastAsia"/>
                <w:color w:val="auto"/>
                <w:sz w:val="21"/>
                <w:szCs w:val="21"/>
              </w:rPr>
              <w:t>水泥斜坡。猪舍进行封闭，一面墙壁设置风机进行机械通、排风，一面设置水帘降温装置</w:t>
            </w:r>
          </w:p>
        </w:tc>
        <w:tc>
          <w:tcPr>
            <w:tcW w:w="575" w:type="pct"/>
            <w:vMerge w:val="restart"/>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扬尘、噪声、废水、固废、水土流失等</w:t>
            </w: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粪便</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废水</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default" w:eastAsia="宋体"/>
                <w:bCs/>
                <w:color w:val="auto"/>
                <w:sz w:val="21"/>
                <w:szCs w:val="21"/>
                <w:lang w:val="en-US" w:eastAsia="zh-CN"/>
              </w:rPr>
            </w:pPr>
            <w:r>
              <w:rPr>
                <w:rFonts w:hint="eastAsia"/>
                <w:bCs/>
                <w:color w:val="auto"/>
                <w:sz w:val="21"/>
                <w:szCs w:val="21"/>
                <w:lang w:val="en-US" w:eastAsia="zh-CN"/>
              </w:rPr>
              <w:t>已建4栋（1#-4#），新建2栋（5#-6#）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辅助</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消毒中心</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rFonts w:hint="eastAsia"/>
                <w:color w:val="auto"/>
                <w:sz w:val="21"/>
                <w:szCs w:val="21"/>
              </w:rPr>
              <w:t>1 处，位于</w:t>
            </w:r>
            <w:r>
              <w:rPr>
                <w:rFonts w:hint="eastAsia"/>
                <w:color w:val="auto"/>
                <w:sz w:val="21"/>
                <w:szCs w:val="21"/>
                <w:lang w:val="en-US" w:eastAsia="zh-CN"/>
              </w:rPr>
              <w:t>厂</w:t>
            </w:r>
            <w:r>
              <w:rPr>
                <w:rFonts w:hint="eastAsia"/>
                <w:color w:val="auto"/>
                <w:sz w:val="21"/>
                <w:szCs w:val="21"/>
              </w:rPr>
              <w:t>区大门主出入口旁，用于进</w:t>
            </w:r>
          </w:p>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出车辆和人员的消毒</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restar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废水</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rFonts w:hint="eastAsia"/>
                <w:bCs/>
                <w:color w:val="auto"/>
                <w:sz w:val="21"/>
                <w:szCs w:val="21"/>
              </w:rPr>
              <w:t>固废</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bCs/>
                <w:color w:val="auto"/>
                <w:sz w:val="21"/>
                <w:szCs w:val="21"/>
                <w:lang w:val="en-US" w:eastAsia="zh-CN"/>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ind w:firstLine="0" w:firstLineChars="0"/>
              <w:rPr>
                <w:rFonts w:hint="eastAsia"/>
                <w:color w:val="auto"/>
                <w:sz w:val="21"/>
                <w:szCs w:val="21"/>
              </w:rPr>
            </w:pPr>
            <w:r>
              <w:rPr>
                <w:rFonts w:hint="eastAsia"/>
                <w:color w:val="auto"/>
                <w:sz w:val="21"/>
                <w:szCs w:val="21"/>
              </w:rPr>
              <w:t>办公</w:t>
            </w:r>
            <w:r>
              <w:rPr>
                <w:color w:val="auto"/>
                <w:sz w:val="21"/>
                <w:szCs w:val="21"/>
              </w:rPr>
              <w:t>洗消</w:t>
            </w:r>
            <w:r>
              <w:rPr>
                <w:rFonts w:hint="eastAsia"/>
                <w:color w:val="auto"/>
                <w:sz w:val="21"/>
                <w:szCs w:val="21"/>
              </w:rPr>
              <w:t>房</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ind w:firstLine="0" w:firstLineChars="0"/>
              <w:jc w:val="both"/>
              <w:rPr>
                <w:color w:val="auto"/>
                <w:sz w:val="21"/>
                <w:szCs w:val="21"/>
              </w:rPr>
            </w:pPr>
            <w:r>
              <w:rPr>
                <w:color w:val="auto"/>
                <w:sz w:val="21"/>
                <w:szCs w:val="21"/>
              </w:rPr>
              <w:t>1栋（1F砖混结构，H=</w:t>
            </w:r>
            <w:r>
              <w:rPr>
                <w:rFonts w:hint="eastAsia"/>
                <w:color w:val="auto"/>
                <w:sz w:val="21"/>
                <w:szCs w:val="21"/>
                <w:lang w:val="en-US" w:eastAsia="zh-CN"/>
              </w:rPr>
              <w:t>5</w:t>
            </w:r>
            <w:r>
              <w:rPr>
                <w:color w:val="auto"/>
                <w:sz w:val="21"/>
                <w:szCs w:val="21"/>
              </w:rPr>
              <w:t>m），占地面积</w:t>
            </w:r>
            <w:r>
              <w:rPr>
                <w:rFonts w:hint="eastAsia"/>
                <w:color w:val="auto"/>
                <w:sz w:val="21"/>
                <w:szCs w:val="21"/>
                <w:lang w:val="en-US" w:eastAsia="zh-CN"/>
              </w:rPr>
              <w:t>约120</w:t>
            </w:r>
            <w:r>
              <w:rPr>
                <w:color w:val="auto"/>
                <w:sz w:val="21"/>
                <w:szCs w:val="21"/>
              </w:rPr>
              <w:t>m</w:t>
            </w:r>
            <w:r>
              <w:rPr>
                <w:color w:val="auto"/>
                <w:sz w:val="21"/>
                <w:szCs w:val="21"/>
                <w:vertAlign w:val="superscript"/>
              </w:rPr>
              <w:t>2</w:t>
            </w:r>
            <w:r>
              <w:rPr>
                <w:color w:val="auto"/>
                <w:sz w:val="21"/>
                <w:szCs w:val="21"/>
              </w:rPr>
              <w:t>；位于</w:t>
            </w:r>
            <w:r>
              <w:rPr>
                <w:rFonts w:hint="eastAsia"/>
                <w:color w:val="auto"/>
                <w:sz w:val="21"/>
                <w:szCs w:val="21"/>
              </w:rPr>
              <w:t>南</w:t>
            </w:r>
            <w:r>
              <w:rPr>
                <w:color w:val="auto"/>
                <w:sz w:val="21"/>
                <w:szCs w:val="21"/>
              </w:rPr>
              <w:t>侧</w:t>
            </w:r>
            <w:r>
              <w:rPr>
                <w:rFonts w:hint="eastAsia"/>
                <w:color w:val="auto"/>
                <w:sz w:val="21"/>
                <w:szCs w:val="21"/>
              </w:rPr>
              <w:t>办公</w:t>
            </w:r>
            <w:r>
              <w:rPr>
                <w:color w:val="auto"/>
                <w:sz w:val="21"/>
                <w:szCs w:val="21"/>
              </w:rPr>
              <w:t>生活区，用于人员进出生产区的淋浴消毒和隔离</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防疫室</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1F，建筑面积</w:t>
            </w:r>
            <w:r>
              <w:rPr>
                <w:rFonts w:hint="eastAsia"/>
                <w:color w:val="auto"/>
                <w:sz w:val="21"/>
                <w:szCs w:val="21"/>
                <w:lang w:val="en-US" w:eastAsia="zh-CN"/>
              </w:rPr>
              <w:t>约50</w:t>
            </w:r>
            <w:r>
              <w:rPr>
                <w:rFonts w:hint="eastAsia"/>
                <w:color w:val="auto"/>
                <w:sz w:val="21"/>
                <w:szCs w:val="21"/>
              </w:rPr>
              <w:t>m</w:t>
            </w:r>
            <w:r>
              <w:rPr>
                <w:rFonts w:hint="eastAsia"/>
                <w:color w:val="auto"/>
                <w:sz w:val="21"/>
                <w:szCs w:val="21"/>
                <w:vertAlign w:val="superscript"/>
              </w:rPr>
              <w:t>2</w:t>
            </w:r>
            <w:r>
              <w:rPr>
                <w:rFonts w:hint="eastAsia"/>
                <w:color w:val="auto"/>
                <w:sz w:val="21"/>
                <w:szCs w:val="21"/>
              </w:rPr>
              <w:t>，砖混结构，位于</w:t>
            </w:r>
            <w:r>
              <w:rPr>
                <w:rFonts w:hint="eastAsia"/>
                <w:color w:val="auto"/>
                <w:sz w:val="21"/>
                <w:szCs w:val="21"/>
                <w:lang w:val="en-US" w:eastAsia="zh-CN"/>
              </w:rPr>
              <w:t>厂区西侧</w:t>
            </w:r>
            <w:r>
              <w:rPr>
                <w:rFonts w:hint="eastAsia"/>
                <w:color w:val="auto"/>
                <w:sz w:val="21"/>
                <w:szCs w:val="21"/>
              </w:rPr>
              <w:t>，包括药品库和仓库用于药品和饲料的存储</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bCs/>
                <w:color w:val="auto"/>
                <w:sz w:val="21"/>
                <w:szCs w:val="21"/>
                <w:lang w:val="en-US" w:eastAsia="zh-CN"/>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兽医办公室</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1F，建筑面积</w:t>
            </w:r>
            <w:r>
              <w:rPr>
                <w:rFonts w:hint="eastAsia"/>
                <w:color w:val="auto"/>
                <w:sz w:val="21"/>
                <w:szCs w:val="21"/>
                <w:lang w:val="en-US" w:eastAsia="zh-CN"/>
              </w:rPr>
              <w:t>约50</w:t>
            </w:r>
            <w:r>
              <w:rPr>
                <w:rFonts w:hint="eastAsia"/>
                <w:color w:val="auto"/>
                <w:sz w:val="21"/>
                <w:szCs w:val="21"/>
              </w:rPr>
              <w:t>m</w:t>
            </w:r>
            <w:r>
              <w:rPr>
                <w:rFonts w:hint="eastAsia"/>
                <w:color w:val="auto"/>
                <w:sz w:val="21"/>
                <w:szCs w:val="21"/>
                <w:vertAlign w:val="superscript"/>
              </w:rPr>
              <w:t>2</w:t>
            </w:r>
            <w:r>
              <w:rPr>
                <w:rFonts w:hint="eastAsia"/>
                <w:color w:val="auto"/>
                <w:sz w:val="21"/>
                <w:szCs w:val="21"/>
              </w:rPr>
              <w:t>，砖混结构，位于</w:t>
            </w:r>
            <w:r>
              <w:rPr>
                <w:rFonts w:hint="eastAsia"/>
                <w:color w:val="auto"/>
                <w:sz w:val="21"/>
                <w:szCs w:val="21"/>
                <w:lang w:val="en-US" w:eastAsia="zh-CN"/>
              </w:rPr>
              <w:t>厂区西侧</w:t>
            </w:r>
            <w:r>
              <w:rPr>
                <w:rFonts w:hint="eastAsia"/>
                <w:color w:val="auto"/>
                <w:sz w:val="21"/>
                <w:szCs w:val="21"/>
              </w:rPr>
              <w:t>，用于兽医技术人员办公使用</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bCs/>
                <w:color w:val="auto"/>
                <w:sz w:val="21"/>
                <w:szCs w:val="21"/>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发电机房</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1F，建筑面积</w:t>
            </w:r>
            <w:r>
              <w:rPr>
                <w:rFonts w:hint="eastAsia"/>
                <w:color w:val="auto"/>
                <w:sz w:val="21"/>
                <w:szCs w:val="21"/>
                <w:lang w:val="en-US" w:eastAsia="zh-CN"/>
              </w:rPr>
              <w:t>约50</w:t>
            </w:r>
            <w:r>
              <w:rPr>
                <w:rFonts w:hint="eastAsia"/>
                <w:color w:val="auto"/>
                <w:sz w:val="21"/>
                <w:szCs w:val="21"/>
              </w:rPr>
              <w:t>m</w:t>
            </w:r>
            <w:r>
              <w:rPr>
                <w:rFonts w:hint="eastAsia"/>
                <w:color w:val="auto"/>
                <w:sz w:val="21"/>
                <w:szCs w:val="21"/>
                <w:vertAlign w:val="superscript"/>
              </w:rPr>
              <w:t>2</w:t>
            </w:r>
            <w:r>
              <w:rPr>
                <w:rFonts w:hint="eastAsia"/>
                <w:color w:val="auto"/>
                <w:sz w:val="21"/>
                <w:szCs w:val="21"/>
              </w:rPr>
              <w:t>，砖混结构，位于</w:t>
            </w:r>
            <w:r>
              <w:rPr>
                <w:rFonts w:hint="eastAsia"/>
                <w:color w:val="auto"/>
                <w:sz w:val="21"/>
                <w:szCs w:val="21"/>
                <w:lang w:val="en-US" w:eastAsia="zh-CN"/>
              </w:rPr>
              <w:t>厂区西侧</w:t>
            </w:r>
            <w:r>
              <w:rPr>
                <w:rFonts w:hint="eastAsia"/>
                <w:color w:val="auto"/>
                <w:sz w:val="21"/>
                <w:szCs w:val="21"/>
              </w:rPr>
              <w:t>，用于备用发电机和配电柜存放；内设 1 台备用柴油发电机，用于停电时应急使用</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bCs/>
                <w:color w:val="auto"/>
                <w:sz w:val="21"/>
                <w:szCs w:val="21"/>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45"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停车区</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rFonts w:hint="eastAsia"/>
                <w:color w:val="auto"/>
                <w:sz w:val="21"/>
                <w:szCs w:val="21"/>
              </w:rPr>
              <w:t>由于场内人员较少，不设置集中停车场，</w:t>
            </w:r>
          </w:p>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在场内空坝处停车</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bCs/>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料塔</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default" w:eastAsia="宋体"/>
                <w:color w:val="auto"/>
                <w:sz w:val="21"/>
                <w:szCs w:val="21"/>
                <w:lang w:val="en-US" w:eastAsia="zh-CN"/>
              </w:rPr>
            </w:pPr>
            <w:r>
              <w:rPr>
                <w:rFonts w:hint="eastAsia"/>
                <w:color w:val="auto"/>
                <w:sz w:val="21"/>
                <w:szCs w:val="21"/>
                <w:lang w:val="en-US" w:eastAsia="zh-CN"/>
              </w:rPr>
              <w:t>5个，20t/个，钢结构，位于厂区南侧，饲料为外购成品，不需再加工。</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Cs/>
                <w:color w:val="auto"/>
                <w:sz w:val="21"/>
                <w:szCs w:val="21"/>
                <w:lang w:val="en-US" w:eastAsia="zh-CN"/>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隔离圈</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场区内拟单独设置集中隔离区，位于</w:t>
            </w:r>
            <w:r>
              <w:rPr>
                <w:rFonts w:hint="eastAsia"/>
                <w:color w:val="auto"/>
                <w:sz w:val="21"/>
                <w:szCs w:val="21"/>
                <w:lang w:val="en-US" w:eastAsia="zh-CN"/>
              </w:rPr>
              <w:t>厂</w:t>
            </w:r>
            <w:r>
              <w:rPr>
                <w:rFonts w:hint="eastAsia"/>
                <w:color w:val="auto"/>
                <w:sz w:val="21"/>
                <w:szCs w:val="21"/>
              </w:rPr>
              <w:t>区</w:t>
            </w:r>
          </w:p>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南侧，用于患病猪只的隔离饲养、治疗观</w:t>
            </w:r>
          </w:p>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察</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公用</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供水</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color w:val="auto"/>
                <w:sz w:val="21"/>
                <w:szCs w:val="21"/>
              </w:rPr>
              <w:t>自</w:t>
            </w:r>
            <w:r>
              <w:rPr>
                <w:rFonts w:hint="eastAsia"/>
                <w:color w:val="auto"/>
                <w:sz w:val="21"/>
                <w:szCs w:val="21"/>
              </w:rPr>
              <w:t>备</w:t>
            </w:r>
            <w:r>
              <w:rPr>
                <w:color w:val="auto"/>
                <w:sz w:val="21"/>
                <w:szCs w:val="21"/>
              </w:rPr>
              <w:t>深水井</w:t>
            </w:r>
            <w:r>
              <w:rPr>
                <w:rFonts w:hint="eastAsia"/>
                <w:color w:val="auto"/>
                <w:sz w:val="21"/>
                <w:szCs w:val="21"/>
                <w:lang w:val="en-US" w:eastAsia="zh-CN"/>
              </w:rPr>
              <w:t>4</w:t>
            </w:r>
            <w:r>
              <w:rPr>
                <w:color w:val="auto"/>
                <w:sz w:val="21"/>
                <w:szCs w:val="21"/>
              </w:rPr>
              <w:t>口，日供水能力约150m</w:t>
            </w:r>
            <w:r>
              <w:rPr>
                <w:color w:val="auto"/>
                <w:sz w:val="21"/>
                <w:szCs w:val="21"/>
                <w:vertAlign w:val="superscript"/>
              </w:rPr>
              <w:t>3</w:t>
            </w:r>
            <w:r>
              <w:rPr>
                <w:color w:val="auto"/>
                <w:sz w:val="21"/>
                <w:szCs w:val="21"/>
              </w:rPr>
              <w:t>，采用水泵抽至</w:t>
            </w:r>
            <w:r>
              <w:rPr>
                <w:rFonts w:hint="eastAsia"/>
                <w:color w:val="auto"/>
                <w:sz w:val="21"/>
                <w:szCs w:val="21"/>
              </w:rPr>
              <w:t>厂</w:t>
            </w:r>
            <w:r>
              <w:rPr>
                <w:color w:val="auto"/>
                <w:sz w:val="21"/>
                <w:szCs w:val="21"/>
              </w:rPr>
              <w:t>区</w:t>
            </w:r>
            <w:r>
              <w:rPr>
                <w:rFonts w:hint="eastAsia"/>
                <w:color w:val="auto"/>
                <w:sz w:val="21"/>
                <w:szCs w:val="21"/>
                <w:lang w:val="en-US" w:eastAsia="zh-CN"/>
              </w:rPr>
              <w:t>蓄</w:t>
            </w:r>
            <w:r>
              <w:rPr>
                <w:color w:val="auto"/>
                <w:sz w:val="21"/>
                <w:szCs w:val="21"/>
              </w:rPr>
              <w:t>水池存放备用。设</w:t>
            </w:r>
            <w:r>
              <w:rPr>
                <w:rFonts w:hint="eastAsia"/>
                <w:color w:val="auto"/>
                <w:sz w:val="21"/>
                <w:szCs w:val="21"/>
                <w:lang w:val="en-US" w:eastAsia="zh-CN"/>
              </w:rPr>
              <w:t>3</w:t>
            </w:r>
            <w:r>
              <w:rPr>
                <w:color w:val="auto"/>
                <w:sz w:val="21"/>
                <w:szCs w:val="21"/>
              </w:rPr>
              <w:t>00m</w:t>
            </w:r>
            <w:r>
              <w:rPr>
                <w:color w:val="auto"/>
                <w:sz w:val="21"/>
                <w:szCs w:val="21"/>
                <w:vertAlign w:val="superscript"/>
              </w:rPr>
              <w:t>3</w:t>
            </w:r>
            <w:r>
              <w:rPr>
                <w:rFonts w:hint="eastAsia"/>
                <w:color w:val="auto"/>
                <w:sz w:val="21"/>
                <w:szCs w:val="21"/>
                <w:lang w:val="en-US" w:eastAsia="zh-CN"/>
              </w:rPr>
              <w:t>蓄</w:t>
            </w:r>
            <w:r>
              <w:rPr>
                <w:color w:val="auto"/>
                <w:sz w:val="21"/>
                <w:szCs w:val="21"/>
              </w:rPr>
              <w:t>水池</w:t>
            </w:r>
            <w:r>
              <w:rPr>
                <w:rFonts w:hint="eastAsia"/>
                <w:color w:val="auto"/>
                <w:sz w:val="21"/>
                <w:szCs w:val="21"/>
              </w:rPr>
              <w:t>1</w:t>
            </w:r>
            <w:r>
              <w:rPr>
                <w:color w:val="auto"/>
                <w:sz w:val="21"/>
                <w:szCs w:val="21"/>
              </w:rPr>
              <w:t>个</w:t>
            </w:r>
            <w:r>
              <w:rPr>
                <w:color w:val="auto"/>
                <w:sz w:val="21"/>
                <w:szCs w:val="21"/>
                <w:vertAlign w:val="superscript"/>
              </w:rPr>
              <w:t xml:space="preserve"> </w:t>
            </w:r>
          </w:p>
        </w:tc>
        <w:tc>
          <w:tcPr>
            <w:tcW w:w="575" w:type="pct"/>
            <w:vMerge w:val="restart"/>
            <w:tcBorders>
              <w:top w:val="single" w:color="auto" w:sz="4"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扬尘、噪声、废水、固废、水土流失等</w:t>
            </w:r>
          </w:p>
        </w:tc>
        <w:tc>
          <w:tcPr>
            <w:tcW w:w="556"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排水</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color w:val="auto"/>
                <w:sz w:val="21"/>
                <w:szCs w:val="21"/>
              </w:rPr>
              <w:t>项目排水采取雨污分流</w:t>
            </w:r>
            <w:r>
              <w:rPr>
                <w:rFonts w:hint="eastAsia"/>
                <w:color w:val="auto"/>
                <w:sz w:val="21"/>
                <w:szCs w:val="21"/>
              </w:rPr>
              <w:t>，</w:t>
            </w:r>
            <w:r>
              <w:rPr>
                <w:color w:val="auto"/>
                <w:sz w:val="21"/>
                <w:szCs w:val="21"/>
              </w:rPr>
              <w:t>雨水通过场区雨水管网排至</w:t>
            </w:r>
            <w:r>
              <w:rPr>
                <w:rFonts w:hint="eastAsia"/>
                <w:color w:val="auto"/>
                <w:sz w:val="21"/>
                <w:szCs w:val="21"/>
                <w:lang w:val="en-US" w:eastAsia="zh-CN"/>
              </w:rPr>
              <w:t>厂</w:t>
            </w:r>
            <w:r>
              <w:rPr>
                <w:color w:val="auto"/>
                <w:sz w:val="21"/>
                <w:szCs w:val="21"/>
              </w:rPr>
              <w:t>区外；食堂废水经隔油池处理后与生活污水、养殖废水</w:t>
            </w:r>
            <w:r>
              <w:rPr>
                <w:rFonts w:hint="eastAsia"/>
                <w:color w:val="auto"/>
                <w:sz w:val="21"/>
                <w:szCs w:val="21"/>
              </w:rPr>
              <w:t>一</w:t>
            </w:r>
            <w:r>
              <w:rPr>
                <w:color w:val="auto"/>
                <w:sz w:val="21"/>
                <w:szCs w:val="21"/>
              </w:rPr>
              <w:t>起</w:t>
            </w:r>
            <w:r>
              <w:rPr>
                <w:rFonts w:hint="eastAsia"/>
                <w:color w:val="auto"/>
                <w:sz w:val="21"/>
                <w:szCs w:val="21"/>
              </w:rPr>
              <w:t>进入污水处理设施处理后，用于周边土地消纳，不外排</w:t>
            </w:r>
          </w:p>
        </w:tc>
        <w:tc>
          <w:tcPr>
            <w:tcW w:w="575" w:type="pct"/>
            <w:vMerge w:val="continue"/>
            <w:tcBorders>
              <w:top w:val="single" w:color="auto" w:sz="4"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废水、噪声</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供电</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由当地市政供电电网供给</w:t>
            </w:r>
            <w:r>
              <w:rPr>
                <w:color w:val="auto"/>
                <w:sz w:val="21"/>
                <w:szCs w:val="21"/>
              </w:rPr>
              <w:t>；场区内设配</w:t>
            </w:r>
            <w:r>
              <w:rPr>
                <w:rFonts w:hint="eastAsia"/>
                <w:color w:val="auto"/>
                <w:sz w:val="21"/>
                <w:szCs w:val="21"/>
              </w:rPr>
              <w:t>发电机房</w:t>
            </w:r>
            <w:r>
              <w:rPr>
                <w:color w:val="auto"/>
                <w:sz w:val="21"/>
                <w:szCs w:val="21"/>
              </w:rPr>
              <w:t>1间，设置备用柴油发电机1台</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发电机废气</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供气</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color w:val="auto"/>
                <w:sz w:val="21"/>
                <w:szCs w:val="21"/>
              </w:rPr>
              <w:t>食堂燃料使用沼气，</w:t>
            </w:r>
            <w:r>
              <w:rPr>
                <w:rFonts w:hint="eastAsia"/>
                <w:color w:val="auto"/>
                <w:sz w:val="21"/>
                <w:szCs w:val="21"/>
                <w:lang w:val="en-US" w:eastAsia="zh-CN"/>
              </w:rPr>
              <w:t>厂</w:t>
            </w:r>
            <w:r>
              <w:rPr>
                <w:color w:val="auto"/>
                <w:sz w:val="21"/>
                <w:szCs w:val="21"/>
              </w:rPr>
              <w:t>区设置储气柜1座（有效容积80m</w:t>
            </w:r>
            <w:r>
              <w:rPr>
                <w:color w:val="auto"/>
                <w:sz w:val="21"/>
                <w:szCs w:val="21"/>
                <w:vertAlign w:val="superscript"/>
              </w:rPr>
              <w:t>3</w:t>
            </w:r>
            <w:r>
              <w:rPr>
                <w:color w:val="auto"/>
                <w:sz w:val="21"/>
                <w:szCs w:val="21"/>
              </w:rPr>
              <w:t>）</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供热（冷）</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系统</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夏季</w:t>
            </w:r>
            <w:r>
              <w:rPr>
                <w:rFonts w:hint="eastAsia"/>
                <w:color w:val="auto"/>
                <w:sz w:val="21"/>
                <w:szCs w:val="21"/>
                <w:lang w:eastAsia="zh-CN"/>
              </w:rPr>
              <w:t>：</w:t>
            </w:r>
            <w:r>
              <w:rPr>
                <w:color w:val="auto"/>
                <w:sz w:val="21"/>
                <w:szCs w:val="21"/>
              </w:rPr>
              <w:t>猪舍通风主要采用机械通风，夏季采用水帘降温并保持猪舍湿度、温度；</w:t>
            </w:r>
          </w:p>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lang w:val="en-US" w:eastAsia="zh-CN"/>
              </w:rPr>
              <w:t>冬季：</w:t>
            </w:r>
            <w:r>
              <w:rPr>
                <w:color w:val="auto"/>
                <w:sz w:val="21"/>
                <w:szCs w:val="21"/>
              </w:rPr>
              <w:t>生活管理区冬季取暖采用</w:t>
            </w:r>
            <w:r>
              <w:rPr>
                <w:rFonts w:hint="eastAsia"/>
                <w:color w:val="auto"/>
                <w:sz w:val="21"/>
                <w:szCs w:val="21"/>
              </w:rPr>
              <w:t>分体式</w:t>
            </w:r>
            <w:r>
              <w:rPr>
                <w:color w:val="auto"/>
                <w:sz w:val="21"/>
                <w:szCs w:val="21"/>
              </w:rPr>
              <w:t>空调</w:t>
            </w:r>
            <w:r>
              <w:rPr>
                <w:rFonts w:hint="eastAsia"/>
                <w:color w:val="auto"/>
                <w:sz w:val="21"/>
                <w:szCs w:val="21"/>
                <w:lang w:eastAsia="zh-CN"/>
              </w:rPr>
              <w:t>，</w:t>
            </w:r>
            <w:r>
              <w:rPr>
                <w:rFonts w:hint="eastAsia"/>
                <w:color w:val="auto"/>
                <w:sz w:val="21"/>
                <w:szCs w:val="21"/>
                <w:lang w:val="en-US" w:eastAsia="zh-CN"/>
              </w:rPr>
              <w:t>1#-4#</w:t>
            </w:r>
            <w:r>
              <w:rPr>
                <w:color w:val="auto"/>
                <w:sz w:val="21"/>
                <w:szCs w:val="21"/>
              </w:rPr>
              <w:t>猪舍冬季取暖主要是通过猪舍墙体保温材料与外部断绝热交换、同时采用保温灯</w:t>
            </w:r>
            <w:r>
              <w:rPr>
                <w:rFonts w:hint="eastAsia"/>
                <w:color w:val="auto"/>
                <w:sz w:val="21"/>
                <w:szCs w:val="21"/>
              </w:rPr>
              <w:t>、加热板</w:t>
            </w:r>
            <w:r>
              <w:rPr>
                <w:color w:val="auto"/>
                <w:sz w:val="21"/>
                <w:szCs w:val="21"/>
              </w:rPr>
              <w:t>供暖；</w:t>
            </w:r>
            <w:r>
              <w:rPr>
                <w:rFonts w:hint="eastAsia"/>
                <w:color w:val="auto"/>
                <w:sz w:val="21"/>
                <w:szCs w:val="21"/>
                <w:lang w:val="en-US" w:eastAsia="zh-CN"/>
              </w:rPr>
              <w:t>5#-6#</w:t>
            </w:r>
            <w:r>
              <w:rPr>
                <w:color w:val="auto"/>
                <w:sz w:val="21"/>
                <w:szCs w:val="21"/>
              </w:rPr>
              <w:t>猪舍冬季取暖主要是通过猪舍墙体保温材料与外部断绝热交换、同时采用</w:t>
            </w:r>
            <w:r>
              <w:rPr>
                <w:rFonts w:hint="eastAsia"/>
                <w:color w:val="auto"/>
                <w:sz w:val="21"/>
                <w:szCs w:val="21"/>
              </w:rPr>
              <w:t>电热水锅炉供暖</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已建4栋（1#-4#），新建2栋（5#-6#）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办公及生活设施</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办公生活区</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color w:val="auto"/>
                <w:sz w:val="21"/>
                <w:szCs w:val="21"/>
              </w:rPr>
              <w:t>宿舍1栋</w:t>
            </w:r>
            <w:r>
              <w:rPr>
                <w:rFonts w:hint="eastAsia"/>
                <w:color w:val="auto"/>
                <w:sz w:val="21"/>
                <w:szCs w:val="21"/>
                <w:lang w:eastAsia="zh-CN"/>
              </w:rPr>
              <w:t>，</w:t>
            </w:r>
            <w:r>
              <w:rPr>
                <w:color w:val="auto"/>
                <w:sz w:val="21"/>
                <w:szCs w:val="21"/>
              </w:rPr>
              <w:t>砖混结构，总建筑面积</w:t>
            </w:r>
            <w:r>
              <w:rPr>
                <w:rFonts w:hint="eastAsia"/>
                <w:color w:val="auto"/>
                <w:sz w:val="21"/>
                <w:szCs w:val="21"/>
                <w:lang w:val="en-US" w:eastAsia="zh-CN"/>
              </w:rPr>
              <w:t>约160</w:t>
            </w:r>
            <w:r>
              <w:rPr>
                <w:color w:val="auto"/>
                <w:sz w:val="21"/>
                <w:szCs w:val="21"/>
              </w:rPr>
              <w:t>m</w:t>
            </w:r>
            <w:r>
              <w:rPr>
                <w:color w:val="auto"/>
                <w:sz w:val="21"/>
                <w:szCs w:val="21"/>
                <w:vertAlign w:val="superscript"/>
              </w:rPr>
              <w:t>2</w:t>
            </w:r>
            <w:r>
              <w:rPr>
                <w:color w:val="auto"/>
                <w:sz w:val="21"/>
                <w:szCs w:val="21"/>
              </w:rPr>
              <w:t>；位于厂区内</w:t>
            </w:r>
            <w:r>
              <w:rPr>
                <w:rFonts w:hint="eastAsia"/>
                <w:color w:val="auto"/>
                <w:sz w:val="21"/>
                <w:szCs w:val="21"/>
              </w:rPr>
              <w:t>南角</w:t>
            </w:r>
            <w:r>
              <w:rPr>
                <w:color w:val="auto"/>
                <w:sz w:val="21"/>
                <w:szCs w:val="21"/>
              </w:rPr>
              <w:t>，用于员工办公及住宿</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生活垃圾</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生活污水</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食堂油烟</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食堂废水</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食堂</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color w:val="auto"/>
                <w:sz w:val="21"/>
                <w:szCs w:val="21"/>
              </w:rPr>
              <w:t>场区设食堂、餐厅等，用餐人员约</w:t>
            </w:r>
            <w:r>
              <w:rPr>
                <w:rFonts w:hint="eastAsia"/>
                <w:color w:val="auto"/>
                <w:sz w:val="21"/>
                <w:szCs w:val="21"/>
                <w:lang w:val="en-US" w:eastAsia="zh-CN"/>
              </w:rPr>
              <w:t>7</w:t>
            </w:r>
            <w:r>
              <w:rPr>
                <w:color w:val="auto"/>
                <w:sz w:val="21"/>
                <w:szCs w:val="21"/>
              </w:rPr>
              <w:t>人，位于厂区入口处</w:t>
            </w:r>
            <w:r>
              <w:rPr>
                <w:rFonts w:hint="eastAsia"/>
                <w:color w:val="auto"/>
                <w:sz w:val="21"/>
                <w:szCs w:val="21"/>
              </w:rPr>
              <w:t>，</w:t>
            </w:r>
            <w:r>
              <w:rPr>
                <w:color w:val="auto"/>
                <w:sz w:val="21"/>
                <w:szCs w:val="21"/>
              </w:rPr>
              <w:t>采用沼气作为燃料</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color w:val="auto"/>
                <w:sz w:val="21"/>
                <w:szCs w:val="21"/>
                <w:lang w:val="en-US" w:eastAsia="zh-CN"/>
              </w:rPr>
            </w:pPr>
            <w:r>
              <w:rPr>
                <w:rFonts w:hint="eastAsia"/>
                <w:color w:val="auto"/>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环保</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废水治理</w:t>
            </w: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hint="eastAsia" w:eastAsia="等线"/>
                <w:color w:val="auto"/>
                <w:sz w:val="21"/>
                <w:szCs w:val="21"/>
              </w:rPr>
            </w:pPr>
            <w:r>
              <w:rPr>
                <w:rFonts w:hint="eastAsia"/>
                <w:color w:val="auto"/>
                <w:sz w:val="21"/>
                <w:szCs w:val="21"/>
              </w:rPr>
              <w:t>污水处理站</w:t>
            </w:r>
            <w:r>
              <w:rPr>
                <w:rFonts w:hint="eastAsia"/>
                <w:color w:val="auto"/>
                <w:sz w:val="21"/>
                <w:szCs w:val="21"/>
                <w:lang w:eastAsia="zh-CN"/>
              </w:rPr>
              <w:t>：设废水处理系统一套，部分地下设施，采用“固液分离+厌氧发酵”工艺；污水处理站末端设1个</w:t>
            </w:r>
            <w:r>
              <w:rPr>
                <w:rFonts w:hint="eastAsia"/>
                <w:color w:val="auto"/>
                <w:sz w:val="21"/>
                <w:szCs w:val="21"/>
                <w:lang w:val="en-US" w:eastAsia="zh-CN"/>
              </w:rPr>
              <w:t>6500</w:t>
            </w:r>
            <w:r>
              <w:rPr>
                <w:rFonts w:hint="eastAsia"/>
                <w:color w:val="auto"/>
                <w:sz w:val="21"/>
                <w:szCs w:val="21"/>
                <w:lang w:eastAsia="zh-CN"/>
              </w:rPr>
              <w:t>m</w:t>
            </w:r>
            <w:r>
              <w:rPr>
                <w:rFonts w:hint="eastAsia"/>
                <w:color w:val="auto"/>
                <w:sz w:val="21"/>
                <w:szCs w:val="21"/>
                <w:vertAlign w:val="superscript"/>
                <w:lang w:eastAsia="zh-CN"/>
              </w:rPr>
              <w:t>3</w:t>
            </w:r>
            <w:r>
              <w:rPr>
                <w:rFonts w:hint="eastAsia"/>
                <w:color w:val="auto"/>
                <w:sz w:val="21"/>
                <w:szCs w:val="21"/>
                <w:lang w:val="en-US" w:eastAsia="zh-CN"/>
              </w:rPr>
              <w:t>沼液暂存</w:t>
            </w:r>
            <w:r>
              <w:rPr>
                <w:rFonts w:hint="eastAsia"/>
                <w:color w:val="auto"/>
                <w:sz w:val="21"/>
                <w:szCs w:val="21"/>
                <w:lang w:eastAsia="zh-CN"/>
              </w:rPr>
              <w:t>池，处理后废水排入池内暂存、调节，回用于农田</w:t>
            </w:r>
            <w:r>
              <w:rPr>
                <w:rFonts w:hint="eastAsia"/>
                <w:color w:val="auto"/>
                <w:sz w:val="21"/>
                <w:szCs w:val="21"/>
                <w:lang w:val="en-US" w:eastAsia="zh-CN"/>
              </w:rPr>
              <w:t>施肥</w:t>
            </w:r>
            <w:r>
              <w:rPr>
                <w:rFonts w:hint="eastAsia"/>
                <w:color w:val="auto"/>
                <w:sz w:val="21"/>
                <w:szCs w:val="21"/>
                <w:lang w:eastAsia="zh-CN"/>
              </w:rPr>
              <w:t>。</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粪便</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w:t>
            </w: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 xml:space="preserve">生活废水处理系统：设隔油池一座，容积 </w:t>
            </w:r>
            <w:r>
              <w:rPr>
                <w:rFonts w:hint="eastAsia"/>
                <w:color w:val="auto"/>
                <w:sz w:val="21"/>
                <w:szCs w:val="21"/>
                <w:lang w:val="en-US" w:eastAsia="zh-CN"/>
              </w:rPr>
              <w:t>0.5</w:t>
            </w:r>
            <w:r>
              <w:rPr>
                <w:rFonts w:hint="eastAsia"/>
                <w:color w:val="auto"/>
                <w:sz w:val="21"/>
                <w:szCs w:val="21"/>
              </w:rPr>
              <w:t>m</w:t>
            </w:r>
            <w:r>
              <w:rPr>
                <w:rFonts w:hint="eastAsia"/>
                <w:color w:val="auto"/>
                <w:sz w:val="21"/>
                <w:szCs w:val="21"/>
                <w:vertAlign w:val="superscript"/>
              </w:rPr>
              <w:t>3</w:t>
            </w:r>
            <w:r>
              <w:rPr>
                <w:rFonts w:hint="eastAsia"/>
                <w:color w:val="auto"/>
                <w:sz w:val="21"/>
                <w:szCs w:val="21"/>
              </w:rPr>
              <w:t>，食堂废水经隔油池处理后与其它生活污水一并进入污水处理站处理</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lang w:eastAsia="zh-CN"/>
              </w:rPr>
              <w:t>事故应急池</w:t>
            </w:r>
            <w:r>
              <w:rPr>
                <w:rFonts w:hint="eastAsia"/>
                <w:color w:val="auto"/>
                <w:sz w:val="21"/>
                <w:szCs w:val="21"/>
              </w:rPr>
              <w:t>1个，容积</w:t>
            </w:r>
            <w:r>
              <w:rPr>
                <w:rFonts w:hint="eastAsia"/>
                <w:color w:val="auto"/>
                <w:sz w:val="21"/>
                <w:szCs w:val="21"/>
                <w:lang w:val="en-US" w:eastAsia="zh-CN"/>
              </w:rPr>
              <w:t>35</w:t>
            </w:r>
            <w:r>
              <w:rPr>
                <w:rFonts w:hint="eastAsia"/>
                <w:color w:val="auto"/>
                <w:sz w:val="21"/>
                <w:szCs w:val="21"/>
              </w:rPr>
              <w:t>0m</w:t>
            </w:r>
            <w:r>
              <w:rPr>
                <w:rFonts w:hint="eastAsia"/>
                <w:color w:val="auto"/>
                <w:sz w:val="21"/>
                <w:szCs w:val="21"/>
                <w:vertAlign w:val="superscript"/>
              </w:rPr>
              <w:t>3</w:t>
            </w:r>
            <w:r>
              <w:rPr>
                <w:rFonts w:hint="eastAsia"/>
                <w:color w:val="auto"/>
                <w:sz w:val="21"/>
                <w:szCs w:val="21"/>
              </w:rPr>
              <w:t>，周边安装监控系统，监控记录保存至少3个月，用于系统维修时存水</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雨、污管网、配套浇灌系统：雨水由雨水管道收集后直接排放；生活污水和养殖废水经污水管网收集至污水处理站处理后废水全部用于农田</w:t>
            </w:r>
            <w:r>
              <w:rPr>
                <w:rFonts w:hint="eastAsia"/>
                <w:color w:val="auto"/>
                <w:sz w:val="21"/>
                <w:szCs w:val="21"/>
                <w:lang w:val="en-US" w:eastAsia="zh-CN"/>
              </w:rPr>
              <w:t>施肥</w:t>
            </w:r>
            <w:r>
              <w:rPr>
                <w:rFonts w:hint="eastAsia"/>
                <w:color w:val="auto"/>
                <w:sz w:val="21"/>
                <w:szCs w:val="21"/>
              </w:rPr>
              <w:t>，不外排；建设浇灌利用管网，消纳区域内采用网格状布置支管，使用时按照需求量采用连接软管，管网系统安装废水计量装置，泵单设电表。</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废气治理</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猪舍</w:t>
            </w:r>
            <w:r>
              <w:rPr>
                <w:rFonts w:hint="eastAsia"/>
                <w:color w:val="auto"/>
                <w:sz w:val="21"/>
                <w:szCs w:val="21"/>
                <w:lang w:eastAsia="zh-CN"/>
              </w:rPr>
              <w:t>、</w:t>
            </w:r>
            <w:r>
              <w:rPr>
                <w:rFonts w:hint="eastAsia"/>
                <w:color w:val="auto"/>
                <w:sz w:val="21"/>
                <w:szCs w:val="21"/>
                <w:lang w:val="en-US" w:eastAsia="zh-CN"/>
              </w:rPr>
              <w:t>干粪堆场</w:t>
            </w:r>
            <w:r>
              <w:rPr>
                <w:rFonts w:hint="eastAsia"/>
                <w:color w:val="auto"/>
                <w:sz w:val="21"/>
                <w:szCs w:val="21"/>
              </w:rPr>
              <w:t>恶臭：</w:t>
            </w:r>
          </w:p>
          <w:p>
            <w:pPr>
              <w:pStyle w:val="274"/>
              <w:keepNext w:val="0"/>
              <w:keepLines w:val="0"/>
              <w:pageBreakBefore w:val="0"/>
              <w:widowControl w:val="0"/>
              <w:kinsoku/>
              <w:overflowPunct/>
              <w:topLinePunct w:val="0"/>
              <w:autoSpaceDE/>
              <w:autoSpaceDN/>
              <w:bidi w:val="0"/>
              <w:snapToGrid/>
              <w:spacing w:line="0" w:lineRule="atLeast"/>
              <w:jc w:val="left"/>
              <w:rPr>
                <w:rFonts w:hint="default"/>
                <w:color w:val="auto"/>
                <w:sz w:val="21"/>
                <w:szCs w:val="21"/>
                <w:lang w:val="en-US"/>
              </w:rPr>
            </w:pPr>
            <w:r>
              <w:rPr>
                <w:rFonts w:hint="eastAsia" w:eastAsia="宋体"/>
                <w:color w:val="auto"/>
                <w:sz w:val="21"/>
                <w:szCs w:val="21"/>
                <w:lang w:val="en-US" w:eastAsia="zh-CN"/>
              </w:rPr>
              <w:t>科学设计日粮，</w:t>
            </w:r>
            <w:r>
              <w:rPr>
                <w:rFonts w:hint="eastAsia" w:eastAsia="宋体"/>
                <w:color w:val="auto"/>
                <w:sz w:val="21"/>
                <w:szCs w:val="21"/>
              </w:rPr>
              <w:t>选用益生菌配方饲料</w:t>
            </w:r>
            <w:r>
              <w:rPr>
                <w:rFonts w:hint="eastAsia" w:eastAsia="宋体"/>
                <w:color w:val="auto"/>
                <w:sz w:val="21"/>
                <w:szCs w:val="21"/>
                <w:lang w:eastAsia="zh-CN"/>
              </w:rPr>
              <w:t>；</w:t>
            </w:r>
            <w:r>
              <w:rPr>
                <w:rFonts w:hint="eastAsia" w:eastAsia="宋体"/>
                <w:color w:val="auto"/>
                <w:sz w:val="21"/>
                <w:szCs w:val="21"/>
                <w:lang w:val="en-US" w:eastAsia="zh-CN"/>
              </w:rPr>
              <w:t>采用干清粪工艺，</w:t>
            </w:r>
            <w:r>
              <w:rPr>
                <w:rFonts w:hint="eastAsia" w:eastAsia="宋体"/>
                <w:color w:val="auto"/>
                <w:sz w:val="21"/>
                <w:szCs w:val="21"/>
                <w:lang w:eastAsia="zh-CN"/>
              </w:rPr>
              <w:t>猪舍、</w:t>
            </w:r>
            <w:r>
              <w:rPr>
                <w:rFonts w:hint="eastAsia" w:eastAsia="宋体"/>
                <w:color w:val="auto"/>
                <w:sz w:val="21"/>
                <w:szCs w:val="21"/>
                <w:lang w:val="en-US" w:eastAsia="zh-CN"/>
              </w:rPr>
              <w:t>干粪堆场及时清运粪污并喷洒除臭剂；加强绿化；污水管道地埋式；猪舍密闭，安装负压通风机，加强舍内通风；保持圈舍清洁卫生等</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color w:val="auto"/>
                <w:sz w:val="21"/>
                <w:szCs w:val="21"/>
              </w:rPr>
            </w:pPr>
            <w:r>
              <w:rPr>
                <w:rFonts w:hint="eastAsia"/>
                <w:color w:val="auto"/>
                <w:sz w:val="21"/>
                <w:szCs w:val="21"/>
              </w:rPr>
              <w:t>新建</w:t>
            </w:r>
          </w:p>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74"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rFonts w:hint="eastAsia" w:eastAsia="宋体"/>
                <w:color w:val="auto"/>
                <w:sz w:val="21"/>
                <w:szCs w:val="21"/>
                <w:lang w:val="en-US" w:eastAsia="zh-CN"/>
              </w:rPr>
              <w:t>污水处理区恶臭：收集池加盖；黑膜沼气池采取黑膜加盖封闭；恶臭产气区域喷洒除臭剂</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color w:val="auto"/>
                <w:sz w:val="21"/>
                <w:szCs w:val="21"/>
              </w:rPr>
            </w:pPr>
            <w:r>
              <w:rPr>
                <w:rFonts w:hint="eastAsia"/>
                <w:color w:val="auto"/>
                <w:sz w:val="21"/>
                <w:szCs w:val="21"/>
              </w:rPr>
              <w:t>新建</w:t>
            </w:r>
          </w:p>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74"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rFonts w:hint="eastAsia" w:eastAsia="宋体"/>
                <w:color w:val="auto"/>
                <w:sz w:val="21"/>
                <w:szCs w:val="21"/>
                <w:lang w:val="en-US" w:eastAsia="zh-CN"/>
              </w:rPr>
              <w:t>运输恶臭及尾气：合理安排路线，自由扩散</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val="en-US" w:eastAsia="zh-CN"/>
              </w:rPr>
            </w:pPr>
            <w:r>
              <w:rPr>
                <w:rFonts w:hint="eastAsia"/>
                <w:color w:val="auto"/>
                <w:sz w:val="21"/>
                <w:szCs w:val="21"/>
              </w:rPr>
              <w:t>污水处理站</w:t>
            </w:r>
            <w:r>
              <w:rPr>
                <w:rFonts w:hint="eastAsia"/>
                <w:color w:val="auto"/>
                <w:sz w:val="21"/>
                <w:szCs w:val="21"/>
                <w:lang w:val="en-US" w:eastAsia="zh-CN"/>
              </w:rPr>
              <w:t>沼气：</w:t>
            </w:r>
          </w:p>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设置 1 套沼气收集净化系统，沼气经收集、</w:t>
            </w:r>
            <w:r>
              <w:rPr>
                <w:rFonts w:hint="eastAsia"/>
                <w:color w:val="auto"/>
                <w:sz w:val="21"/>
                <w:szCs w:val="21"/>
                <w:lang w:val="en-US" w:eastAsia="zh-CN"/>
              </w:rPr>
              <w:t>脱水</w:t>
            </w:r>
            <w:r>
              <w:rPr>
                <w:rFonts w:hint="eastAsia"/>
                <w:color w:val="auto"/>
                <w:sz w:val="21"/>
                <w:szCs w:val="21"/>
              </w:rPr>
              <w:t>脱硫处理后输入储气柜，沼气一部分用于食堂燃料，剩余通过火炬燃烧排放。</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rPr>
              <w:t>食堂废气</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eastAsia="zh-CN"/>
              </w:rPr>
            </w:pPr>
            <w:r>
              <w:rPr>
                <w:rFonts w:hint="eastAsia"/>
                <w:color w:val="auto"/>
                <w:sz w:val="21"/>
                <w:szCs w:val="21"/>
                <w:lang w:eastAsia="zh-CN"/>
              </w:rPr>
              <w:t>食堂燃料采用项目产生的沼气作为燃料；食堂油烟经油烟净化器处理后引至屋顶排放。</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Style w:val="62"/>
                <w:rFonts w:hint="eastAsia"/>
                <w:color w:val="auto"/>
                <w:sz w:val="21"/>
                <w:szCs w:val="21"/>
              </w:rPr>
            </w:pPr>
            <w:r>
              <w:rPr>
                <w:rStyle w:val="62"/>
                <w:rFonts w:hint="eastAsia"/>
                <w:color w:val="auto"/>
                <w:sz w:val="21"/>
                <w:szCs w:val="21"/>
              </w:rPr>
              <w:t>发电机废气：</w:t>
            </w:r>
          </w:p>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Style w:val="62"/>
                <w:rFonts w:hint="eastAsia"/>
                <w:color w:val="auto"/>
                <w:sz w:val="21"/>
                <w:szCs w:val="21"/>
              </w:rPr>
              <w:t xml:space="preserve">采用清洁能源，废气产生频次低，产生量小，自带的净化系统处理 </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噪声治理</w:t>
            </w:r>
          </w:p>
        </w:tc>
        <w:tc>
          <w:tcPr>
            <w:tcW w:w="2266" w:type="pct"/>
            <w:tcBorders>
              <w:bottom w:val="single" w:color="auto" w:sz="4"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color w:val="auto"/>
                <w:sz w:val="21"/>
                <w:szCs w:val="21"/>
              </w:rPr>
              <w:t>选用低噪声设备、采取隔声、减震等降噪措施，合理布置高噪设备，车间厂房隔声，距离衰减</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固废处置</w:t>
            </w: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lang w:eastAsia="zh-CN"/>
              </w:rPr>
            </w:pPr>
            <w:r>
              <w:rPr>
                <w:rFonts w:hint="eastAsia"/>
                <w:color w:val="auto"/>
                <w:sz w:val="21"/>
                <w:szCs w:val="21"/>
              </w:rPr>
              <w:t>猪粪、污泥（沼渣）</w:t>
            </w:r>
            <w:r>
              <w:rPr>
                <w:rFonts w:hint="eastAsia"/>
                <w:color w:val="auto"/>
                <w:sz w:val="21"/>
                <w:szCs w:val="21"/>
                <w:lang w:eastAsia="zh-CN"/>
              </w:rPr>
              <w:t>：</w:t>
            </w:r>
          </w:p>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lang w:val="en-US" w:eastAsia="zh-CN"/>
              </w:rPr>
              <w:t>设</w:t>
            </w:r>
            <w:r>
              <w:rPr>
                <w:rFonts w:hint="eastAsia"/>
                <w:color w:val="auto"/>
                <w:sz w:val="21"/>
                <w:szCs w:val="21"/>
                <w:lang w:eastAsia="zh-CN"/>
              </w:rPr>
              <w:t>干粪堆场</w:t>
            </w:r>
            <w:r>
              <w:rPr>
                <w:rFonts w:hint="eastAsia"/>
                <w:color w:val="auto"/>
                <w:sz w:val="21"/>
                <w:szCs w:val="21"/>
              </w:rPr>
              <w:t>1 间，建筑面积约50m</w:t>
            </w:r>
            <w:r>
              <w:rPr>
                <w:rFonts w:hint="eastAsia"/>
                <w:color w:val="auto"/>
                <w:sz w:val="21"/>
                <w:szCs w:val="21"/>
                <w:vertAlign w:val="superscript"/>
              </w:rPr>
              <w:t>2</w:t>
            </w:r>
            <w:r>
              <w:rPr>
                <w:rFonts w:hint="eastAsia"/>
                <w:color w:val="auto"/>
                <w:sz w:val="21"/>
                <w:szCs w:val="21"/>
              </w:rPr>
              <w:t>，位于污水处理区，拟采用四面围挡，加设顶棚，采取防风防雨防渗等措施，用于暂存干粪。</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rPr>
              <w:t>医疗废物</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eastAsia="zh-CN"/>
              </w:rPr>
            </w:pPr>
            <w:r>
              <w:rPr>
                <w:rFonts w:hint="eastAsia"/>
                <w:color w:val="auto"/>
                <w:sz w:val="21"/>
                <w:szCs w:val="21"/>
                <w:lang w:val="en-US" w:eastAsia="zh-CN"/>
              </w:rPr>
              <w:t>设</w:t>
            </w:r>
            <w:r>
              <w:rPr>
                <w:color w:val="auto"/>
                <w:sz w:val="21"/>
                <w:szCs w:val="21"/>
              </w:rPr>
              <w:t>危险废物暂存间1</w:t>
            </w:r>
            <w:r>
              <w:rPr>
                <w:rFonts w:hint="eastAsia"/>
                <w:color w:val="auto"/>
                <w:sz w:val="21"/>
                <w:szCs w:val="21"/>
              </w:rPr>
              <w:t>间</w:t>
            </w:r>
            <w:r>
              <w:rPr>
                <w:color w:val="auto"/>
                <w:sz w:val="21"/>
                <w:szCs w:val="21"/>
              </w:rPr>
              <w:t>，单</w:t>
            </w:r>
            <w:r>
              <w:rPr>
                <w:rFonts w:hint="eastAsia"/>
                <w:color w:val="auto"/>
                <w:sz w:val="21"/>
                <w:szCs w:val="21"/>
              </w:rPr>
              <w:t>间</w:t>
            </w:r>
            <w:r>
              <w:rPr>
                <w:color w:val="auto"/>
                <w:sz w:val="21"/>
                <w:szCs w:val="21"/>
              </w:rPr>
              <w:t>建筑面积约5m</w:t>
            </w:r>
            <w:r>
              <w:rPr>
                <w:color w:val="auto"/>
                <w:sz w:val="21"/>
                <w:szCs w:val="21"/>
                <w:vertAlign w:val="superscript"/>
              </w:rPr>
              <w:t>2</w:t>
            </w:r>
            <w:r>
              <w:rPr>
                <w:color w:val="auto"/>
                <w:sz w:val="21"/>
                <w:szCs w:val="21"/>
              </w:rPr>
              <w:t>，</w:t>
            </w:r>
            <w:r>
              <w:rPr>
                <w:rFonts w:hint="eastAsia"/>
                <w:color w:val="auto"/>
                <w:sz w:val="21"/>
                <w:szCs w:val="21"/>
              </w:rPr>
              <w:t>进行“防风、防雨、防晒、防渗漏”处理，地面渗透系数&lt;1.0×10</w:t>
            </w:r>
            <w:r>
              <w:rPr>
                <w:rFonts w:hint="eastAsia"/>
                <w:color w:val="auto"/>
                <w:sz w:val="21"/>
                <w:szCs w:val="21"/>
                <w:vertAlign w:val="superscript"/>
              </w:rPr>
              <w:t>-10</w:t>
            </w:r>
            <w:r>
              <w:rPr>
                <w:rFonts w:hint="eastAsia"/>
                <w:color w:val="auto"/>
                <w:sz w:val="21"/>
                <w:szCs w:val="21"/>
              </w:rPr>
              <w:t>cm/s，用于暂存场内畜禽医疗废物。危废委托资质单位处置</w:t>
            </w:r>
            <w:r>
              <w:rPr>
                <w:rFonts w:hint="eastAsia"/>
                <w:color w:val="auto"/>
                <w:sz w:val="21"/>
                <w:szCs w:val="21"/>
                <w:lang w:eastAsia="zh-CN"/>
              </w:rPr>
              <w:t>，签订协议并设立台账</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723"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color w:val="auto"/>
                <w:sz w:val="21"/>
                <w:szCs w:val="21"/>
              </w:rPr>
              <w:t>废脱硫剂</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color w:val="auto"/>
                <w:sz w:val="21"/>
                <w:szCs w:val="21"/>
              </w:rPr>
              <w:t>暂集中收集后交由原厂家回收再生利用</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color w:val="auto"/>
                <w:sz w:val="21"/>
                <w:szCs w:val="21"/>
              </w:rPr>
              <w:t>废包装材料</w:t>
            </w:r>
            <w:r>
              <w:rPr>
                <w:rFonts w:hint="eastAsia"/>
                <w:color w:val="auto"/>
                <w:sz w:val="21"/>
                <w:szCs w:val="21"/>
                <w:lang w:eastAsia="zh-CN"/>
              </w:rPr>
              <w:t xml:space="preserve">： </w:t>
            </w:r>
          </w:p>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eastAsia="zh-CN"/>
              </w:rPr>
            </w:pPr>
            <w:r>
              <w:rPr>
                <w:rFonts w:hint="eastAsia"/>
                <w:color w:val="auto"/>
                <w:sz w:val="21"/>
                <w:szCs w:val="21"/>
                <w:lang w:eastAsia="zh-CN"/>
              </w:rPr>
              <w:t>统一收集，外售于废品收购站</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wordWrap w:val="0"/>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rPr>
              <w:t>病死猪</w:t>
            </w:r>
            <w:r>
              <w:rPr>
                <w:rFonts w:hint="eastAsia"/>
                <w:color w:val="auto"/>
                <w:sz w:val="21"/>
                <w:szCs w:val="21"/>
                <w:lang w:eastAsia="zh-CN"/>
              </w:rPr>
              <w:t>：</w:t>
            </w:r>
          </w:p>
          <w:p>
            <w:pPr>
              <w:pStyle w:val="274"/>
              <w:keepNext w:val="0"/>
              <w:keepLines w:val="0"/>
              <w:pageBreakBefore w:val="0"/>
              <w:widowControl w:val="0"/>
              <w:kinsoku/>
              <w:wordWrap w:val="0"/>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lang w:eastAsia="zh-CN"/>
              </w:rPr>
              <w:t xml:space="preserve">本项目病死猪交由三台县盛德祥生物科技有限公司进行处置。 </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wordWrap w:val="0"/>
              <w:overflowPunct/>
              <w:topLinePunct w:val="0"/>
              <w:autoSpaceDE/>
              <w:autoSpaceDN/>
              <w:bidi w:val="0"/>
              <w:snapToGrid/>
              <w:spacing w:line="0" w:lineRule="atLeast"/>
              <w:jc w:val="left"/>
              <w:rPr>
                <w:rFonts w:hint="eastAsia" w:eastAsia="宋体"/>
                <w:color w:val="auto"/>
                <w:sz w:val="21"/>
                <w:szCs w:val="21"/>
                <w:lang w:eastAsia="zh-CN"/>
              </w:rPr>
            </w:pPr>
            <w:r>
              <w:rPr>
                <w:rFonts w:hint="eastAsia"/>
                <w:color w:val="auto"/>
                <w:sz w:val="21"/>
                <w:szCs w:val="21"/>
              </w:rPr>
              <w:t>餐厨垃圾（含隔油池油脂）</w:t>
            </w:r>
            <w:r>
              <w:rPr>
                <w:rFonts w:hint="eastAsia"/>
                <w:color w:val="auto"/>
                <w:sz w:val="21"/>
                <w:szCs w:val="21"/>
                <w:lang w:eastAsia="zh-CN"/>
              </w:rPr>
              <w:t>：委托餐厨垃圾收运单位收运、处理</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color w:val="auto"/>
                <w:sz w:val="21"/>
                <w:szCs w:val="21"/>
              </w:rPr>
              <w:t>生活垃圾：设垃圾暂存间</w:t>
            </w:r>
            <w:r>
              <w:rPr>
                <w:rFonts w:hint="eastAsia"/>
                <w:color w:val="auto"/>
                <w:sz w:val="21"/>
                <w:szCs w:val="21"/>
                <w:lang w:val="en-US" w:eastAsia="zh-CN"/>
              </w:rPr>
              <w:t>1</w:t>
            </w:r>
            <w:r>
              <w:rPr>
                <w:color w:val="auto"/>
                <w:sz w:val="21"/>
                <w:szCs w:val="21"/>
              </w:rPr>
              <w:t>个，总建筑面积为50m</w:t>
            </w:r>
            <w:r>
              <w:rPr>
                <w:color w:val="auto"/>
                <w:sz w:val="21"/>
                <w:szCs w:val="21"/>
                <w:vertAlign w:val="superscript"/>
              </w:rPr>
              <w:t>2</w:t>
            </w:r>
            <w:r>
              <w:rPr>
                <w:color w:val="auto"/>
                <w:sz w:val="21"/>
                <w:szCs w:val="21"/>
              </w:rPr>
              <w:t>；由环卫部门定期清运处置</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274"/>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地下水</w:t>
            </w:r>
          </w:p>
          <w:p>
            <w:pPr>
              <w:pStyle w:val="274"/>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污染防治</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color w:val="auto"/>
                <w:sz w:val="21"/>
                <w:szCs w:val="21"/>
              </w:rPr>
              <w:t>根据可能导致地下水污染的情况，厂区内分为重点防渗区、一般防渗区、简单防渗区；</w:t>
            </w:r>
            <w:r>
              <w:rPr>
                <w:rStyle w:val="178"/>
                <w:rFonts w:hint="default" w:ascii="Times New Roman" w:hAnsi="Times New Roman"/>
                <w:color w:val="auto"/>
                <w:sz w:val="21"/>
                <w:szCs w:val="21"/>
              </w:rPr>
              <w:t xml:space="preserve"> </w:t>
            </w:r>
            <w:r>
              <w:rPr>
                <w:rStyle w:val="178"/>
                <w:rFonts w:hint="eastAsia" w:ascii="Times New Roman" w:hAnsi="Times New Roman" w:eastAsia="宋体"/>
                <w:color w:val="auto"/>
                <w:sz w:val="21"/>
                <w:szCs w:val="21"/>
                <w:lang w:val="en-US" w:eastAsia="zh-CN"/>
              </w:rPr>
              <w:t>危废间</w:t>
            </w:r>
            <w:r>
              <w:rPr>
                <w:color w:val="auto"/>
                <w:sz w:val="21"/>
                <w:szCs w:val="21"/>
              </w:rPr>
              <w:t>防渗系数</w:t>
            </w:r>
            <w:r>
              <w:rPr>
                <w:rStyle w:val="178"/>
                <w:rFonts w:hint="default" w:ascii="Times New Roman" w:hAnsi="Times New Roman"/>
                <w:color w:val="auto"/>
                <w:sz w:val="21"/>
                <w:szCs w:val="21"/>
              </w:rPr>
              <w:t>Mb≥6.0m，K≤1×10</w:t>
            </w:r>
            <w:r>
              <w:rPr>
                <w:rStyle w:val="178"/>
                <w:rFonts w:hint="default" w:ascii="Times New Roman" w:hAnsi="Times New Roman"/>
                <w:color w:val="auto"/>
                <w:sz w:val="21"/>
                <w:szCs w:val="21"/>
                <w:vertAlign w:val="superscript"/>
              </w:rPr>
              <w:t xml:space="preserve"> -10</w:t>
            </w:r>
            <w:r>
              <w:rPr>
                <w:rStyle w:val="178"/>
                <w:rFonts w:hint="default" w:ascii="Times New Roman" w:hAnsi="Times New Roman"/>
                <w:color w:val="auto"/>
                <w:sz w:val="21"/>
                <w:szCs w:val="21"/>
              </w:rPr>
              <w:t xml:space="preserve"> cm/s</w:t>
            </w:r>
            <w:r>
              <w:rPr>
                <w:rStyle w:val="178"/>
                <w:rFonts w:hint="eastAsia" w:ascii="Times New Roman" w:hAnsi="Times New Roman" w:eastAsia="宋体"/>
                <w:color w:val="auto"/>
                <w:sz w:val="21"/>
                <w:szCs w:val="21"/>
                <w:lang w:eastAsia="zh-CN"/>
              </w:rPr>
              <w:t>；</w:t>
            </w:r>
            <w:r>
              <w:rPr>
                <w:rStyle w:val="178"/>
                <w:rFonts w:hint="eastAsia" w:ascii="Times New Roman" w:hAnsi="Times New Roman" w:eastAsia="宋体"/>
                <w:color w:val="auto"/>
                <w:sz w:val="21"/>
                <w:szCs w:val="21"/>
                <w:lang w:val="en-US" w:eastAsia="zh-CN"/>
              </w:rPr>
              <w:t>其他</w:t>
            </w:r>
            <w:r>
              <w:rPr>
                <w:color w:val="auto"/>
                <w:sz w:val="21"/>
                <w:szCs w:val="21"/>
              </w:rPr>
              <w:t>重点防渗区的防渗系数Mb≥6.0m，K≤10</w:t>
            </w:r>
            <w:r>
              <w:rPr>
                <w:color w:val="auto"/>
                <w:sz w:val="21"/>
                <w:szCs w:val="21"/>
                <w:vertAlign w:val="superscript"/>
              </w:rPr>
              <w:t>-7</w:t>
            </w:r>
            <w:r>
              <w:rPr>
                <w:color w:val="auto"/>
                <w:sz w:val="21"/>
                <w:szCs w:val="21"/>
              </w:rPr>
              <w:t>cm/s；一般防渗区的防渗系数Mb≥1.5m，K≤10</w:t>
            </w:r>
            <w:r>
              <w:rPr>
                <w:color w:val="auto"/>
                <w:sz w:val="21"/>
                <w:szCs w:val="21"/>
                <w:vertAlign w:val="superscript"/>
              </w:rPr>
              <w:t>-7</w:t>
            </w:r>
            <w:r>
              <w:rPr>
                <w:color w:val="auto"/>
                <w:sz w:val="21"/>
                <w:szCs w:val="21"/>
              </w:rPr>
              <w:t>cm/s。</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w:t>
            </w: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976" w:type="pct"/>
            <w:gridSpan w:val="2"/>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 xml:space="preserve">风险防范措施 </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lang w:eastAsia="zh-CN"/>
              </w:rPr>
            </w:pPr>
            <w:r>
              <w:rPr>
                <w:rFonts w:hint="eastAsia"/>
                <w:color w:val="auto"/>
                <w:sz w:val="21"/>
                <w:szCs w:val="21"/>
              </w:rPr>
              <w:t>病疫</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rFonts w:hint="eastAsia"/>
                <w:color w:val="auto"/>
                <w:sz w:val="21"/>
                <w:szCs w:val="21"/>
              </w:rPr>
              <w:t>加强废物处理，加强圈舍清洁和日常消毒，建立健全严密的卫生防疫制度和科学合理的卫生设施，从源头上减小病疫发生概率。发生病疫后应立即进行隔离、病死猪按相关要求进行处理、并对整个厂区进行消毒、防止泄露至外环境中造成环境污染事故</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976" w:type="pct"/>
            <w:gridSpan w:val="2"/>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rPr>
              <w:t>沼气</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lang w:eastAsia="zh-CN"/>
              </w:rPr>
              <w:t>场区内设置适当数量的消防器材，沼气进行脱硫、脱水处理</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976" w:type="pct"/>
            <w:gridSpan w:val="2"/>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rPr>
              <w:t>泄露</w:t>
            </w:r>
            <w:r>
              <w:rPr>
                <w:rFonts w:hint="eastAsia"/>
                <w:color w:val="auto"/>
                <w:sz w:val="21"/>
                <w:szCs w:val="21"/>
                <w:lang w:eastAsia="zh-CN"/>
              </w:rPr>
              <w:t>：</w:t>
            </w:r>
          </w:p>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lang w:eastAsia="zh-CN"/>
              </w:rPr>
            </w:pPr>
            <w:r>
              <w:rPr>
                <w:rFonts w:hint="eastAsia"/>
                <w:color w:val="auto"/>
                <w:sz w:val="21"/>
                <w:szCs w:val="21"/>
                <w:lang w:eastAsia="zh-CN"/>
              </w:rPr>
              <w:t>设置事故应急池 1 座（</w:t>
            </w:r>
            <w:r>
              <w:rPr>
                <w:rFonts w:hint="eastAsia"/>
                <w:color w:val="auto"/>
                <w:sz w:val="21"/>
                <w:szCs w:val="21"/>
                <w:lang w:val="en-US" w:eastAsia="zh-CN"/>
              </w:rPr>
              <w:t>35</w:t>
            </w:r>
            <w:r>
              <w:rPr>
                <w:rFonts w:hint="eastAsia"/>
                <w:color w:val="auto"/>
                <w:sz w:val="21"/>
                <w:szCs w:val="21"/>
                <w:lang w:eastAsia="zh-CN"/>
              </w:rPr>
              <w:t>0m³），当污水处理设施发生故障时，将废水导入应急池内暂存；发电机房内储油桶四周设置围堰，一旦柴油存储过程中发生泄漏，围堰可收集泄漏的柴油，避免柴油外泄</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新建</w:t>
            </w:r>
          </w:p>
        </w:tc>
      </w:tr>
      <w:bookmarkEnd w:id="62"/>
    </w:tbl>
    <w:p>
      <w:pPr>
        <w:pStyle w:val="8"/>
        <w:tabs>
          <w:tab w:val="clear" w:pos="0"/>
        </w:tabs>
        <w:spacing w:before="120"/>
        <w:rPr>
          <w:rFonts w:eastAsia="黑体"/>
          <w:color w:val="auto"/>
          <w:sz w:val="28"/>
          <w:szCs w:val="28"/>
        </w:rPr>
      </w:pPr>
      <w:bookmarkStart w:id="63" w:name="_Toc436035670"/>
      <w:r>
        <w:rPr>
          <w:rFonts w:eastAsia="黑体"/>
          <w:color w:val="auto"/>
          <w:sz w:val="28"/>
          <w:szCs w:val="28"/>
        </w:rPr>
        <w:t>生产设备</w:t>
      </w:r>
      <w:bookmarkEnd w:id="63"/>
    </w:p>
    <w:p>
      <w:pPr>
        <w:ind w:firstLine="480"/>
        <w:rPr>
          <w:color w:val="auto"/>
        </w:rPr>
      </w:pPr>
      <w:r>
        <w:rPr>
          <w:color w:val="auto"/>
        </w:rPr>
        <w:t>本项目主要生产设备配置情况见表3.1-</w:t>
      </w:r>
      <w:r>
        <w:rPr>
          <w:rFonts w:hint="eastAsia"/>
          <w:color w:val="auto"/>
          <w:lang w:val="en-US" w:eastAsia="zh-CN"/>
        </w:rPr>
        <w:t>3</w:t>
      </w:r>
      <w:r>
        <w:rPr>
          <w:color w:val="auto"/>
        </w:rPr>
        <w:t>。</w:t>
      </w:r>
    </w:p>
    <w:p>
      <w:pPr>
        <w:pStyle w:val="166"/>
        <w:spacing w:before="0" w:beforeLines="0" w:line="240" w:lineRule="auto"/>
        <w:rPr>
          <w:color w:val="auto"/>
        </w:rPr>
      </w:pPr>
      <w:r>
        <w:rPr>
          <w:color w:val="auto"/>
        </w:rPr>
        <w:t>表3.1-</w:t>
      </w:r>
      <w:r>
        <w:rPr>
          <w:rFonts w:hint="eastAsia"/>
          <w:color w:val="auto"/>
          <w:lang w:val="en-US" w:eastAsia="zh-CN"/>
        </w:rPr>
        <w:t xml:space="preserve">3 </w:t>
      </w:r>
      <w:r>
        <w:rPr>
          <w:color w:val="auto"/>
        </w:rPr>
        <w:t>主要生产设备一览表</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129"/>
        <w:gridCol w:w="1685"/>
        <w:gridCol w:w="1811"/>
        <w:gridCol w:w="807"/>
        <w:gridCol w:w="29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45" w:type="pct"/>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序号</w:t>
            </w:r>
          </w:p>
        </w:tc>
        <w:tc>
          <w:tcPr>
            <w:tcW w:w="1563" w:type="pct"/>
            <w:gridSpan w:val="2"/>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名称</w:t>
            </w:r>
          </w:p>
        </w:tc>
        <w:tc>
          <w:tcPr>
            <w:tcW w:w="1006" w:type="pct"/>
            <w:noWrap w:val="0"/>
            <w:vAlign w:val="center"/>
          </w:tcPr>
          <w:p>
            <w:pPr>
              <w:adjustRightInd w:val="0"/>
              <w:snapToGrid w:val="0"/>
              <w:spacing w:line="240" w:lineRule="auto"/>
              <w:ind w:firstLine="0" w:firstLineChars="0"/>
              <w:jc w:val="center"/>
              <w:rPr>
                <w:rFonts w:hint="eastAsia" w:eastAsia="宋体"/>
                <w:b/>
                <w:bCs/>
                <w:color w:val="auto"/>
                <w:sz w:val="21"/>
                <w:szCs w:val="21"/>
                <w:lang w:val="en-US" w:eastAsia="zh-CN"/>
              </w:rPr>
            </w:pPr>
            <w:r>
              <w:rPr>
                <w:b/>
                <w:bCs/>
                <w:color w:val="auto"/>
                <w:sz w:val="21"/>
                <w:szCs w:val="21"/>
              </w:rPr>
              <w:t>规模/型号</w:t>
            </w:r>
          </w:p>
        </w:tc>
        <w:tc>
          <w:tcPr>
            <w:tcW w:w="448" w:type="pct"/>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数量</w:t>
            </w:r>
          </w:p>
        </w:tc>
        <w:tc>
          <w:tcPr>
            <w:tcW w:w="1635" w:type="pct"/>
            <w:noWrap w:val="0"/>
            <w:vAlign w:val="center"/>
          </w:tcPr>
          <w:p>
            <w:pPr>
              <w:adjustRightInd w:val="0"/>
              <w:snapToGrid w:val="0"/>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restar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restart"/>
            <w:noWrap w:val="0"/>
            <w:vAlign w:val="center"/>
          </w:tcPr>
          <w:p>
            <w:pPr>
              <w:pStyle w:val="274"/>
              <w:snapToGrid w:val="0"/>
              <w:spacing w:line="240" w:lineRule="auto"/>
              <w:rPr>
                <w:color w:val="auto"/>
                <w:sz w:val="21"/>
                <w:szCs w:val="21"/>
              </w:rPr>
            </w:pPr>
            <w:r>
              <w:rPr>
                <w:rFonts w:hint="eastAsia"/>
                <w:color w:val="auto"/>
                <w:sz w:val="21"/>
                <w:szCs w:val="21"/>
              </w:rPr>
              <w:t>育肥</w:t>
            </w:r>
            <w:r>
              <w:rPr>
                <w:rFonts w:hint="eastAsia"/>
                <w:color w:val="auto"/>
                <w:sz w:val="21"/>
                <w:szCs w:val="21"/>
                <w:lang w:val="en-US" w:eastAsia="zh-CN"/>
              </w:rPr>
              <w:t>猪</w:t>
            </w:r>
            <w:r>
              <w:rPr>
                <w:rFonts w:hint="eastAsia"/>
                <w:color w:val="auto"/>
                <w:sz w:val="21"/>
                <w:szCs w:val="21"/>
              </w:rPr>
              <w:t>舍设备</w:t>
            </w:r>
          </w:p>
        </w:tc>
        <w:tc>
          <w:tcPr>
            <w:tcW w:w="936" w:type="pct"/>
            <w:noWrap w:val="0"/>
            <w:vAlign w:val="center"/>
          </w:tcPr>
          <w:p>
            <w:pPr>
              <w:adjustRightInd w:val="0"/>
              <w:snapToGrid w:val="0"/>
              <w:spacing w:line="240" w:lineRule="auto"/>
              <w:ind w:firstLine="0" w:firstLineChars="0"/>
              <w:jc w:val="center"/>
              <w:rPr>
                <w:color w:val="auto"/>
                <w:sz w:val="21"/>
                <w:szCs w:val="21"/>
              </w:rPr>
            </w:pPr>
            <w:r>
              <w:rPr>
                <w:rFonts w:hint="eastAsia" w:cs="宋体"/>
                <w:color w:val="auto"/>
                <w:sz w:val="21"/>
                <w:szCs w:val="21"/>
              </w:rPr>
              <w:t xml:space="preserve">栏位系统、环控系统、喂料系统、清粪系统等 </w:t>
            </w:r>
          </w:p>
        </w:tc>
        <w:tc>
          <w:tcPr>
            <w:tcW w:w="1006" w:type="pct"/>
            <w:noWrap w:val="0"/>
            <w:vAlign w:val="center"/>
          </w:tcPr>
          <w:p>
            <w:pPr>
              <w:adjustRightInd w:val="0"/>
              <w:snapToGrid w:val="0"/>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6套</w:t>
            </w:r>
          </w:p>
        </w:tc>
        <w:tc>
          <w:tcPr>
            <w:tcW w:w="1635"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45" w:type="pct"/>
            <w:vMerge w:val="continue"/>
            <w:noWrap w:val="0"/>
            <w:vAlign w:val="center"/>
          </w:tcPr>
          <w:p>
            <w:pPr>
              <w:adjustRightInd w:val="0"/>
              <w:snapToGrid w:val="0"/>
              <w:spacing w:line="240" w:lineRule="auto"/>
              <w:ind w:firstLine="0" w:firstLineChars="0"/>
              <w:jc w:val="center"/>
              <w:rPr>
                <w:color w:val="auto"/>
                <w:sz w:val="21"/>
                <w:szCs w:val="21"/>
              </w:rPr>
            </w:pPr>
          </w:p>
        </w:tc>
        <w:tc>
          <w:tcPr>
            <w:tcW w:w="627" w:type="pct"/>
            <w:vMerge w:val="continue"/>
            <w:noWrap w:val="0"/>
            <w:vAlign w:val="center"/>
          </w:tcPr>
          <w:p>
            <w:pPr>
              <w:pStyle w:val="274"/>
              <w:snapToGrid w:val="0"/>
              <w:spacing w:line="240" w:lineRule="auto"/>
              <w:rPr>
                <w:color w:val="auto"/>
                <w:sz w:val="21"/>
                <w:szCs w:val="21"/>
              </w:rPr>
            </w:pPr>
          </w:p>
        </w:tc>
        <w:tc>
          <w:tcPr>
            <w:tcW w:w="936" w:type="pct"/>
            <w:noWrap w:val="0"/>
            <w:vAlign w:val="center"/>
          </w:tcPr>
          <w:p>
            <w:pPr>
              <w:adjustRightInd w:val="0"/>
              <w:snapToGrid w:val="0"/>
              <w:spacing w:line="240" w:lineRule="auto"/>
              <w:ind w:firstLine="0" w:firstLineChars="0"/>
              <w:jc w:val="center"/>
              <w:rPr>
                <w:color w:val="auto"/>
                <w:sz w:val="21"/>
                <w:szCs w:val="21"/>
              </w:rPr>
            </w:pPr>
            <w:r>
              <w:rPr>
                <w:rFonts w:cs="宋体"/>
                <w:bCs/>
                <w:color w:val="auto"/>
                <w:sz w:val="21"/>
                <w:szCs w:val="21"/>
              </w:rPr>
              <w:t>水帘降温系统</w:t>
            </w:r>
          </w:p>
        </w:tc>
        <w:tc>
          <w:tcPr>
            <w:tcW w:w="1006" w:type="pct"/>
            <w:noWrap w:val="0"/>
            <w:vAlign w:val="center"/>
          </w:tcPr>
          <w:p>
            <w:pPr>
              <w:adjustRightInd w:val="0"/>
              <w:snapToGrid w:val="0"/>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6套</w:t>
            </w:r>
          </w:p>
        </w:tc>
        <w:tc>
          <w:tcPr>
            <w:tcW w:w="1635"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default" w:eastAsia="宋体"/>
                <w:color w:val="auto"/>
                <w:sz w:val="21"/>
                <w:szCs w:val="21"/>
                <w:lang w:val="en-US" w:eastAsia="zh-CN"/>
              </w:rPr>
              <w:t>包括水循环系统、湿帘水泵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restar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restar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污水处理系统</w:t>
            </w: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固液分离机</w:t>
            </w:r>
          </w:p>
        </w:tc>
        <w:tc>
          <w:tcPr>
            <w:tcW w:w="1006"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eastAsia="宋体"/>
                <w:color w:val="auto"/>
                <w:sz w:val="21"/>
                <w:szCs w:val="21"/>
                <w:lang w:val="en-US" w:eastAsia="zh-CN"/>
              </w:rPr>
              <w:t>2个</w:t>
            </w:r>
          </w:p>
        </w:tc>
        <w:tc>
          <w:tcPr>
            <w:tcW w:w="1635" w:type="pct"/>
            <w:noWrap w:val="0"/>
            <w:vAlign w:val="center"/>
          </w:tcPr>
          <w:p>
            <w:pPr>
              <w:adjustRightInd w:val="0"/>
              <w:snapToGrid w:val="0"/>
              <w:spacing w:line="240" w:lineRule="auto"/>
              <w:ind w:firstLine="420" w:firstLineChars="200"/>
              <w:jc w:val="center"/>
              <w:rPr>
                <w:color w:val="auto"/>
                <w:sz w:val="21"/>
                <w:szCs w:val="21"/>
                <w:highlight w:val="yellow"/>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continue"/>
            <w:noWrap w:val="0"/>
            <w:vAlign w:val="center"/>
          </w:tcPr>
          <w:p>
            <w:pPr>
              <w:adjustRightInd w:val="0"/>
              <w:snapToGrid w:val="0"/>
              <w:spacing w:line="240" w:lineRule="auto"/>
              <w:ind w:firstLine="0"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color w:val="auto"/>
                <w:sz w:val="21"/>
                <w:szCs w:val="21"/>
              </w:rPr>
            </w:pP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收集池</w:t>
            </w:r>
          </w:p>
        </w:tc>
        <w:tc>
          <w:tcPr>
            <w:tcW w:w="1006"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容积约565m</w:t>
            </w:r>
            <w:r>
              <w:rPr>
                <w:rFonts w:hint="eastAsia"/>
                <w:color w:val="auto"/>
                <w:sz w:val="21"/>
                <w:szCs w:val="21"/>
                <w:vertAlign w:val="superscript"/>
                <w:lang w:val="en-US" w:eastAsia="zh-CN"/>
              </w:rPr>
              <w:t>3</w:t>
            </w:r>
            <w:r>
              <w:rPr>
                <w:rFonts w:hint="eastAsia"/>
                <w:color w:val="auto"/>
                <w:sz w:val="21"/>
                <w:szCs w:val="21"/>
                <w:lang w:val="en-US" w:eastAsia="zh-CN"/>
              </w:rPr>
              <w:t>/个，R=6m，H=5m</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2个</w:t>
            </w:r>
          </w:p>
        </w:tc>
        <w:tc>
          <w:tcPr>
            <w:tcW w:w="1635" w:type="pct"/>
            <w:noWrap w:val="0"/>
            <w:vAlign w:val="center"/>
          </w:tcPr>
          <w:p>
            <w:pPr>
              <w:adjustRightInd w:val="0"/>
              <w:snapToGrid w:val="0"/>
              <w:spacing w:line="240" w:lineRule="auto"/>
              <w:ind w:firstLine="420" w:firstLineChars="200"/>
              <w:jc w:val="center"/>
              <w:rPr>
                <w:color w:val="auto"/>
                <w:sz w:val="21"/>
                <w:szCs w:val="21"/>
                <w:highlight w:val="yellow"/>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continue"/>
            <w:noWrap w:val="0"/>
            <w:vAlign w:val="center"/>
          </w:tcPr>
          <w:p>
            <w:pPr>
              <w:adjustRightInd w:val="0"/>
              <w:snapToGrid w:val="0"/>
              <w:spacing w:line="240" w:lineRule="auto"/>
              <w:ind w:firstLine="0"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color w:val="auto"/>
                <w:sz w:val="21"/>
                <w:szCs w:val="21"/>
              </w:rPr>
            </w:pP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黑</w:t>
            </w:r>
            <w:r>
              <w:rPr>
                <w:color w:val="auto"/>
                <w:sz w:val="21"/>
                <w:szCs w:val="21"/>
              </w:rPr>
              <w:t>膜沼气池</w:t>
            </w:r>
          </w:p>
        </w:tc>
        <w:tc>
          <w:tcPr>
            <w:tcW w:w="1006"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1500m</w:t>
            </w:r>
            <w:r>
              <w:rPr>
                <w:rFonts w:hint="eastAsia"/>
                <w:color w:val="auto"/>
                <w:sz w:val="21"/>
                <w:szCs w:val="21"/>
                <w:vertAlign w:val="superscript"/>
                <w:lang w:val="en-US" w:eastAsia="zh-CN"/>
              </w:rPr>
              <w:t>3</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1个</w:t>
            </w:r>
          </w:p>
        </w:tc>
        <w:tc>
          <w:tcPr>
            <w:tcW w:w="1635" w:type="pct"/>
            <w:noWrap w:val="0"/>
            <w:vAlign w:val="center"/>
          </w:tcPr>
          <w:p>
            <w:pPr>
              <w:adjustRightInd w:val="0"/>
              <w:snapToGrid w:val="0"/>
              <w:spacing w:line="240" w:lineRule="auto"/>
              <w:ind w:firstLine="420" w:firstLineChars="200"/>
              <w:jc w:val="center"/>
              <w:rPr>
                <w:color w:val="auto"/>
                <w:sz w:val="21"/>
                <w:szCs w:val="21"/>
                <w:highlight w:val="yellow"/>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continue"/>
            <w:noWrap w:val="0"/>
            <w:vAlign w:val="center"/>
          </w:tcPr>
          <w:p>
            <w:pPr>
              <w:adjustRightInd w:val="0"/>
              <w:snapToGrid w:val="0"/>
              <w:spacing w:line="240" w:lineRule="auto"/>
              <w:ind w:firstLine="0"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color w:val="auto"/>
                <w:sz w:val="21"/>
                <w:szCs w:val="21"/>
              </w:rPr>
            </w:pP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沼液暂存池</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65m*25m*4m</w:t>
            </w:r>
          </w:p>
          <w:p>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容积6500m</w:t>
            </w:r>
            <w:r>
              <w:rPr>
                <w:rFonts w:hint="eastAsia"/>
                <w:color w:val="auto"/>
                <w:sz w:val="21"/>
                <w:szCs w:val="21"/>
                <w:vertAlign w:val="superscript"/>
                <w:lang w:val="en-US" w:eastAsia="zh-CN"/>
              </w:rPr>
              <w:t>3</w:t>
            </w:r>
          </w:p>
        </w:tc>
        <w:tc>
          <w:tcPr>
            <w:tcW w:w="448" w:type="pct"/>
            <w:noWrap w:val="0"/>
            <w:vAlign w:val="center"/>
          </w:tcPr>
          <w:p>
            <w:pPr>
              <w:adjustRightInd w:val="0"/>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1个</w:t>
            </w:r>
          </w:p>
        </w:tc>
        <w:tc>
          <w:tcPr>
            <w:tcW w:w="1635" w:type="pct"/>
            <w:noWrap w:val="0"/>
            <w:vAlign w:val="center"/>
          </w:tcPr>
          <w:p>
            <w:pPr>
              <w:adjustRightInd w:val="0"/>
              <w:snapToGrid w:val="0"/>
              <w:spacing w:line="240" w:lineRule="auto"/>
              <w:ind w:firstLine="420" w:firstLineChars="200"/>
              <w:jc w:val="center"/>
              <w:rPr>
                <w:color w:val="auto"/>
                <w:sz w:val="21"/>
                <w:szCs w:val="21"/>
                <w:highlight w:val="yellow"/>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continue"/>
            <w:noWrap w:val="0"/>
            <w:vAlign w:val="center"/>
          </w:tcPr>
          <w:p>
            <w:pPr>
              <w:adjustRightInd w:val="0"/>
              <w:snapToGrid w:val="0"/>
              <w:spacing w:line="240" w:lineRule="auto"/>
              <w:ind w:firstLine="0"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color w:val="auto"/>
                <w:sz w:val="21"/>
                <w:szCs w:val="21"/>
              </w:rPr>
            </w:pPr>
          </w:p>
        </w:tc>
        <w:tc>
          <w:tcPr>
            <w:tcW w:w="936" w:type="pct"/>
            <w:noWrap w:val="0"/>
            <w:vAlign w:val="center"/>
          </w:tcPr>
          <w:p>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eastAsia="zh-CN"/>
              </w:rPr>
              <w:t>事故应急池</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350</w:t>
            </w:r>
            <w:r>
              <w:rPr>
                <w:rFonts w:hint="eastAsia"/>
                <w:color w:val="auto"/>
                <w:sz w:val="21"/>
                <w:szCs w:val="21"/>
              </w:rPr>
              <w:t>m</w:t>
            </w:r>
            <w:r>
              <w:rPr>
                <w:color w:val="auto"/>
                <w:sz w:val="21"/>
                <w:szCs w:val="21"/>
                <w:vertAlign w:val="superscript"/>
              </w:rPr>
              <w:t>3</w:t>
            </w:r>
          </w:p>
        </w:tc>
        <w:tc>
          <w:tcPr>
            <w:tcW w:w="448"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1个</w:t>
            </w:r>
          </w:p>
        </w:tc>
        <w:tc>
          <w:tcPr>
            <w:tcW w:w="1635" w:type="pct"/>
            <w:noWrap w:val="0"/>
            <w:vAlign w:val="center"/>
          </w:tcPr>
          <w:p>
            <w:pPr>
              <w:adjustRightInd w:val="0"/>
              <w:snapToGrid w:val="0"/>
              <w:spacing w:line="240" w:lineRule="auto"/>
              <w:ind w:firstLine="420" w:firstLineChars="200"/>
              <w:jc w:val="center"/>
              <w:rPr>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restar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沼气贮存</w:t>
            </w:r>
            <w:r>
              <w:rPr>
                <w:rFonts w:hint="eastAsia"/>
                <w:color w:val="auto"/>
                <w:sz w:val="21"/>
                <w:szCs w:val="21"/>
                <w:lang w:eastAsia="zh-CN"/>
              </w:rPr>
              <w:t>、</w:t>
            </w:r>
            <w:r>
              <w:rPr>
                <w:rFonts w:hint="eastAsia"/>
                <w:color w:val="auto"/>
                <w:sz w:val="21"/>
                <w:szCs w:val="21"/>
              </w:rPr>
              <w:t>处理</w:t>
            </w:r>
          </w:p>
        </w:tc>
        <w:tc>
          <w:tcPr>
            <w:tcW w:w="936"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沼气净化设施</w:t>
            </w:r>
          </w:p>
        </w:tc>
        <w:tc>
          <w:tcPr>
            <w:tcW w:w="1006"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1套</w:t>
            </w:r>
          </w:p>
        </w:tc>
        <w:tc>
          <w:tcPr>
            <w:tcW w:w="1635" w:type="pct"/>
            <w:noWrap w:val="0"/>
            <w:vAlign w:val="center"/>
          </w:tcPr>
          <w:p>
            <w:pPr>
              <w:adjustRightInd w:val="0"/>
              <w:snapToGrid w:val="0"/>
              <w:spacing w:line="240" w:lineRule="auto"/>
              <w:ind w:firstLine="420" w:firstLineChars="200"/>
              <w:jc w:val="center"/>
              <w:rPr>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rFonts w:hint="eastAsia"/>
                <w:color w:val="auto"/>
                <w:sz w:val="21"/>
                <w:szCs w:val="21"/>
              </w:rPr>
            </w:pPr>
          </w:p>
        </w:tc>
        <w:tc>
          <w:tcPr>
            <w:tcW w:w="936"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 xml:space="preserve">沼气柜 </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80</w:t>
            </w:r>
            <w:r>
              <w:rPr>
                <w:rFonts w:hint="eastAsia"/>
                <w:color w:val="auto"/>
                <w:sz w:val="21"/>
                <w:szCs w:val="21"/>
              </w:rPr>
              <w:t>m</w:t>
            </w:r>
            <w:r>
              <w:rPr>
                <w:rFonts w:hint="eastAsia"/>
                <w:color w:val="auto"/>
                <w:sz w:val="21"/>
                <w:szCs w:val="21"/>
                <w:vertAlign w:val="superscript"/>
              </w:rPr>
              <w:t>3</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1个</w:t>
            </w:r>
          </w:p>
        </w:tc>
        <w:tc>
          <w:tcPr>
            <w:tcW w:w="1635"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用于</w:t>
            </w:r>
            <w:r>
              <w:rPr>
                <w:rFonts w:hint="eastAsia"/>
                <w:color w:val="auto"/>
                <w:sz w:val="21"/>
                <w:szCs w:val="21"/>
              </w:rPr>
              <w:t>沼气贮存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干粪堆场</w:t>
            </w: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color w:val="auto"/>
                <w:sz w:val="21"/>
                <w:szCs w:val="21"/>
              </w:rPr>
              <w:t>封闭式临时堆粪棚</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2</w:t>
            </w:r>
            <w:r>
              <w:rPr>
                <w:color w:val="auto"/>
                <w:sz w:val="21"/>
                <w:szCs w:val="21"/>
              </w:rPr>
              <w:t>00</w:t>
            </w:r>
            <w:r>
              <w:rPr>
                <w:rFonts w:hint="eastAsia"/>
                <w:color w:val="auto"/>
                <w:sz w:val="21"/>
                <w:szCs w:val="21"/>
              </w:rPr>
              <w:t>m</w:t>
            </w:r>
            <w:r>
              <w:rPr>
                <w:color w:val="auto"/>
                <w:sz w:val="21"/>
                <w:szCs w:val="21"/>
                <w:vertAlign w:val="superscript"/>
              </w:rPr>
              <w:t>2</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1间</w:t>
            </w:r>
          </w:p>
        </w:tc>
        <w:tc>
          <w:tcPr>
            <w:tcW w:w="1635" w:type="pct"/>
            <w:noWrap w:val="0"/>
            <w:vAlign w:val="center"/>
          </w:tcPr>
          <w:p>
            <w:pPr>
              <w:adjustRightInd w:val="0"/>
              <w:snapToGrid w:val="0"/>
              <w:spacing w:line="240" w:lineRule="auto"/>
              <w:ind w:firstLine="420" w:firstLineChars="200"/>
              <w:jc w:val="center"/>
              <w:rPr>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运输车辆</w:t>
            </w:r>
          </w:p>
        </w:tc>
        <w:tc>
          <w:tcPr>
            <w:tcW w:w="936"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猪苗运输车、饲料运输车、猪粪运输车、后勤车</w:t>
            </w:r>
          </w:p>
        </w:tc>
        <w:tc>
          <w:tcPr>
            <w:tcW w:w="1811" w:type="dxa"/>
            <w:noWrap w:val="0"/>
            <w:vAlign w:val="center"/>
          </w:tcPr>
          <w:p>
            <w:pPr>
              <w:adjustRightInd w:val="0"/>
              <w:snapToGrid w:val="0"/>
              <w:spacing w:line="240" w:lineRule="auto"/>
              <w:ind w:firstLine="0" w:firstLineChars="0"/>
              <w:jc w:val="center"/>
              <w:rPr>
                <w:color w:val="auto"/>
                <w:sz w:val="21"/>
                <w:szCs w:val="21"/>
              </w:rPr>
            </w:pPr>
            <w:r>
              <w:rPr>
                <w:rFonts w:hint="eastAsia" w:cs="宋体"/>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4辆</w:t>
            </w:r>
          </w:p>
        </w:tc>
        <w:tc>
          <w:tcPr>
            <w:tcW w:w="1635" w:type="pct"/>
            <w:noWrap w:val="0"/>
            <w:vAlign w:val="center"/>
          </w:tcPr>
          <w:p>
            <w:pPr>
              <w:adjustRightInd w:val="0"/>
              <w:snapToGrid w:val="0"/>
              <w:spacing w:line="240" w:lineRule="auto"/>
              <w:ind w:firstLine="420" w:firstLineChars="200"/>
              <w:jc w:val="center"/>
              <w:rPr>
                <w:rFonts w:hint="eastAsia"/>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消毒设备</w:t>
            </w:r>
          </w:p>
        </w:tc>
        <w:tc>
          <w:tcPr>
            <w:tcW w:w="936"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超声波雾化机、高压冲洗机、消毒设备等</w:t>
            </w:r>
          </w:p>
        </w:tc>
        <w:tc>
          <w:tcPr>
            <w:tcW w:w="1811" w:type="dxa"/>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2套</w:t>
            </w:r>
          </w:p>
        </w:tc>
        <w:tc>
          <w:tcPr>
            <w:tcW w:w="1635" w:type="pct"/>
            <w:noWrap w:val="0"/>
            <w:vAlign w:val="center"/>
          </w:tcPr>
          <w:p>
            <w:pPr>
              <w:adjustRightInd w:val="0"/>
              <w:snapToGrid w:val="0"/>
              <w:spacing w:line="240" w:lineRule="auto"/>
              <w:ind w:firstLine="420" w:firstLineChars="200"/>
              <w:jc w:val="center"/>
              <w:rPr>
                <w:color w:val="auto"/>
                <w:sz w:val="21"/>
                <w:szCs w:val="21"/>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restar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其他</w:t>
            </w:r>
          </w:p>
        </w:tc>
        <w:tc>
          <w:tcPr>
            <w:tcW w:w="936"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蓄水池</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3</w:t>
            </w:r>
            <w:r>
              <w:rPr>
                <w:color w:val="auto"/>
                <w:sz w:val="21"/>
                <w:szCs w:val="21"/>
              </w:rPr>
              <w:t>00</w:t>
            </w:r>
            <w:r>
              <w:rPr>
                <w:rFonts w:hint="eastAsia"/>
                <w:color w:val="auto"/>
                <w:sz w:val="21"/>
                <w:szCs w:val="21"/>
              </w:rPr>
              <w:t>m</w:t>
            </w:r>
            <w:r>
              <w:rPr>
                <w:color w:val="auto"/>
                <w:sz w:val="21"/>
                <w:szCs w:val="21"/>
                <w:vertAlign w:val="superscript"/>
              </w:rPr>
              <w:t>3</w:t>
            </w:r>
          </w:p>
        </w:tc>
        <w:tc>
          <w:tcPr>
            <w:tcW w:w="448"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1</w:t>
            </w:r>
            <w:r>
              <w:rPr>
                <w:rFonts w:hint="eastAsia"/>
                <w:color w:val="auto"/>
                <w:sz w:val="21"/>
                <w:szCs w:val="21"/>
                <w:lang w:val="en-US" w:eastAsia="zh-CN"/>
              </w:rPr>
              <w:t>个</w:t>
            </w:r>
          </w:p>
        </w:tc>
        <w:tc>
          <w:tcPr>
            <w:tcW w:w="1635" w:type="pct"/>
            <w:noWrap w:val="0"/>
            <w:vAlign w:val="center"/>
          </w:tcPr>
          <w:p>
            <w:pPr>
              <w:adjustRightInd w:val="0"/>
              <w:snapToGrid w:val="0"/>
              <w:spacing w:line="240" w:lineRule="auto"/>
              <w:ind w:firstLine="420" w:firstLineChars="200"/>
              <w:jc w:val="center"/>
              <w:rPr>
                <w:rFonts w:hint="eastAsia" w:eastAsia="宋体"/>
                <w:color w:val="auto"/>
                <w:sz w:val="21"/>
                <w:szCs w:val="21"/>
                <w:lang w:val="en-US" w:eastAsia="zh-CN"/>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rFonts w:hint="eastAsia"/>
                <w:color w:val="auto"/>
                <w:sz w:val="21"/>
                <w:szCs w:val="21"/>
                <w:lang w:val="en-US" w:eastAsia="zh-CN"/>
              </w:rPr>
            </w:pP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cs="宋体"/>
                <w:color w:val="auto"/>
                <w:sz w:val="21"/>
                <w:szCs w:val="21"/>
              </w:rPr>
              <w:t>料塔</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s="宋体"/>
                <w:color w:val="auto"/>
                <w:sz w:val="21"/>
                <w:szCs w:val="21"/>
                <w:lang w:val="en-US" w:eastAsia="zh-CN"/>
              </w:rPr>
              <w:t>20t/个</w:t>
            </w:r>
          </w:p>
        </w:tc>
        <w:tc>
          <w:tcPr>
            <w:tcW w:w="448"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s="宋体"/>
                <w:color w:val="auto"/>
                <w:sz w:val="21"/>
                <w:szCs w:val="21"/>
                <w:lang w:val="en-US" w:eastAsia="zh-CN"/>
              </w:rPr>
              <w:t>5套</w:t>
            </w:r>
          </w:p>
        </w:tc>
        <w:tc>
          <w:tcPr>
            <w:tcW w:w="1635"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s="宋体"/>
                <w:color w:val="auto"/>
                <w:sz w:val="21"/>
                <w:szCs w:val="21"/>
                <w:lang w:val="en-US" w:eastAsia="zh-CN"/>
              </w:rPr>
              <w:t>配套</w:t>
            </w:r>
            <w:r>
              <w:rPr>
                <w:rFonts w:cs="宋体"/>
                <w:color w:val="auto"/>
                <w:sz w:val="21"/>
                <w:szCs w:val="21"/>
              </w:rPr>
              <w:t>料线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rFonts w:hint="eastAsia"/>
                <w:color w:val="auto"/>
                <w:sz w:val="21"/>
                <w:szCs w:val="21"/>
                <w:lang w:val="en-US" w:eastAsia="zh-CN"/>
              </w:rPr>
            </w:pPr>
          </w:p>
        </w:tc>
        <w:tc>
          <w:tcPr>
            <w:tcW w:w="936" w:type="pct"/>
            <w:noWrap w:val="0"/>
            <w:vAlign w:val="center"/>
          </w:tcPr>
          <w:p>
            <w:pPr>
              <w:adjustRightInd w:val="0"/>
              <w:snapToGrid w:val="0"/>
              <w:spacing w:line="240" w:lineRule="auto"/>
              <w:ind w:firstLine="0" w:firstLineChars="0"/>
              <w:jc w:val="center"/>
              <w:rPr>
                <w:rFonts w:cs="宋体"/>
                <w:color w:val="auto"/>
                <w:sz w:val="21"/>
                <w:szCs w:val="21"/>
              </w:rPr>
            </w:pPr>
            <w:r>
              <w:rPr>
                <w:rFonts w:hint="eastAsia" w:cs="宋体"/>
                <w:color w:val="auto"/>
                <w:sz w:val="21"/>
                <w:szCs w:val="21"/>
              </w:rPr>
              <w:t>地暖设施</w:t>
            </w:r>
          </w:p>
        </w:tc>
        <w:tc>
          <w:tcPr>
            <w:tcW w:w="1006" w:type="pct"/>
            <w:noWrap w:val="0"/>
            <w:vAlign w:val="center"/>
          </w:tcPr>
          <w:p>
            <w:pPr>
              <w:adjustRightInd w:val="0"/>
              <w:snapToGrid w:val="0"/>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w:t>
            </w:r>
          </w:p>
        </w:tc>
        <w:tc>
          <w:tcPr>
            <w:tcW w:w="448" w:type="pct"/>
            <w:noWrap w:val="0"/>
            <w:vAlign w:val="center"/>
          </w:tcPr>
          <w:p>
            <w:pPr>
              <w:adjustRightInd w:val="0"/>
              <w:snapToGrid w:val="0"/>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6套</w:t>
            </w:r>
          </w:p>
        </w:tc>
        <w:tc>
          <w:tcPr>
            <w:tcW w:w="1635" w:type="pct"/>
            <w:noWrap w:val="0"/>
            <w:vAlign w:val="center"/>
          </w:tcPr>
          <w:p>
            <w:pPr>
              <w:keepNext w:val="0"/>
              <w:keepLines w:val="0"/>
              <w:pageBreakBefore w:val="0"/>
              <w:widowControl w:val="0"/>
              <w:kinsoku/>
              <w:wordWrap/>
              <w:overflowPunct/>
              <w:topLinePunct w:val="0"/>
              <w:bidi w:val="0"/>
              <w:adjustRightInd w:val="0"/>
              <w:snapToGrid w:val="0"/>
              <w:spacing w:line="0" w:lineRule="atLeast"/>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1#-4#育肥猪舍采用</w:t>
            </w:r>
            <w:r>
              <w:rPr>
                <w:rFonts w:hint="eastAsia"/>
                <w:color w:val="auto"/>
                <w:sz w:val="21"/>
                <w:szCs w:val="21"/>
              </w:rPr>
              <w:t>加热板</w:t>
            </w:r>
            <w:r>
              <w:rPr>
                <w:rFonts w:hint="eastAsia"/>
                <w:color w:val="auto"/>
                <w:sz w:val="21"/>
                <w:szCs w:val="21"/>
                <w:lang w:eastAsia="zh-CN"/>
              </w:rPr>
              <w:t>（</w:t>
            </w:r>
            <w:r>
              <w:rPr>
                <w:rFonts w:hint="eastAsia"/>
                <w:color w:val="auto"/>
                <w:sz w:val="21"/>
                <w:szCs w:val="21"/>
                <w:lang w:val="en-US" w:eastAsia="zh-CN"/>
              </w:rPr>
              <w:t>用电</w:t>
            </w:r>
            <w:r>
              <w:rPr>
                <w:rFonts w:hint="eastAsia"/>
                <w:color w:val="auto"/>
                <w:sz w:val="21"/>
                <w:szCs w:val="21"/>
                <w:lang w:eastAsia="zh-CN"/>
              </w:rPr>
              <w:t>）</w:t>
            </w:r>
            <w:r>
              <w:rPr>
                <w:rFonts w:hint="eastAsia"/>
                <w:color w:val="auto"/>
                <w:sz w:val="21"/>
                <w:szCs w:val="21"/>
                <w:lang w:val="en-US" w:eastAsia="zh-CN"/>
              </w:rPr>
              <w:t>供暖；5#-6#育肥猪舍采用电热水锅炉供暖，设6t/h</w:t>
            </w:r>
            <w:r>
              <w:rPr>
                <w:rFonts w:hint="eastAsia"/>
                <w:color w:val="auto"/>
                <w:sz w:val="21"/>
                <w:szCs w:val="21"/>
              </w:rPr>
              <w:t xml:space="preserve">电热水锅炉 </w:t>
            </w:r>
            <w:r>
              <w:rPr>
                <w:rFonts w:hint="eastAsia"/>
                <w:color w:val="auto"/>
                <w:sz w:val="21"/>
                <w:szCs w:val="21"/>
                <w:lang w:val="en-US" w:eastAsia="zh-CN"/>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rFonts w:hint="eastAsia"/>
                <w:color w:val="auto"/>
                <w:sz w:val="21"/>
                <w:szCs w:val="21"/>
                <w:lang w:val="en-US" w:eastAsia="zh-CN"/>
              </w:rPr>
            </w:pPr>
          </w:p>
        </w:tc>
        <w:tc>
          <w:tcPr>
            <w:tcW w:w="93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 xml:space="preserve">电热水锅炉 </w:t>
            </w:r>
          </w:p>
        </w:tc>
        <w:tc>
          <w:tcPr>
            <w:tcW w:w="100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6t/h</w:t>
            </w:r>
          </w:p>
        </w:tc>
        <w:tc>
          <w:tcPr>
            <w:tcW w:w="448"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1</w:t>
            </w:r>
            <w:r>
              <w:rPr>
                <w:color w:val="auto"/>
                <w:sz w:val="21"/>
                <w:szCs w:val="21"/>
              </w:rPr>
              <w:t>套</w:t>
            </w:r>
          </w:p>
        </w:tc>
        <w:tc>
          <w:tcPr>
            <w:tcW w:w="1635" w:type="pct"/>
            <w:noWrap w:val="0"/>
            <w:vAlign w:val="center"/>
          </w:tcPr>
          <w:p>
            <w:pPr>
              <w:adjustRightInd w:val="0"/>
              <w:snapToGrid w:val="0"/>
              <w:spacing w:line="240" w:lineRule="auto"/>
              <w:ind w:firstLine="420" w:firstLineChars="200"/>
              <w:jc w:val="center"/>
              <w:rPr>
                <w:rFonts w:hint="eastAsia" w:eastAsia="宋体"/>
                <w:color w:val="auto"/>
                <w:sz w:val="21"/>
                <w:szCs w:val="21"/>
                <w:lang w:val="en-US" w:eastAsia="zh-CN"/>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noWrap w:val="0"/>
            <w:vAlign w:val="center"/>
          </w:tcPr>
          <w:p>
            <w:pPr>
              <w:numPr>
                <w:ilvl w:val="0"/>
                <w:numId w:val="3"/>
              </w:numPr>
              <w:adjustRightInd w:val="0"/>
              <w:snapToGrid w:val="0"/>
              <w:spacing w:line="240" w:lineRule="auto"/>
              <w:ind w:left="425" w:leftChars="0" w:hanging="425" w:firstLineChars="0"/>
              <w:jc w:val="center"/>
              <w:rPr>
                <w:color w:val="auto"/>
                <w:sz w:val="21"/>
                <w:szCs w:val="21"/>
              </w:rPr>
            </w:pPr>
          </w:p>
        </w:tc>
        <w:tc>
          <w:tcPr>
            <w:tcW w:w="627" w:type="pct"/>
            <w:vMerge w:val="continue"/>
            <w:noWrap w:val="0"/>
            <w:vAlign w:val="center"/>
          </w:tcPr>
          <w:p>
            <w:pPr>
              <w:adjustRightInd w:val="0"/>
              <w:snapToGrid w:val="0"/>
              <w:spacing w:line="240" w:lineRule="auto"/>
              <w:ind w:firstLine="0" w:firstLineChars="0"/>
              <w:jc w:val="center"/>
              <w:rPr>
                <w:color w:val="auto"/>
                <w:sz w:val="21"/>
                <w:szCs w:val="21"/>
              </w:rPr>
            </w:pPr>
          </w:p>
        </w:tc>
        <w:tc>
          <w:tcPr>
            <w:tcW w:w="936"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 xml:space="preserve">柴油发电机 </w:t>
            </w:r>
          </w:p>
        </w:tc>
        <w:tc>
          <w:tcPr>
            <w:tcW w:w="1006"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3</w:t>
            </w:r>
            <w:r>
              <w:rPr>
                <w:color w:val="auto"/>
                <w:sz w:val="21"/>
                <w:szCs w:val="21"/>
              </w:rPr>
              <w:t>00</w:t>
            </w:r>
            <w:r>
              <w:rPr>
                <w:rFonts w:hint="eastAsia"/>
                <w:color w:val="auto"/>
                <w:sz w:val="21"/>
                <w:szCs w:val="21"/>
              </w:rPr>
              <w:t>k</w:t>
            </w:r>
            <w:r>
              <w:rPr>
                <w:color w:val="auto"/>
                <w:sz w:val="21"/>
                <w:szCs w:val="21"/>
              </w:rPr>
              <w:t>W</w:t>
            </w:r>
          </w:p>
        </w:tc>
        <w:tc>
          <w:tcPr>
            <w:tcW w:w="448"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1</w:t>
            </w:r>
            <w:r>
              <w:rPr>
                <w:rFonts w:hint="eastAsia"/>
                <w:color w:val="auto"/>
                <w:sz w:val="21"/>
                <w:szCs w:val="21"/>
                <w:lang w:val="en-US" w:eastAsia="zh-CN"/>
              </w:rPr>
              <w:t>台</w:t>
            </w:r>
          </w:p>
        </w:tc>
        <w:tc>
          <w:tcPr>
            <w:tcW w:w="1635" w:type="pct"/>
            <w:noWrap w:val="0"/>
            <w:vAlign w:val="center"/>
          </w:tcPr>
          <w:p>
            <w:pPr>
              <w:adjustRightInd w:val="0"/>
              <w:snapToGrid w:val="0"/>
              <w:spacing w:line="240" w:lineRule="auto"/>
              <w:ind w:firstLine="420" w:firstLineChars="200"/>
              <w:jc w:val="center"/>
              <w:rPr>
                <w:rFonts w:hint="eastAsia" w:eastAsia="宋体"/>
                <w:color w:val="auto"/>
                <w:sz w:val="21"/>
                <w:szCs w:val="21"/>
                <w:lang w:val="en-US" w:eastAsia="zh-CN"/>
              </w:rPr>
            </w:pPr>
            <w:r>
              <w:rPr>
                <w:rFonts w:hint="eastAsia"/>
                <w:color w:val="auto"/>
                <w:sz w:val="21"/>
                <w:szCs w:val="21"/>
                <w:lang w:val="en-US" w:eastAsia="zh-CN"/>
              </w:rPr>
              <w:t>/</w:t>
            </w:r>
          </w:p>
        </w:tc>
      </w:tr>
    </w:tbl>
    <w:p>
      <w:pPr>
        <w:pStyle w:val="8"/>
        <w:tabs>
          <w:tab w:val="clear" w:pos="0"/>
        </w:tabs>
        <w:spacing w:before="120"/>
        <w:rPr>
          <w:rFonts w:eastAsia="黑体"/>
          <w:color w:val="auto"/>
          <w:sz w:val="28"/>
          <w:szCs w:val="28"/>
        </w:rPr>
      </w:pPr>
      <w:bookmarkStart w:id="64" w:name="_Toc410066947"/>
      <w:r>
        <w:rPr>
          <w:rFonts w:eastAsia="黑体"/>
          <w:color w:val="auto"/>
          <w:sz w:val="28"/>
          <w:szCs w:val="28"/>
        </w:rPr>
        <w:t>主要原辅材料</w:t>
      </w:r>
      <w:bookmarkEnd w:id="64"/>
    </w:p>
    <w:p>
      <w:pPr>
        <w:ind w:firstLine="482"/>
        <w:rPr>
          <w:rFonts w:hint="eastAsia"/>
          <w:b/>
          <w:bCs/>
          <w:color w:val="auto"/>
        </w:rPr>
      </w:pPr>
      <w:r>
        <w:rPr>
          <w:rFonts w:hint="eastAsia"/>
          <w:b/>
          <w:bCs/>
          <w:color w:val="auto"/>
        </w:rPr>
        <w:t>1、猪饲料</w:t>
      </w:r>
    </w:p>
    <w:p>
      <w:pPr>
        <w:ind w:firstLine="480"/>
        <w:rPr>
          <w:color w:val="auto"/>
        </w:rPr>
      </w:pPr>
      <w:r>
        <w:rPr>
          <w:rFonts w:hint="eastAsia"/>
          <w:color w:val="auto"/>
        </w:rPr>
        <w:t>本项目场区内不设饲料制作车间，全部饲料均由</w:t>
      </w:r>
      <w:r>
        <w:rPr>
          <w:rFonts w:hint="eastAsia"/>
          <w:color w:val="auto"/>
          <w:lang w:eastAsia="zh-CN"/>
        </w:rPr>
        <w:t>铁骑力士集团</w:t>
      </w:r>
      <w:r>
        <w:rPr>
          <w:rFonts w:hint="eastAsia"/>
          <w:color w:val="auto"/>
        </w:rPr>
        <w:t>进行定额配送。</w:t>
      </w:r>
    </w:p>
    <w:p>
      <w:pPr>
        <w:ind w:firstLine="480"/>
        <w:rPr>
          <w:rFonts w:hint="eastAsia"/>
          <w:color w:val="auto"/>
        </w:rPr>
      </w:pPr>
      <w:r>
        <w:rPr>
          <w:rFonts w:hint="eastAsia"/>
          <w:color w:val="auto"/>
        </w:rPr>
        <w:t>建成后运输均使用场外饲料运输车运输饲料，入厂后进入车辆洗消中心消毒后，直接输送至料塔中。饲料输送时整个过程均处在密闭的状态下，不与外环境接触，保障饲料卫生。同时，由于是在管道内输送，也不会产生粉尘。饲料需满足《饲料添加剂安全使用规范》（2017年修订版）（农业部公告第2625号）相关要求。</w:t>
      </w:r>
    </w:p>
    <w:p>
      <w:pPr>
        <w:ind w:firstLine="480"/>
        <w:rPr>
          <w:color w:val="auto"/>
        </w:rPr>
      </w:pPr>
      <w:r>
        <w:rPr>
          <w:color w:val="auto"/>
        </w:rPr>
        <w:t>本项目</w:t>
      </w:r>
      <w:r>
        <w:rPr>
          <w:rFonts w:hint="eastAsia"/>
          <w:color w:val="auto"/>
        </w:rPr>
        <w:t>饲料</w:t>
      </w:r>
      <w:r>
        <w:rPr>
          <w:color w:val="auto"/>
        </w:rPr>
        <w:t>年用量见表3.1-</w:t>
      </w:r>
      <w:r>
        <w:rPr>
          <w:rFonts w:hint="eastAsia"/>
          <w:color w:val="auto"/>
          <w:lang w:val="en-US" w:eastAsia="zh-CN"/>
        </w:rPr>
        <w:t>4</w:t>
      </w:r>
      <w:r>
        <w:rPr>
          <w:color w:val="auto"/>
        </w:rPr>
        <w:t>。</w:t>
      </w:r>
    </w:p>
    <w:p>
      <w:pPr>
        <w:pStyle w:val="166"/>
        <w:spacing w:before="0" w:beforeLines="0" w:line="240" w:lineRule="auto"/>
        <w:rPr>
          <w:rFonts w:hint="eastAsia"/>
          <w:color w:val="auto"/>
        </w:rPr>
      </w:pPr>
      <w:r>
        <w:rPr>
          <w:color w:val="auto"/>
        </w:rPr>
        <w:t>表3.1-</w:t>
      </w:r>
      <w:r>
        <w:rPr>
          <w:rFonts w:hint="eastAsia"/>
          <w:color w:val="auto"/>
          <w:lang w:val="en-US" w:eastAsia="zh-CN"/>
        </w:rPr>
        <w:t>4</w:t>
      </w:r>
      <w:r>
        <w:rPr>
          <w:color w:val="auto"/>
        </w:rPr>
        <w:t xml:space="preserve">  </w:t>
      </w:r>
      <w:r>
        <w:rPr>
          <w:rFonts w:hint="eastAsia"/>
          <w:color w:val="auto"/>
        </w:rPr>
        <w:t>项目饲料消耗</w:t>
      </w:r>
      <w:r>
        <w:rPr>
          <w:color w:val="auto"/>
        </w:rPr>
        <w:t>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206"/>
        <w:gridCol w:w="1569"/>
        <w:gridCol w:w="1047"/>
        <w:gridCol w:w="2253"/>
        <w:gridCol w:w="1712"/>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2206" w:type="dxa"/>
            <w:noWrap w:val="0"/>
            <w:vAlign w:val="center"/>
          </w:tcPr>
          <w:p>
            <w:pPr>
              <w:pStyle w:val="332"/>
              <w:kinsoku w:val="0"/>
              <w:overflowPunct w:val="0"/>
              <w:snapToGrid w:val="0"/>
              <w:jc w:val="center"/>
              <w:rPr>
                <w:b/>
                <w:color w:val="auto"/>
                <w:sz w:val="20"/>
                <w:szCs w:val="20"/>
              </w:rPr>
            </w:pPr>
            <w:r>
              <w:rPr>
                <w:b/>
                <w:color w:val="auto"/>
                <w:sz w:val="20"/>
                <w:szCs w:val="20"/>
              </w:rPr>
              <w:t>类型</w:t>
            </w:r>
          </w:p>
        </w:tc>
        <w:tc>
          <w:tcPr>
            <w:tcW w:w="1569" w:type="dxa"/>
            <w:noWrap w:val="0"/>
            <w:vAlign w:val="center"/>
          </w:tcPr>
          <w:p>
            <w:pPr>
              <w:pStyle w:val="332"/>
              <w:kinsoku w:val="0"/>
              <w:overflowPunct w:val="0"/>
              <w:snapToGrid w:val="0"/>
              <w:jc w:val="center"/>
              <w:rPr>
                <w:b/>
                <w:color w:val="auto"/>
                <w:sz w:val="20"/>
                <w:szCs w:val="20"/>
              </w:rPr>
            </w:pPr>
            <w:r>
              <w:rPr>
                <w:rFonts w:hint="eastAsia"/>
                <w:b/>
                <w:color w:val="auto"/>
                <w:sz w:val="20"/>
                <w:szCs w:val="20"/>
              </w:rPr>
              <w:t>每头猪饲料定额 (kg/</w:t>
            </w:r>
            <w:r>
              <w:rPr>
                <w:rFonts w:hint="eastAsia"/>
                <w:b/>
                <w:color w:val="auto"/>
                <w:sz w:val="20"/>
                <w:szCs w:val="20"/>
                <w:lang w:val="en-US" w:eastAsia="zh-CN"/>
              </w:rPr>
              <w:t>头.</w:t>
            </w:r>
            <w:r>
              <w:rPr>
                <w:rFonts w:hint="eastAsia"/>
                <w:b/>
                <w:color w:val="auto"/>
                <w:sz w:val="20"/>
                <w:szCs w:val="20"/>
              </w:rPr>
              <w:t>天）</w:t>
            </w:r>
          </w:p>
        </w:tc>
        <w:tc>
          <w:tcPr>
            <w:tcW w:w="1047" w:type="dxa"/>
            <w:noWrap w:val="0"/>
            <w:vAlign w:val="center"/>
          </w:tcPr>
          <w:p>
            <w:pPr>
              <w:pStyle w:val="332"/>
              <w:kinsoku w:val="0"/>
              <w:overflowPunct w:val="0"/>
              <w:snapToGrid w:val="0"/>
              <w:jc w:val="center"/>
              <w:rPr>
                <w:b/>
                <w:color w:val="auto"/>
                <w:sz w:val="20"/>
                <w:szCs w:val="20"/>
              </w:rPr>
            </w:pPr>
            <w:r>
              <w:rPr>
                <w:b/>
                <w:color w:val="auto"/>
                <w:sz w:val="20"/>
                <w:szCs w:val="20"/>
              </w:rPr>
              <w:t>周期</w:t>
            </w:r>
          </w:p>
        </w:tc>
        <w:tc>
          <w:tcPr>
            <w:tcW w:w="2253" w:type="dxa"/>
            <w:noWrap w:val="0"/>
            <w:vAlign w:val="center"/>
          </w:tcPr>
          <w:p>
            <w:pPr>
              <w:pStyle w:val="332"/>
              <w:kinsoku w:val="0"/>
              <w:overflowPunct w:val="0"/>
              <w:snapToGrid w:val="0"/>
              <w:jc w:val="center"/>
              <w:rPr>
                <w:b/>
                <w:color w:val="auto"/>
                <w:sz w:val="20"/>
                <w:szCs w:val="20"/>
              </w:rPr>
            </w:pPr>
            <w:r>
              <w:rPr>
                <w:b/>
                <w:color w:val="auto"/>
                <w:sz w:val="20"/>
                <w:szCs w:val="20"/>
              </w:rPr>
              <w:t>猪只数量（常年存栏）</w:t>
            </w:r>
          </w:p>
        </w:tc>
        <w:tc>
          <w:tcPr>
            <w:tcW w:w="1712" w:type="dxa"/>
            <w:noWrap w:val="0"/>
            <w:vAlign w:val="center"/>
          </w:tcPr>
          <w:p>
            <w:pPr>
              <w:pStyle w:val="332"/>
              <w:kinsoku w:val="0"/>
              <w:overflowPunct w:val="0"/>
              <w:snapToGrid w:val="0"/>
              <w:jc w:val="center"/>
              <w:rPr>
                <w:b/>
                <w:color w:val="auto"/>
                <w:sz w:val="20"/>
                <w:szCs w:val="20"/>
              </w:rPr>
            </w:pPr>
            <w:r>
              <w:rPr>
                <w:rFonts w:hint="eastAsia"/>
                <w:b/>
                <w:color w:val="auto"/>
                <w:sz w:val="20"/>
                <w:szCs w:val="20"/>
              </w:rPr>
              <w:t>饲料年消耗量</w:t>
            </w:r>
          </w:p>
          <w:p>
            <w:pPr>
              <w:pStyle w:val="332"/>
              <w:kinsoku w:val="0"/>
              <w:overflowPunct w:val="0"/>
              <w:snapToGrid w:val="0"/>
              <w:jc w:val="center"/>
              <w:rPr>
                <w:b/>
                <w:color w:val="auto"/>
                <w:sz w:val="20"/>
                <w:szCs w:val="20"/>
                <w:highlight w:val="yellow"/>
              </w:rPr>
            </w:pPr>
            <w:r>
              <w:rPr>
                <w:rFonts w:hint="eastAsia"/>
                <w:b/>
                <w:color w:val="auto"/>
                <w:sz w:val="20"/>
                <w:szCs w:val="20"/>
              </w:rPr>
              <w:t>（t/年）</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206" w:type="dxa"/>
            <w:noWrap w:val="0"/>
            <w:vAlign w:val="center"/>
          </w:tcPr>
          <w:p>
            <w:pPr>
              <w:pStyle w:val="332"/>
              <w:kinsoku w:val="0"/>
              <w:overflowPunct w:val="0"/>
              <w:snapToGrid w:val="0"/>
              <w:jc w:val="center"/>
              <w:rPr>
                <w:rFonts w:hint="eastAsia" w:eastAsia="宋体"/>
                <w:color w:val="auto"/>
                <w:sz w:val="20"/>
                <w:szCs w:val="20"/>
                <w:lang w:eastAsia="zh-CN"/>
              </w:rPr>
            </w:pPr>
            <w:r>
              <w:rPr>
                <w:rFonts w:hint="eastAsia"/>
                <w:color w:val="auto"/>
                <w:sz w:val="20"/>
                <w:szCs w:val="20"/>
                <w:lang w:val="en-US" w:eastAsia="zh-CN"/>
              </w:rPr>
              <w:t>育肥猪</w:t>
            </w:r>
          </w:p>
        </w:tc>
        <w:tc>
          <w:tcPr>
            <w:tcW w:w="1569" w:type="dxa"/>
            <w:noWrap w:val="0"/>
            <w:vAlign w:val="center"/>
          </w:tcPr>
          <w:p>
            <w:pPr>
              <w:pStyle w:val="332"/>
              <w:kinsoku w:val="0"/>
              <w:overflowPunct w:val="0"/>
              <w:snapToGrid w:val="0"/>
              <w:jc w:val="center"/>
              <w:rPr>
                <w:rFonts w:hint="default" w:eastAsia="宋体"/>
                <w:color w:val="auto"/>
                <w:sz w:val="20"/>
                <w:szCs w:val="20"/>
                <w:lang w:val="en-US" w:eastAsia="zh-CN"/>
              </w:rPr>
            </w:pPr>
            <w:r>
              <w:rPr>
                <w:rFonts w:hint="eastAsia"/>
                <w:color w:val="auto"/>
                <w:sz w:val="20"/>
                <w:szCs w:val="20"/>
                <w:lang w:val="en-US" w:eastAsia="zh-CN"/>
              </w:rPr>
              <w:t>2.5</w:t>
            </w:r>
          </w:p>
        </w:tc>
        <w:tc>
          <w:tcPr>
            <w:tcW w:w="1047" w:type="dxa"/>
            <w:noWrap w:val="0"/>
            <w:vAlign w:val="center"/>
          </w:tcPr>
          <w:p>
            <w:pPr>
              <w:pStyle w:val="332"/>
              <w:kinsoku w:val="0"/>
              <w:overflowPunct w:val="0"/>
              <w:snapToGrid w:val="0"/>
              <w:jc w:val="center"/>
              <w:rPr>
                <w:color w:val="auto"/>
                <w:sz w:val="20"/>
                <w:szCs w:val="20"/>
              </w:rPr>
            </w:pPr>
            <w:r>
              <w:rPr>
                <w:rFonts w:hint="eastAsia"/>
                <w:color w:val="auto"/>
                <w:sz w:val="20"/>
                <w:szCs w:val="20"/>
                <w:lang w:val="en-US" w:eastAsia="zh-CN"/>
              </w:rPr>
              <w:t>360</w:t>
            </w:r>
            <w:r>
              <w:rPr>
                <w:color w:val="auto"/>
                <w:sz w:val="20"/>
                <w:szCs w:val="20"/>
              </w:rPr>
              <w:t>d</w:t>
            </w:r>
          </w:p>
        </w:tc>
        <w:tc>
          <w:tcPr>
            <w:tcW w:w="2253" w:type="dxa"/>
            <w:noWrap w:val="0"/>
            <w:vAlign w:val="center"/>
          </w:tcPr>
          <w:p>
            <w:pPr>
              <w:pStyle w:val="332"/>
              <w:kinsoku w:val="0"/>
              <w:overflowPunct w:val="0"/>
              <w:snapToGrid w:val="0"/>
              <w:jc w:val="center"/>
              <w:rPr>
                <w:rFonts w:hint="default" w:eastAsia="宋体"/>
                <w:color w:val="auto"/>
                <w:sz w:val="20"/>
                <w:szCs w:val="20"/>
                <w:lang w:val="en-US" w:eastAsia="zh-CN"/>
              </w:rPr>
            </w:pPr>
            <w:r>
              <w:rPr>
                <w:rFonts w:hint="eastAsia"/>
                <w:color w:val="auto"/>
                <w:sz w:val="20"/>
                <w:szCs w:val="20"/>
                <w:lang w:val="en-US" w:eastAsia="zh-CN"/>
              </w:rPr>
              <w:t>7000</w:t>
            </w:r>
          </w:p>
        </w:tc>
        <w:tc>
          <w:tcPr>
            <w:tcW w:w="1712" w:type="dxa"/>
            <w:noWrap w:val="0"/>
            <w:vAlign w:val="center"/>
          </w:tcPr>
          <w:p>
            <w:pPr>
              <w:pStyle w:val="332"/>
              <w:kinsoku w:val="0"/>
              <w:overflowPunct w:val="0"/>
              <w:snapToGrid w:val="0"/>
              <w:jc w:val="center"/>
              <w:rPr>
                <w:rFonts w:hint="default" w:eastAsia="宋体"/>
                <w:color w:val="auto"/>
                <w:sz w:val="20"/>
                <w:szCs w:val="20"/>
                <w:lang w:val="en-US" w:eastAsia="zh-CN"/>
              </w:rPr>
            </w:pPr>
            <w:r>
              <w:rPr>
                <w:rFonts w:hint="eastAsia"/>
                <w:color w:val="auto"/>
                <w:sz w:val="20"/>
                <w:szCs w:val="20"/>
                <w:lang w:val="en-US" w:eastAsia="zh-CN"/>
              </w:rPr>
              <w:t>6300</w:t>
            </w:r>
          </w:p>
        </w:tc>
      </w:tr>
    </w:tbl>
    <w:p>
      <w:pPr>
        <w:spacing w:before="120" w:beforeLines="50"/>
        <w:ind w:firstLine="482"/>
        <w:rPr>
          <w:b/>
          <w:color w:val="auto"/>
        </w:rPr>
      </w:pPr>
      <w:bookmarkStart w:id="65" w:name="_Toc410066948"/>
      <w:r>
        <w:rPr>
          <w:rFonts w:hint="eastAsia"/>
          <w:b/>
          <w:color w:val="auto"/>
        </w:rPr>
        <w:t>2、消毒剂</w:t>
      </w:r>
    </w:p>
    <w:p>
      <w:pPr>
        <w:ind w:firstLine="480"/>
        <w:rPr>
          <w:bCs/>
          <w:color w:val="auto"/>
        </w:rPr>
      </w:pPr>
      <w:r>
        <w:rPr>
          <w:rFonts w:hint="eastAsia"/>
          <w:bCs/>
          <w:color w:val="auto"/>
        </w:rPr>
        <w:t>为减少猪受到各种细菌的感染，需要对猪舍、猪舍内器具以及猪消毒防疫。本项目主要采用戊二醛、石灰消毒的方法，符合《畜禽养殖业污染防治技术规范》（HJ/T 81-2001）中“养殖场场区、畜禽舍、器械等消毒应采用环境友好的消毒剂和消毒措施，防止产生氯代有机物及其它的二次污染物。”的相关要求。本项目消毒用戊二醛年消耗量为</w:t>
      </w:r>
      <w:r>
        <w:rPr>
          <w:rFonts w:hint="eastAsia"/>
          <w:bCs/>
          <w:color w:val="auto"/>
          <w:lang w:val="en-US" w:eastAsia="zh-CN"/>
        </w:rPr>
        <w:t>0</w:t>
      </w:r>
      <w:r>
        <w:rPr>
          <w:rFonts w:hint="eastAsia"/>
          <w:bCs/>
          <w:color w:val="auto"/>
          <w:lang w:val="en-US" w:eastAsia="zh-CN"/>
        </w:rPr>
        <w:t>.9</w:t>
      </w:r>
      <w:r>
        <w:rPr>
          <w:rFonts w:hint="eastAsia"/>
          <w:bCs/>
          <w:color w:val="auto"/>
        </w:rPr>
        <w:t>t/a，采用桶装；石灰消耗量约</w:t>
      </w:r>
      <w:r>
        <w:rPr>
          <w:bCs/>
          <w:color w:val="auto"/>
        </w:rPr>
        <w:t>0.8</w:t>
      </w:r>
      <w:r>
        <w:rPr>
          <w:rFonts w:hint="eastAsia"/>
          <w:bCs/>
          <w:color w:val="auto"/>
        </w:rPr>
        <w:t>t/a。</w:t>
      </w:r>
    </w:p>
    <w:p>
      <w:pPr>
        <w:ind w:firstLine="482"/>
        <w:rPr>
          <w:rFonts w:hint="eastAsia"/>
          <w:b/>
          <w:color w:val="auto"/>
        </w:rPr>
      </w:pPr>
      <w:r>
        <w:rPr>
          <w:rFonts w:hint="eastAsia"/>
          <w:b/>
          <w:color w:val="auto"/>
        </w:rPr>
        <w:t>3、兽药</w:t>
      </w:r>
    </w:p>
    <w:p>
      <w:pPr>
        <w:ind w:firstLine="480"/>
        <w:rPr>
          <w:bCs/>
          <w:color w:val="auto"/>
        </w:rPr>
      </w:pPr>
      <w:r>
        <w:rPr>
          <w:rFonts w:hint="eastAsia"/>
          <w:bCs/>
          <w:color w:val="auto"/>
        </w:rPr>
        <w:t>兽药使用按《无公害农产品 兽药使用准则》（NY</w:t>
      </w:r>
      <w:r>
        <w:rPr>
          <w:bCs/>
          <w:color w:val="auto"/>
        </w:rPr>
        <w:t xml:space="preserve"> </w:t>
      </w:r>
      <w:r>
        <w:rPr>
          <w:rFonts w:hint="eastAsia"/>
          <w:bCs/>
          <w:color w:val="auto"/>
        </w:rPr>
        <w:t>5030</w:t>
      </w:r>
      <w:r>
        <w:rPr>
          <w:bCs/>
          <w:color w:val="auto"/>
        </w:rPr>
        <w:t>-2016</w:t>
      </w:r>
      <w:r>
        <w:rPr>
          <w:rFonts w:hint="eastAsia"/>
          <w:bCs/>
          <w:color w:val="auto"/>
        </w:rPr>
        <w:t>）执行，兽药使用量约为1t/a。兽药主要包括为阿莫西林、卡那霉素、阿维菌素以及一些专用疫苗。</w:t>
      </w:r>
    </w:p>
    <w:p>
      <w:pPr>
        <w:ind w:firstLine="482"/>
        <w:rPr>
          <w:b/>
          <w:color w:val="auto"/>
        </w:rPr>
      </w:pPr>
      <w:r>
        <w:rPr>
          <w:rFonts w:hint="eastAsia"/>
          <w:b/>
          <w:color w:val="auto"/>
        </w:rPr>
        <w:t>4、脱硫剂</w:t>
      </w:r>
    </w:p>
    <w:p>
      <w:pPr>
        <w:ind w:firstLine="480"/>
        <w:rPr>
          <w:rFonts w:hint="eastAsia"/>
          <w:bCs/>
          <w:color w:val="auto"/>
        </w:rPr>
      </w:pPr>
      <w:r>
        <w:rPr>
          <w:rFonts w:hint="eastAsia"/>
          <w:bCs/>
          <w:color w:val="auto"/>
        </w:rPr>
        <w:t>沼气从厌氧发酵装置产出时，特别是在中温或高温发酵时，携带有大量的H</w:t>
      </w:r>
      <w:r>
        <w:rPr>
          <w:rFonts w:hint="eastAsia"/>
          <w:bCs/>
          <w:color w:val="auto"/>
          <w:vertAlign w:val="subscript"/>
        </w:rPr>
        <w:t>2</w:t>
      </w:r>
      <w:r>
        <w:rPr>
          <w:rFonts w:hint="eastAsia"/>
          <w:bCs/>
          <w:color w:val="auto"/>
        </w:rPr>
        <w:t>S。会加速金属管道、阀门和流量计的腐蚀和堵塞。因此，在使用沼气之前，必须脱除其中的H</w:t>
      </w:r>
      <w:r>
        <w:rPr>
          <w:rFonts w:hint="eastAsia"/>
          <w:bCs/>
          <w:color w:val="auto"/>
          <w:vertAlign w:val="subscript"/>
        </w:rPr>
        <w:t>2</w:t>
      </w:r>
      <w:r>
        <w:rPr>
          <w:rFonts w:hint="eastAsia"/>
          <w:bCs/>
          <w:color w:val="auto"/>
        </w:rPr>
        <w:t>S。本项目拟使用干法脱硫，脱硫剂主要成分为为氧化铁，年使用量约为</w:t>
      </w:r>
      <w:r>
        <w:rPr>
          <w:bCs/>
          <w:color w:val="auto"/>
        </w:rPr>
        <w:t>0.5</w:t>
      </w:r>
      <w:r>
        <w:rPr>
          <w:rFonts w:hint="eastAsia"/>
          <w:bCs/>
          <w:color w:val="auto"/>
        </w:rPr>
        <w:t>t/a。</w:t>
      </w:r>
    </w:p>
    <w:p>
      <w:pPr>
        <w:ind w:firstLine="482"/>
        <w:rPr>
          <w:rFonts w:hint="eastAsia"/>
          <w:b/>
          <w:color w:val="auto"/>
        </w:rPr>
      </w:pPr>
      <w:r>
        <w:rPr>
          <w:b/>
          <w:color w:val="auto"/>
        </w:rPr>
        <w:t>5</w:t>
      </w:r>
      <w:r>
        <w:rPr>
          <w:rFonts w:hint="eastAsia"/>
          <w:b/>
          <w:color w:val="auto"/>
        </w:rPr>
        <w:t>、除臭剂</w:t>
      </w:r>
    </w:p>
    <w:p>
      <w:pPr>
        <w:ind w:firstLine="480"/>
        <w:rPr>
          <w:bCs/>
          <w:color w:val="auto"/>
        </w:rPr>
      </w:pPr>
      <w:r>
        <w:rPr>
          <w:rFonts w:hint="eastAsia"/>
          <w:bCs/>
          <w:color w:val="auto"/>
        </w:rPr>
        <w:t>本项目正在饲料中添加E</w:t>
      </w:r>
      <w:r>
        <w:rPr>
          <w:bCs/>
          <w:color w:val="auto"/>
        </w:rPr>
        <w:t>M</w:t>
      </w:r>
      <w:r>
        <w:rPr>
          <w:rFonts w:hint="eastAsia"/>
          <w:bCs/>
          <w:color w:val="auto"/>
        </w:rPr>
        <w:t>菌，可有效减少粪便的排泄量及恶臭气体的产生，可减轻恶臭对环境的污染。年使用量约</w:t>
      </w:r>
      <w:r>
        <w:rPr>
          <w:rFonts w:hint="eastAsia"/>
          <w:bCs/>
          <w:color w:val="auto"/>
          <w:lang w:val="en-US" w:eastAsia="zh-CN"/>
        </w:rPr>
        <w:t>1</w:t>
      </w:r>
      <w:r>
        <w:rPr>
          <w:bCs/>
          <w:color w:val="auto"/>
        </w:rPr>
        <w:t>.5</w:t>
      </w:r>
      <w:r>
        <w:rPr>
          <w:rFonts w:hint="eastAsia"/>
          <w:bCs/>
          <w:color w:val="auto"/>
        </w:rPr>
        <w:t>t。</w:t>
      </w:r>
    </w:p>
    <w:p>
      <w:pPr>
        <w:ind w:firstLine="480"/>
        <w:rPr>
          <w:bCs/>
          <w:color w:val="auto"/>
        </w:rPr>
      </w:pPr>
      <w:r>
        <w:rPr>
          <w:rFonts w:hint="eastAsia"/>
          <w:bCs/>
          <w:color w:val="auto"/>
        </w:rPr>
        <w:t>本项目拟在猪舍、黑膜沼气池、</w:t>
      </w:r>
      <w:r>
        <w:rPr>
          <w:rFonts w:hint="eastAsia"/>
          <w:bCs/>
          <w:color w:val="auto"/>
          <w:lang w:eastAsia="zh-CN"/>
        </w:rPr>
        <w:t>沼液暂存池</w:t>
      </w:r>
      <w:r>
        <w:rPr>
          <w:rFonts w:hint="eastAsia"/>
          <w:bCs/>
          <w:color w:val="auto"/>
        </w:rPr>
        <w:t>以及干粪堆场车间定期喷洒植物型除臭剂（万洁芬等养殖除臭剂等），年用除臭剂量约</w:t>
      </w:r>
      <w:r>
        <w:rPr>
          <w:bCs/>
          <w:color w:val="auto"/>
        </w:rPr>
        <w:t>1.5</w:t>
      </w:r>
      <w:r>
        <w:rPr>
          <w:rFonts w:hint="eastAsia"/>
          <w:bCs/>
          <w:color w:val="auto"/>
        </w:rPr>
        <w:t>t/a。</w:t>
      </w:r>
    </w:p>
    <w:p>
      <w:pPr>
        <w:pStyle w:val="166"/>
        <w:spacing w:before="0" w:beforeLines="0" w:line="240" w:lineRule="auto"/>
        <w:rPr>
          <w:rFonts w:hint="eastAsia"/>
          <w:color w:val="auto"/>
        </w:rPr>
      </w:pPr>
      <w:r>
        <w:rPr>
          <w:rFonts w:hint="eastAsia"/>
          <w:color w:val="auto"/>
        </w:rPr>
        <w:t>表</w:t>
      </w:r>
      <w:r>
        <w:rPr>
          <w:color w:val="auto"/>
        </w:rPr>
        <w:t>3.1-</w:t>
      </w:r>
      <w:r>
        <w:rPr>
          <w:rFonts w:hint="eastAsia"/>
          <w:color w:val="auto"/>
          <w:lang w:val="en-US" w:eastAsia="zh-CN"/>
        </w:rPr>
        <w:t>5</w:t>
      </w:r>
      <w:r>
        <w:rPr>
          <w:color w:val="auto"/>
        </w:rPr>
        <w:t xml:space="preserve"> </w:t>
      </w:r>
      <w:r>
        <w:rPr>
          <w:rFonts w:hint="eastAsia"/>
          <w:color w:val="auto"/>
        </w:rPr>
        <w:t xml:space="preserve"> 项目主要原辅材料消耗表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16"/>
        <w:gridCol w:w="933"/>
        <w:gridCol w:w="938"/>
        <w:gridCol w:w="852"/>
        <w:gridCol w:w="1288"/>
        <w:gridCol w:w="1054"/>
        <w:gridCol w:w="1143"/>
        <w:gridCol w:w="900"/>
        <w:gridCol w:w="963"/>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716" w:type="dxa"/>
            <w:noWrap w:val="0"/>
            <w:vAlign w:val="center"/>
          </w:tcPr>
          <w:p>
            <w:pPr>
              <w:pStyle w:val="332"/>
              <w:kinsoku w:val="0"/>
              <w:overflowPunct w:val="0"/>
              <w:snapToGrid w:val="0"/>
              <w:jc w:val="center"/>
              <w:rPr>
                <w:b/>
                <w:color w:val="auto"/>
                <w:sz w:val="21"/>
                <w:szCs w:val="21"/>
              </w:rPr>
            </w:pPr>
            <w:r>
              <w:rPr>
                <w:b/>
                <w:bCs/>
                <w:color w:val="auto"/>
                <w:sz w:val="21"/>
                <w:szCs w:val="21"/>
              </w:rPr>
              <w:t>类别</w:t>
            </w:r>
          </w:p>
        </w:tc>
        <w:tc>
          <w:tcPr>
            <w:tcW w:w="933" w:type="dxa"/>
            <w:tcBorders>
              <w:right w:val="single" w:color="auto" w:sz="4" w:space="0"/>
            </w:tcBorders>
            <w:noWrap w:val="0"/>
            <w:vAlign w:val="center"/>
          </w:tcPr>
          <w:p>
            <w:pPr>
              <w:pStyle w:val="332"/>
              <w:kinsoku w:val="0"/>
              <w:overflowPunct w:val="0"/>
              <w:snapToGrid w:val="0"/>
              <w:jc w:val="center"/>
              <w:rPr>
                <w:b/>
                <w:color w:val="auto"/>
                <w:sz w:val="21"/>
                <w:szCs w:val="21"/>
              </w:rPr>
            </w:pPr>
            <w:r>
              <w:rPr>
                <w:b/>
                <w:color w:val="auto"/>
                <w:sz w:val="21"/>
                <w:szCs w:val="21"/>
              </w:rPr>
              <w:t>名称</w:t>
            </w:r>
          </w:p>
        </w:tc>
        <w:tc>
          <w:tcPr>
            <w:tcW w:w="938" w:type="dxa"/>
            <w:tcBorders>
              <w:left w:val="single" w:color="auto" w:sz="4" w:space="0"/>
            </w:tcBorders>
            <w:noWrap w:val="0"/>
            <w:vAlign w:val="center"/>
          </w:tcPr>
          <w:p>
            <w:pPr>
              <w:pStyle w:val="332"/>
              <w:kinsoku w:val="0"/>
              <w:overflowPunct w:val="0"/>
              <w:snapToGrid w:val="0"/>
              <w:jc w:val="center"/>
              <w:rPr>
                <w:b/>
                <w:color w:val="auto"/>
                <w:sz w:val="21"/>
                <w:szCs w:val="21"/>
              </w:rPr>
            </w:pPr>
            <w:r>
              <w:rPr>
                <w:b/>
                <w:bCs/>
                <w:color w:val="auto"/>
                <w:sz w:val="21"/>
                <w:szCs w:val="21"/>
              </w:rPr>
              <w:t>主要成分</w:t>
            </w:r>
          </w:p>
        </w:tc>
        <w:tc>
          <w:tcPr>
            <w:tcW w:w="852" w:type="dxa"/>
            <w:tcBorders>
              <w:right w:val="single" w:color="auto" w:sz="4" w:space="0"/>
            </w:tcBorders>
            <w:noWrap w:val="0"/>
            <w:vAlign w:val="center"/>
          </w:tcPr>
          <w:p>
            <w:pPr>
              <w:pStyle w:val="332"/>
              <w:kinsoku w:val="0"/>
              <w:overflowPunct w:val="0"/>
              <w:snapToGrid w:val="0"/>
              <w:jc w:val="center"/>
              <w:rPr>
                <w:b/>
                <w:color w:val="auto"/>
                <w:sz w:val="21"/>
                <w:szCs w:val="21"/>
              </w:rPr>
            </w:pPr>
            <w:r>
              <w:rPr>
                <w:b/>
                <w:color w:val="auto"/>
                <w:sz w:val="21"/>
                <w:szCs w:val="21"/>
              </w:rPr>
              <w:t>形态</w:t>
            </w:r>
          </w:p>
        </w:tc>
        <w:tc>
          <w:tcPr>
            <w:tcW w:w="1288" w:type="dxa"/>
            <w:tcBorders>
              <w:left w:val="single" w:color="auto" w:sz="4" w:space="0"/>
            </w:tcBorders>
            <w:noWrap w:val="0"/>
            <w:vAlign w:val="center"/>
          </w:tcPr>
          <w:p>
            <w:pPr>
              <w:pStyle w:val="332"/>
              <w:kinsoku w:val="0"/>
              <w:overflowPunct w:val="0"/>
              <w:snapToGrid w:val="0"/>
              <w:jc w:val="center"/>
              <w:rPr>
                <w:b/>
                <w:color w:val="auto"/>
                <w:sz w:val="21"/>
                <w:szCs w:val="21"/>
              </w:rPr>
            </w:pPr>
            <w:r>
              <w:rPr>
                <w:b/>
                <w:color w:val="auto"/>
                <w:sz w:val="21"/>
                <w:szCs w:val="21"/>
              </w:rPr>
              <w:t>年耗量</w:t>
            </w:r>
          </w:p>
        </w:tc>
        <w:tc>
          <w:tcPr>
            <w:tcW w:w="1054" w:type="dxa"/>
            <w:tcBorders>
              <w:left w:val="single" w:color="auto" w:sz="4" w:space="0"/>
            </w:tcBorders>
            <w:noWrap w:val="0"/>
            <w:vAlign w:val="center"/>
          </w:tcPr>
          <w:p>
            <w:pPr>
              <w:pStyle w:val="332"/>
              <w:kinsoku w:val="0"/>
              <w:overflowPunct w:val="0"/>
              <w:snapToGrid w:val="0"/>
              <w:jc w:val="center"/>
              <w:rPr>
                <w:b/>
                <w:color w:val="auto"/>
                <w:sz w:val="21"/>
                <w:szCs w:val="21"/>
              </w:rPr>
            </w:pPr>
            <w:r>
              <w:rPr>
                <w:b/>
                <w:color w:val="auto"/>
                <w:sz w:val="21"/>
                <w:szCs w:val="21"/>
              </w:rPr>
              <w:t>暂存量</w:t>
            </w:r>
          </w:p>
        </w:tc>
        <w:tc>
          <w:tcPr>
            <w:tcW w:w="1143" w:type="dxa"/>
            <w:tcBorders>
              <w:left w:val="single" w:color="auto" w:sz="4" w:space="0"/>
            </w:tcBorders>
            <w:noWrap w:val="0"/>
            <w:vAlign w:val="center"/>
          </w:tcPr>
          <w:p>
            <w:pPr>
              <w:pStyle w:val="332"/>
              <w:kinsoku w:val="0"/>
              <w:overflowPunct w:val="0"/>
              <w:snapToGrid w:val="0"/>
              <w:jc w:val="center"/>
              <w:rPr>
                <w:b/>
                <w:color w:val="auto"/>
                <w:sz w:val="21"/>
                <w:szCs w:val="21"/>
              </w:rPr>
            </w:pPr>
            <w:r>
              <w:rPr>
                <w:b/>
                <w:bCs/>
                <w:color w:val="auto"/>
                <w:sz w:val="21"/>
                <w:szCs w:val="21"/>
              </w:rPr>
              <w:t>储存位置</w:t>
            </w:r>
          </w:p>
        </w:tc>
        <w:tc>
          <w:tcPr>
            <w:tcW w:w="900" w:type="dxa"/>
            <w:tcBorders>
              <w:left w:val="single" w:color="auto" w:sz="4" w:space="0"/>
            </w:tcBorders>
            <w:noWrap w:val="0"/>
            <w:vAlign w:val="center"/>
          </w:tcPr>
          <w:p>
            <w:pPr>
              <w:pStyle w:val="332"/>
              <w:kinsoku w:val="0"/>
              <w:overflowPunct w:val="0"/>
              <w:snapToGrid w:val="0"/>
              <w:jc w:val="center"/>
              <w:rPr>
                <w:rFonts w:hint="eastAsia" w:eastAsia="宋体"/>
                <w:b/>
                <w:color w:val="auto"/>
                <w:sz w:val="21"/>
                <w:szCs w:val="21"/>
                <w:lang w:eastAsia="zh-CN"/>
              </w:rPr>
            </w:pPr>
            <w:r>
              <w:rPr>
                <w:rFonts w:hint="eastAsia"/>
                <w:b/>
                <w:color w:val="auto"/>
                <w:sz w:val="21"/>
                <w:szCs w:val="21"/>
                <w:lang w:val="en-US" w:eastAsia="zh-CN"/>
              </w:rPr>
              <w:t>备注</w:t>
            </w:r>
          </w:p>
        </w:tc>
        <w:tc>
          <w:tcPr>
            <w:tcW w:w="963" w:type="dxa"/>
            <w:noWrap w:val="0"/>
            <w:vAlign w:val="center"/>
          </w:tcPr>
          <w:p>
            <w:pPr>
              <w:pStyle w:val="332"/>
              <w:kinsoku w:val="0"/>
              <w:overflowPunct w:val="0"/>
              <w:snapToGrid w:val="0"/>
              <w:jc w:val="center"/>
              <w:rPr>
                <w:b/>
                <w:color w:val="auto"/>
                <w:sz w:val="21"/>
                <w:szCs w:val="21"/>
              </w:rPr>
            </w:pPr>
            <w:r>
              <w:rPr>
                <w:b/>
                <w:bCs/>
                <w:color w:val="auto"/>
                <w:sz w:val="21"/>
                <w:szCs w:val="21"/>
              </w:rPr>
              <w:t>运输方式</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noWrap w:val="0"/>
            <w:vAlign w:val="center"/>
          </w:tcPr>
          <w:p>
            <w:pPr>
              <w:pStyle w:val="332"/>
              <w:kinsoku w:val="0"/>
              <w:overflowPunct w:val="0"/>
              <w:snapToGrid w:val="0"/>
              <w:jc w:val="center"/>
              <w:rPr>
                <w:color w:val="auto"/>
                <w:sz w:val="21"/>
                <w:szCs w:val="21"/>
              </w:rPr>
            </w:pPr>
            <w:r>
              <w:rPr>
                <w:color w:val="auto"/>
                <w:sz w:val="21"/>
                <w:szCs w:val="21"/>
              </w:rPr>
              <w:t>原料</w:t>
            </w: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饲料</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cs="Times New Roman"/>
                <w:color w:val="auto"/>
                <w:sz w:val="21"/>
                <w:highlight w:val="none"/>
              </w:rPr>
              <w:t>玉米、豆粕、矿物质、E</w:t>
            </w:r>
            <w:r>
              <w:rPr>
                <w:rFonts w:hint="eastAsia" w:cs="Times New Roman"/>
                <w:color w:val="auto"/>
                <w:sz w:val="21"/>
                <w:highlight w:val="none"/>
                <w:lang w:val="en-US" w:eastAsia="zh-CN"/>
              </w:rPr>
              <w:t>M</w:t>
            </w:r>
            <w:r>
              <w:rPr>
                <w:rFonts w:cs="Times New Roman"/>
                <w:color w:val="auto"/>
                <w:sz w:val="21"/>
                <w:highlight w:val="none"/>
              </w:rPr>
              <w:t>菌种</w:t>
            </w:r>
            <w:r>
              <w:rPr>
                <w:rFonts w:hint="eastAsia" w:cs="Times New Roman"/>
                <w:color w:val="auto"/>
                <w:sz w:val="21"/>
                <w:highlight w:val="none"/>
                <w:lang w:eastAsia="zh-CN"/>
              </w:rPr>
              <w:t>、</w:t>
            </w:r>
            <w:r>
              <w:rPr>
                <w:color w:val="auto"/>
                <w:sz w:val="21"/>
                <w:szCs w:val="21"/>
                <w:highlight w:val="none"/>
              </w:rPr>
              <w:t>赖氨酸、苏氨酸、色氨酸</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固态</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0"/>
                <w:szCs w:val="20"/>
                <w:lang w:val="en-US" w:eastAsia="zh-CN"/>
              </w:rPr>
              <w:t>6300</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lang w:val="en-US" w:eastAsia="zh-CN"/>
              </w:rPr>
              <w:t>100</w:t>
            </w:r>
            <w:r>
              <w:rPr>
                <w:color w:val="auto"/>
                <w:sz w:val="21"/>
                <w:szCs w:val="21"/>
              </w:rPr>
              <w:t>t</w:t>
            </w:r>
          </w:p>
        </w:tc>
        <w:tc>
          <w:tcPr>
            <w:tcW w:w="1143"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料塔</w:t>
            </w:r>
          </w:p>
        </w:tc>
        <w:tc>
          <w:tcPr>
            <w:tcW w:w="900" w:type="dxa"/>
            <w:tcBorders>
              <w:left w:val="single" w:color="auto" w:sz="4" w:space="0"/>
            </w:tcBorders>
            <w:noWrap w:val="0"/>
            <w:vAlign w:val="center"/>
          </w:tcPr>
          <w:p>
            <w:pPr>
              <w:pStyle w:val="332"/>
              <w:kinsoku w:val="0"/>
              <w:overflowPunct w:val="0"/>
              <w:snapToGrid w:val="0"/>
              <w:jc w:val="center"/>
              <w:rPr>
                <w:rFonts w:hint="eastAsia" w:eastAsia="宋体"/>
                <w:color w:val="auto"/>
                <w:sz w:val="21"/>
                <w:szCs w:val="21"/>
                <w:lang w:eastAsia="zh-CN"/>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rFonts w:hint="eastAsia"/>
                <w:color w:val="auto"/>
                <w:sz w:val="21"/>
                <w:szCs w:val="21"/>
                <w:lang w:eastAsia="zh-CN"/>
              </w:rPr>
              <w:t>铁骑力士集团</w:t>
            </w:r>
            <w:r>
              <w:rPr>
                <w:rFonts w:hint="eastAsia"/>
                <w:color w:val="auto"/>
                <w:sz w:val="21"/>
                <w:szCs w:val="21"/>
              </w:rPr>
              <w:t>提供</w:t>
            </w:r>
            <w:r>
              <w:rPr>
                <w:rFonts w:hint="eastAsia"/>
                <w:color w:val="auto"/>
                <w:sz w:val="21"/>
                <w:szCs w:val="21"/>
                <w:lang w:eastAsia="zh-CN"/>
              </w:rPr>
              <w:t>，</w:t>
            </w:r>
            <w:r>
              <w:rPr>
                <w:rFonts w:hint="eastAsia"/>
                <w:color w:val="auto"/>
                <w:sz w:val="21"/>
                <w:szCs w:val="21"/>
              </w:rPr>
              <w:t>运输至养殖场后，直接投喂，无需破碎加工</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restart"/>
            <w:noWrap w:val="0"/>
            <w:vAlign w:val="center"/>
          </w:tcPr>
          <w:p>
            <w:pPr>
              <w:pStyle w:val="332"/>
              <w:kinsoku w:val="0"/>
              <w:overflowPunct w:val="0"/>
              <w:snapToGrid w:val="0"/>
              <w:jc w:val="center"/>
              <w:rPr>
                <w:color w:val="auto"/>
                <w:w w:val="99"/>
                <w:sz w:val="21"/>
                <w:szCs w:val="21"/>
              </w:rPr>
            </w:pPr>
            <w:r>
              <w:rPr>
                <w:color w:val="auto"/>
                <w:sz w:val="21"/>
                <w:szCs w:val="21"/>
              </w:rPr>
              <w:t>辅料</w:t>
            </w:r>
          </w:p>
        </w:tc>
        <w:tc>
          <w:tcPr>
            <w:tcW w:w="933" w:type="dxa"/>
            <w:vMerge w:val="restart"/>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消毒剂</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戊二醛</w:t>
            </w:r>
          </w:p>
        </w:tc>
        <w:tc>
          <w:tcPr>
            <w:tcW w:w="852" w:type="dxa"/>
            <w:tcBorders>
              <w:right w:val="single" w:color="auto" w:sz="4" w:space="0"/>
            </w:tcBorders>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液态</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lang w:val="en-US" w:eastAsia="zh-CN"/>
              </w:rPr>
              <w:t>0.9</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lang w:val="en-US" w:eastAsia="zh-CN"/>
              </w:rPr>
              <w:t>0.1</w:t>
            </w:r>
            <w:r>
              <w:rPr>
                <w:color w:val="auto"/>
                <w:sz w:val="21"/>
                <w:szCs w:val="21"/>
              </w:rPr>
              <w:t>t</w:t>
            </w:r>
          </w:p>
          <w:p>
            <w:pPr>
              <w:pStyle w:val="332"/>
              <w:kinsoku w:val="0"/>
              <w:overflowPunct w:val="0"/>
              <w:snapToGrid w:val="0"/>
              <w:jc w:val="center"/>
              <w:rPr>
                <w:color w:val="auto"/>
                <w:sz w:val="21"/>
                <w:szCs w:val="21"/>
              </w:rPr>
            </w:pPr>
            <w:r>
              <w:rPr>
                <w:rFonts w:hint="eastAsia"/>
                <w:color w:val="auto"/>
                <w:sz w:val="21"/>
                <w:szCs w:val="21"/>
              </w:rPr>
              <w:t>（2</w:t>
            </w:r>
            <w:r>
              <w:rPr>
                <w:color w:val="auto"/>
                <w:sz w:val="21"/>
                <w:szCs w:val="21"/>
              </w:rPr>
              <w:t>5kg/</w:t>
            </w:r>
            <w:r>
              <w:rPr>
                <w:rFonts w:hint="eastAsia"/>
                <w:color w:val="auto"/>
                <w:sz w:val="21"/>
                <w:szCs w:val="21"/>
              </w:rPr>
              <w:t>桶）</w:t>
            </w:r>
          </w:p>
        </w:tc>
        <w:tc>
          <w:tcPr>
            <w:tcW w:w="1143" w:type="dxa"/>
            <w:tcBorders>
              <w:left w:val="single" w:color="auto" w:sz="4" w:space="0"/>
            </w:tcBorders>
            <w:noWrap w:val="0"/>
            <w:vAlign w:val="center"/>
          </w:tcPr>
          <w:p>
            <w:pPr>
              <w:keepNext w:val="0"/>
              <w:keepLines w:val="0"/>
              <w:pageBreakBefore w:val="0"/>
              <w:widowControl w:val="0"/>
              <w:kinsoku w:val="0"/>
              <w:wordWrap/>
              <w:overflowPunct w:val="0"/>
              <w:topLinePunct w:val="0"/>
              <w:autoSpaceDE/>
              <w:autoSpaceDN/>
              <w:bidi w:val="0"/>
              <w:adjustRightInd/>
              <w:snapToGrid w:val="0"/>
              <w:ind w:firstLine="0" w:firstLineChars="0"/>
              <w:jc w:val="center"/>
              <w:textAlignment w:val="auto"/>
              <w:rPr>
                <w:color w:val="auto"/>
                <w:sz w:val="21"/>
                <w:szCs w:val="21"/>
              </w:rPr>
            </w:pPr>
            <w:r>
              <w:rPr>
                <w:rFonts w:hint="eastAsia"/>
                <w:color w:val="auto"/>
                <w:sz w:val="21"/>
                <w:szCs w:val="21"/>
              </w:rPr>
              <w:t>防疫室</w:t>
            </w:r>
          </w:p>
        </w:tc>
        <w:tc>
          <w:tcPr>
            <w:tcW w:w="900"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兑水 1：500</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vMerge w:val="continue"/>
            <w:tcBorders>
              <w:right w:val="single" w:color="auto" w:sz="4" w:space="0"/>
            </w:tcBorders>
            <w:noWrap w:val="0"/>
            <w:vAlign w:val="center"/>
          </w:tcPr>
          <w:p>
            <w:pPr>
              <w:pStyle w:val="332"/>
              <w:kinsoku w:val="0"/>
              <w:overflowPunct w:val="0"/>
              <w:snapToGrid w:val="0"/>
              <w:jc w:val="center"/>
              <w:rPr>
                <w:color w:val="auto"/>
                <w:sz w:val="21"/>
                <w:szCs w:val="21"/>
              </w:rPr>
            </w:pP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石灰</w:t>
            </w:r>
          </w:p>
          <w:p>
            <w:pPr>
              <w:pStyle w:val="332"/>
              <w:kinsoku w:val="0"/>
              <w:overflowPunct w:val="0"/>
              <w:snapToGrid w:val="0"/>
              <w:jc w:val="center"/>
              <w:rPr>
                <w:rFonts w:hint="eastAsia"/>
                <w:color w:val="auto"/>
                <w:sz w:val="21"/>
                <w:szCs w:val="21"/>
              </w:rPr>
            </w:pPr>
            <w:r>
              <w:rPr>
                <w:rFonts w:hint="eastAsia"/>
                <w:color w:val="auto"/>
                <w:sz w:val="21"/>
                <w:szCs w:val="21"/>
              </w:rPr>
              <w:t>（</w:t>
            </w:r>
            <w:r>
              <w:rPr>
                <w:color w:val="auto"/>
                <w:sz w:val="21"/>
                <w:szCs w:val="21"/>
              </w:rPr>
              <w:t>CaO</w:t>
            </w:r>
            <w:r>
              <w:rPr>
                <w:rFonts w:hint="eastAsia"/>
                <w:color w:val="auto"/>
                <w:sz w:val="21"/>
                <w:szCs w:val="21"/>
              </w:rPr>
              <w:t>）</w:t>
            </w:r>
          </w:p>
        </w:tc>
        <w:tc>
          <w:tcPr>
            <w:tcW w:w="852" w:type="dxa"/>
            <w:tcBorders>
              <w:right w:val="single" w:color="auto" w:sz="4" w:space="0"/>
            </w:tcBorders>
            <w:noWrap w:val="0"/>
            <w:vAlign w:val="center"/>
          </w:tcPr>
          <w:p>
            <w:pPr>
              <w:pStyle w:val="332"/>
              <w:kinsoku w:val="0"/>
              <w:overflowPunct w:val="0"/>
              <w:snapToGrid w:val="0"/>
              <w:jc w:val="center"/>
              <w:rPr>
                <w:rFonts w:hint="eastAsia"/>
                <w:color w:val="auto"/>
                <w:sz w:val="21"/>
                <w:szCs w:val="21"/>
              </w:rPr>
            </w:pPr>
            <w:r>
              <w:rPr>
                <w:color w:val="auto"/>
                <w:sz w:val="21"/>
                <w:szCs w:val="21"/>
              </w:rPr>
              <w:t>固态</w:t>
            </w:r>
          </w:p>
        </w:tc>
        <w:tc>
          <w:tcPr>
            <w:tcW w:w="1288" w:type="dxa"/>
            <w:tcBorders>
              <w:left w:val="single" w:color="auto" w:sz="4" w:space="0"/>
            </w:tcBorders>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0</w:t>
            </w:r>
            <w:r>
              <w:rPr>
                <w:color w:val="auto"/>
                <w:sz w:val="21"/>
                <w:szCs w:val="21"/>
              </w:rPr>
              <w:t>.8</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0</w:t>
            </w:r>
            <w:r>
              <w:rPr>
                <w:color w:val="auto"/>
                <w:sz w:val="21"/>
                <w:szCs w:val="21"/>
              </w:rPr>
              <w:t>.2</w:t>
            </w:r>
            <w:r>
              <w:rPr>
                <w:rFonts w:hint="eastAsia"/>
                <w:color w:val="auto"/>
                <w:sz w:val="21"/>
                <w:szCs w:val="21"/>
              </w:rPr>
              <w:t>t</w:t>
            </w:r>
          </w:p>
        </w:tc>
        <w:tc>
          <w:tcPr>
            <w:tcW w:w="1143" w:type="dxa"/>
            <w:tcBorders>
              <w:left w:val="single" w:color="auto" w:sz="4" w:space="0"/>
            </w:tcBorders>
            <w:noWrap w:val="0"/>
            <w:vAlign w:val="center"/>
          </w:tcPr>
          <w:p>
            <w:pPr>
              <w:keepNext w:val="0"/>
              <w:keepLines w:val="0"/>
              <w:pageBreakBefore w:val="0"/>
              <w:widowControl w:val="0"/>
              <w:kinsoku w:val="0"/>
              <w:wordWrap/>
              <w:overflowPunct w:val="0"/>
              <w:topLinePunct w:val="0"/>
              <w:autoSpaceDE/>
              <w:autoSpaceDN/>
              <w:bidi w:val="0"/>
              <w:adjustRightInd/>
              <w:snapToGrid w:val="0"/>
              <w:ind w:firstLine="0" w:firstLineChars="0"/>
              <w:jc w:val="center"/>
              <w:textAlignment w:val="auto"/>
              <w:rPr>
                <w:rFonts w:hint="eastAsia"/>
                <w:color w:val="auto"/>
                <w:sz w:val="21"/>
                <w:szCs w:val="21"/>
              </w:rPr>
            </w:pPr>
            <w:r>
              <w:rPr>
                <w:rFonts w:hint="eastAsia"/>
                <w:color w:val="auto"/>
                <w:sz w:val="21"/>
                <w:szCs w:val="21"/>
              </w:rPr>
              <w:t>防疫室</w:t>
            </w:r>
          </w:p>
        </w:tc>
        <w:tc>
          <w:tcPr>
            <w:tcW w:w="900" w:type="dxa"/>
            <w:tcBorders>
              <w:left w:val="single" w:color="auto" w:sz="4" w:space="0"/>
            </w:tcBorders>
            <w:noWrap w:val="0"/>
            <w:vAlign w:val="center"/>
          </w:tcPr>
          <w:p>
            <w:pPr>
              <w:pStyle w:val="332"/>
              <w:kinsoku w:val="0"/>
              <w:overflowPunct w:val="0"/>
              <w:snapToGrid w:val="0"/>
              <w:jc w:val="center"/>
              <w:rPr>
                <w:rFonts w:hint="eastAsia" w:eastAsia="宋体"/>
                <w:color w:val="auto"/>
                <w:sz w:val="21"/>
                <w:szCs w:val="21"/>
                <w:lang w:eastAsia="zh-CN"/>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rFonts w:hint="eastAsia"/>
                <w:color w:val="auto"/>
                <w:sz w:val="21"/>
                <w:szCs w:val="21"/>
                <w:highlight w:val="yellow"/>
              </w:rPr>
            </w:pPr>
            <w:r>
              <w:rPr>
                <w:color w:val="auto"/>
                <w:sz w:val="21"/>
                <w:szCs w:val="21"/>
              </w:rPr>
              <w:t>除臭剂</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highlight w:val="yellow"/>
              </w:rPr>
            </w:pPr>
            <w:r>
              <w:rPr>
                <w:color w:val="auto"/>
                <w:sz w:val="21"/>
                <w:szCs w:val="21"/>
              </w:rPr>
              <w:t>万洁芬</w:t>
            </w:r>
            <w:r>
              <w:rPr>
                <w:rFonts w:hint="eastAsia"/>
                <w:color w:val="auto"/>
                <w:sz w:val="21"/>
                <w:szCs w:val="21"/>
              </w:rPr>
              <w:t>等</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highlight w:val="yellow"/>
              </w:rPr>
            </w:pPr>
            <w:r>
              <w:rPr>
                <w:color w:val="auto"/>
                <w:sz w:val="21"/>
                <w:szCs w:val="21"/>
              </w:rPr>
              <w:t>液态</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1</w:t>
            </w:r>
            <w:r>
              <w:rPr>
                <w:color w:val="auto"/>
                <w:sz w:val="21"/>
                <w:szCs w:val="21"/>
              </w:rPr>
              <w:t>.5</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0.5</w:t>
            </w:r>
            <w:r>
              <w:rPr>
                <w:rFonts w:hint="eastAsia"/>
                <w:color w:val="auto"/>
                <w:sz w:val="21"/>
                <w:szCs w:val="21"/>
              </w:rPr>
              <w:t>t</w:t>
            </w:r>
          </w:p>
        </w:tc>
        <w:tc>
          <w:tcPr>
            <w:tcW w:w="1143" w:type="dxa"/>
            <w:tcBorders>
              <w:left w:val="single" w:color="auto" w:sz="4" w:space="0"/>
            </w:tcBorders>
            <w:noWrap w:val="0"/>
            <w:vAlign w:val="center"/>
          </w:tcPr>
          <w:p>
            <w:pPr>
              <w:keepNext w:val="0"/>
              <w:keepLines w:val="0"/>
              <w:pageBreakBefore w:val="0"/>
              <w:widowControl w:val="0"/>
              <w:kinsoku w:val="0"/>
              <w:wordWrap/>
              <w:overflowPunct w:val="0"/>
              <w:topLinePunct w:val="0"/>
              <w:autoSpaceDE/>
              <w:autoSpaceDN/>
              <w:bidi w:val="0"/>
              <w:adjustRightInd/>
              <w:snapToGrid w:val="0"/>
              <w:ind w:firstLine="0" w:firstLineChars="0"/>
              <w:jc w:val="center"/>
              <w:textAlignment w:val="auto"/>
              <w:rPr>
                <w:color w:val="auto"/>
                <w:sz w:val="21"/>
                <w:szCs w:val="21"/>
                <w:highlight w:val="yellow"/>
              </w:rPr>
            </w:pPr>
            <w:r>
              <w:rPr>
                <w:rFonts w:hint="eastAsia"/>
                <w:color w:val="auto"/>
                <w:sz w:val="21"/>
                <w:szCs w:val="21"/>
              </w:rPr>
              <w:t>防疫室</w:t>
            </w:r>
          </w:p>
        </w:tc>
        <w:tc>
          <w:tcPr>
            <w:tcW w:w="900" w:type="dxa"/>
            <w:tcBorders>
              <w:left w:val="single" w:color="auto" w:sz="4" w:space="0"/>
            </w:tcBorders>
            <w:noWrap w:val="0"/>
            <w:vAlign w:val="center"/>
          </w:tcPr>
          <w:p>
            <w:pPr>
              <w:kinsoku w:val="0"/>
              <w:overflowPunct w:val="0"/>
              <w:snapToGrid w:val="0"/>
              <w:ind w:firstLine="420" w:firstLineChars="200"/>
              <w:jc w:val="center"/>
              <w:rPr>
                <w:color w:val="auto"/>
                <w:sz w:val="21"/>
                <w:szCs w:val="21"/>
                <w:highlight w:val="yellow"/>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highlight w:val="yellow"/>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脱硫剂</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氧化铁</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固体</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0</w:t>
            </w:r>
            <w:r>
              <w:rPr>
                <w:color w:val="auto"/>
                <w:sz w:val="21"/>
                <w:szCs w:val="21"/>
              </w:rPr>
              <w:t>.5</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0</w:t>
            </w:r>
            <w:r>
              <w:rPr>
                <w:color w:val="auto"/>
                <w:sz w:val="21"/>
                <w:szCs w:val="21"/>
              </w:rPr>
              <w:t>.1</w:t>
            </w:r>
            <w:r>
              <w:rPr>
                <w:rFonts w:hint="eastAsia"/>
                <w:color w:val="auto"/>
                <w:sz w:val="21"/>
                <w:szCs w:val="21"/>
              </w:rPr>
              <w:t>t</w:t>
            </w:r>
          </w:p>
        </w:tc>
        <w:tc>
          <w:tcPr>
            <w:tcW w:w="1143" w:type="dxa"/>
            <w:tcBorders>
              <w:left w:val="single" w:color="auto" w:sz="4" w:space="0"/>
            </w:tcBorders>
            <w:noWrap w:val="0"/>
            <w:vAlign w:val="center"/>
          </w:tcPr>
          <w:p>
            <w:pPr>
              <w:keepNext w:val="0"/>
              <w:keepLines w:val="0"/>
              <w:pageBreakBefore w:val="0"/>
              <w:widowControl w:val="0"/>
              <w:kinsoku w:val="0"/>
              <w:wordWrap/>
              <w:overflowPunct w:val="0"/>
              <w:topLinePunct w:val="0"/>
              <w:autoSpaceDE/>
              <w:autoSpaceDN/>
              <w:bidi w:val="0"/>
              <w:adjustRightInd/>
              <w:snapToGrid w:val="0"/>
              <w:ind w:firstLine="0" w:firstLineChars="0"/>
              <w:jc w:val="center"/>
              <w:textAlignment w:val="auto"/>
              <w:rPr>
                <w:color w:val="auto"/>
                <w:sz w:val="21"/>
                <w:szCs w:val="21"/>
              </w:rPr>
            </w:pPr>
            <w:r>
              <w:rPr>
                <w:rFonts w:hint="eastAsia"/>
                <w:color w:val="auto"/>
                <w:sz w:val="21"/>
                <w:szCs w:val="21"/>
              </w:rPr>
              <w:t>防疫室</w:t>
            </w:r>
          </w:p>
        </w:tc>
        <w:tc>
          <w:tcPr>
            <w:tcW w:w="900" w:type="dxa"/>
            <w:tcBorders>
              <w:left w:val="single" w:color="auto" w:sz="4" w:space="0"/>
            </w:tcBorders>
            <w:noWrap w:val="0"/>
            <w:vAlign w:val="center"/>
          </w:tcPr>
          <w:p>
            <w:pPr>
              <w:kinsoku w:val="0"/>
              <w:overflowPunct w:val="0"/>
              <w:snapToGrid w:val="0"/>
              <w:ind w:firstLine="420" w:firstLineChars="200"/>
              <w:jc w:val="center"/>
              <w:rPr>
                <w:color w:val="auto"/>
                <w:sz w:val="21"/>
                <w:szCs w:val="21"/>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兽药</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包括阿莫西林、卡那霉素、阿维菌素及各种疫苗等</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液态</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1t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0</w:t>
            </w:r>
            <w:r>
              <w:rPr>
                <w:color w:val="auto"/>
                <w:sz w:val="21"/>
                <w:szCs w:val="21"/>
              </w:rPr>
              <w:t>.5</w:t>
            </w:r>
            <w:r>
              <w:rPr>
                <w:rFonts w:hint="eastAsia"/>
                <w:color w:val="auto"/>
                <w:sz w:val="21"/>
                <w:szCs w:val="21"/>
              </w:rPr>
              <w:t>t</w:t>
            </w:r>
          </w:p>
        </w:tc>
        <w:tc>
          <w:tcPr>
            <w:tcW w:w="1143"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兽药室</w:t>
            </w:r>
          </w:p>
        </w:tc>
        <w:tc>
          <w:tcPr>
            <w:tcW w:w="900" w:type="dxa"/>
            <w:tcBorders>
              <w:left w:val="single" w:color="auto" w:sz="4" w:space="0"/>
            </w:tcBorders>
            <w:noWrap w:val="0"/>
            <w:vAlign w:val="center"/>
          </w:tcPr>
          <w:p>
            <w:pPr>
              <w:kinsoku w:val="0"/>
              <w:overflowPunct w:val="0"/>
              <w:snapToGrid w:val="0"/>
              <w:ind w:firstLine="420" w:firstLineChars="200"/>
              <w:jc w:val="center"/>
              <w:rPr>
                <w:color w:val="auto"/>
                <w:sz w:val="21"/>
                <w:szCs w:val="21"/>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16" w:type="dxa"/>
            <w:vMerge w:val="restart"/>
            <w:noWrap w:val="0"/>
            <w:vAlign w:val="center"/>
          </w:tcPr>
          <w:p>
            <w:pPr>
              <w:pStyle w:val="332"/>
              <w:kinsoku w:val="0"/>
              <w:overflowPunct w:val="0"/>
              <w:snapToGrid w:val="0"/>
              <w:jc w:val="center"/>
              <w:rPr>
                <w:color w:val="auto"/>
                <w:sz w:val="21"/>
                <w:szCs w:val="21"/>
              </w:rPr>
            </w:pPr>
            <w:r>
              <w:rPr>
                <w:color w:val="auto"/>
                <w:sz w:val="21"/>
                <w:szCs w:val="21"/>
              </w:rPr>
              <w:t>能源</w:t>
            </w: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新鲜水</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O</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液态</w:t>
            </w:r>
          </w:p>
        </w:tc>
        <w:tc>
          <w:tcPr>
            <w:tcW w:w="128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lang w:val="en-US" w:eastAsia="zh-CN"/>
              </w:rPr>
              <w:t>212222.725</w:t>
            </w:r>
            <w:r>
              <w:rPr>
                <w:rFonts w:hint="eastAsia"/>
                <w:color w:val="auto"/>
                <w:sz w:val="21"/>
                <w:szCs w:val="21"/>
              </w:rPr>
              <w:t>m</w:t>
            </w:r>
            <w:r>
              <w:rPr>
                <w:color w:val="auto"/>
                <w:sz w:val="21"/>
                <w:szCs w:val="21"/>
                <w:vertAlign w:val="superscript"/>
              </w:rPr>
              <w:t>3</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c>
          <w:tcPr>
            <w:tcW w:w="1143"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c>
          <w:tcPr>
            <w:tcW w:w="900"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地下水</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水泵抽取</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柴油</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复杂烃类混合物</w:t>
            </w:r>
          </w:p>
        </w:tc>
        <w:tc>
          <w:tcPr>
            <w:tcW w:w="852"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液态</w:t>
            </w:r>
          </w:p>
        </w:tc>
        <w:tc>
          <w:tcPr>
            <w:tcW w:w="1288" w:type="dxa"/>
            <w:tcBorders>
              <w:left w:val="single" w:color="auto" w:sz="4" w:space="0"/>
            </w:tcBorders>
            <w:noWrap w:val="0"/>
            <w:vAlign w:val="center"/>
          </w:tcPr>
          <w:p>
            <w:pPr>
              <w:pStyle w:val="332"/>
              <w:kinsoku w:val="0"/>
              <w:overflowPunct w:val="0"/>
              <w:snapToGrid w:val="0"/>
              <w:jc w:val="center"/>
              <w:rPr>
                <w:rFonts w:hint="eastAsia"/>
                <w:color w:val="auto"/>
                <w:sz w:val="21"/>
                <w:szCs w:val="21"/>
                <w:highlight w:val="yellow"/>
              </w:rPr>
            </w:pPr>
            <w:r>
              <w:rPr>
                <w:rFonts w:hint="eastAsia"/>
                <w:color w:val="auto"/>
                <w:sz w:val="21"/>
                <w:szCs w:val="21"/>
              </w:rPr>
              <w:t>1</w:t>
            </w:r>
            <w:r>
              <w:rPr>
                <w:color w:val="auto"/>
                <w:sz w:val="21"/>
                <w:szCs w:val="21"/>
              </w:rPr>
              <w:t>.6</w:t>
            </w:r>
            <w:r>
              <w:rPr>
                <w:rFonts w:hint="eastAsia"/>
                <w:color w:val="auto"/>
                <w:sz w:val="21"/>
                <w:szCs w:val="21"/>
              </w:rPr>
              <w:t>t</w:t>
            </w:r>
          </w:p>
        </w:tc>
        <w:tc>
          <w:tcPr>
            <w:tcW w:w="1054"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0.48t</w:t>
            </w:r>
          </w:p>
        </w:tc>
        <w:tc>
          <w:tcPr>
            <w:tcW w:w="1143"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柴油存储间</w:t>
            </w:r>
          </w:p>
        </w:tc>
        <w:tc>
          <w:tcPr>
            <w:tcW w:w="900" w:type="dxa"/>
            <w:tcBorders>
              <w:left w:val="single" w:color="auto" w:sz="4" w:space="0"/>
            </w:tcBorders>
            <w:noWrap w:val="0"/>
            <w:vAlign w:val="center"/>
          </w:tcPr>
          <w:p>
            <w:pPr>
              <w:pStyle w:val="332"/>
              <w:kinsoku w:val="0"/>
              <w:overflowPunct w:val="0"/>
              <w:snapToGrid w:val="0"/>
              <w:jc w:val="center"/>
              <w:rPr>
                <w:rFonts w:hint="eastAsia" w:eastAsia="宋体"/>
                <w:color w:val="auto"/>
                <w:sz w:val="21"/>
                <w:szCs w:val="21"/>
                <w:lang w:val="en-US" w:eastAsia="zh-CN"/>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汽车运输</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电</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color w:val="auto"/>
                <w:sz w:val="21"/>
                <w:szCs w:val="21"/>
              </w:rPr>
              <w:t>/</w:t>
            </w:r>
          </w:p>
        </w:tc>
        <w:tc>
          <w:tcPr>
            <w:tcW w:w="852" w:type="dxa"/>
            <w:tcBorders>
              <w:right w:val="single" w:color="auto" w:sz="4" w:space="0"/>
            </w:tcBorders>
            <w:noWrap w:val="0"/>
            <w:vAlign w:val="center"/>
          </w:tcPr>
          <w:p>
            <w:pPr>
              <w:pStyle w:val="332"/>
              <w:kinsoku w:val="0"/>
              <w:overflowPunct w:val="0"/>
              <w:snapToGrid w:val="0"/>
              <w:jc w:val="center"/>
              <w:rPr>
                <w:color w:val="auto"/>
                <w:spacing w:val="-4"/>
                <w:sz w:val="21"/>
                <w:szCs w:val="21"/>
              </w:rPr>
            </w:pPr>
            <w:r>
              <w:rPr>
                <w:color w:val="auto"/>
                <w:spacing w:val="-4"/>
                <w:sz w:val="21"/>
                <w:szCs w:val="21"/>
              </w:rPr>
              <w:t>/</w:t>
            </w:r>
          </w:p>
        </w:tc>
        <w:tc>
          <w:tcPr>
            <w:tcW w:w="1288"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color w:val="auto"/>
                <w:spacing w:val="-4"/>
                <w:sz w:val="21"/>
                <w:szCs w:val="21"/>
              </w:rPr>
              <w:t>80</w:t>
            </w:r>
            <w:r>
              <w:rPr>
                <w:rFonts w:hint="eastAsia"/>
                <w:color w:val="auto"/>
                <w:spacing w:val="-4"/>
                <w:sz w:val="21"/>
                <w:szCs w:val="21"/>
              </w:rPr>
              <w:t>万k</w:t>
            </w:r>
            <w:r>
              <w:rPr>
                <w:color w:val="auto"/>
                <w:spacing w:val="-4"/>
                <w:sz w:val="21"/>
                <w:szCs w:val="21"/>
              </w:rPr>
              <w:t>W·</w:t>
            </w:r>
            <w:r>
              <w:rPr>
                <w:rFonts w:hint="eastAsia"/>
                <w:color w:val="auto"/>
                <w:spacing w:val="-4"/>
                <w:sz w:val="21"/>
                <w:szCs w:val="21"/>
              </w:rPr>
              <w:t>h</w:t>
            </w:r>
          </w:p>
        </w:tc>
        <w:tc>
          <w:tcPr>
            <w:tcW w:w="1054"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pacing w:val="-4"/>
                <w:sz w:val="21"/>
                <w:szCs w:val="21"/>
              </w:rPr>
              <w:t>/</w:t>
            </w:r>
          </w:p>
        </w:tc>
        <w:tc>
          <w:tcPr>
            <w:tcW w:w="1143"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pacing w:val="-4"/>
                <w:sz w:val="21"/>
                <w:szCs w:val="21"/>
              </w:rPr>
              <w:t>/</w:t>
            </w:r>
          </w:p>
        </w:tc>
        <w:tc>
          <w:tcPr>
            <w:tcW w:w="900" w:type="dxa"/>
            <w:tcBorders>
              <w:left w:val="single" w:color="auto" w:sz="4" w:space="0"/>
            </w:tcBorders>
            <w:noWrap w:val="0"/>
            <w:vAlign w:val="center"/>
          </w:tcPr>
          <w:p>
            <w:pPr>
              <w:pStyle w:val="332"/>
              <w:kinsoku w:val="0"/>
              <w:overflowPunct w:val="0"/>
              <w:snapToGrid w:val="0"/>
              <w:jc w:val="center"/>
              <w:rPr>
                <w:rFonts w:hint="eastAsia" w:eastAsia="宋体"/>
                <w:color w:val="auto"/>
                <w:spacing w:val="-4"/>
                <w:sz w:val="21"/>
                <w:szCs w:val="21"/>
                <w:lang w:val="en-US" w:eastAsia="zh-CN"/>
              </w:rPr>
            </w:pPr>
            <w:r>
              <w:rPr>
                <w:rFonts w:hint="eastAsia"/>
                <w:color w:val="auto"/>
                <w:spacing w:val="-4"/>
                <w:sz w:val="21"/>
                <w:szCs w:val="21"/>
                <w:lang w:val="en-US" w:eastAsia="zh-CN"/>
              </w:rPr>
              <w:t>/</w:t>
            </w:r>
          </w:p>
        </w:tc>
        <w:tc>
          <w:tcPr>
            <w:tcW w:w="963" w:type="dxa"/>
            <w:noWrap w:val="0"/>
            <w:vAlign w:val="center"/>
          </w:tcPr>
          <w:p>
            <w:pPr>
              <w:pStyle w:val="332"/>
              <w:kinsoku w:val="0"/>
              <w:overflowPunct w:val="0"/>
              <w:snapToGrid w:val="0"/>
              <w:jc w:val="center"/>
              <w:rPr>
                <w:color w:val="auto"/>
                <w:sz w:val="21"/>
                <w:szCs w:val="21"/>
              </w:rPr>
            </w:pPr>
            <w:r>
              <w:rPr>
                <w:color w:val="auto"/>
                <w:sz w:val="21"/>
                <w:szCs w:val="21"/>
              </w:rPr>
              <w:t>国家电网</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16" w:type="dxa"/>
            <w:vMerge w:val="continue"/>
            <w:noWrap w:val="0"/>
            <w:vAlign w:val="center"/>
          </w:tcPr>
          <w:p>
            <w:pPr>
              <w:pStyle w:val="332"/>
              <w:kinsoku w:val="0"/>
              <w:overflowPunct w:val="0"/>
              <w:snapToGrid w:val="0"/>
              <w:jc w:val="center"/>
              <w:rPr>
                <w:color w:val="auto"/>
                <w:sz w:val="21"/>
                <w:szCs w:val="21"/>
              </w:rPr>
            </w:pPr>
          </w:p>
        </w:tc>
        <w:tc>
          <w:tcPr>
            <w:tcW w:w="933" w:type="dxa"/>
            <w:tcBorders>
              <w:righ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沼气</w:t>
            </w:r>
          </w:p>
        </w:tc>
        <w:tc>
          <w:tcPr>
            <w:tcW w:w="938" w:type="dxa"/>
            <w:tcBorders>
              <w:left w:val="single" w:color="auto" w:sz="4" w:space="0"/>
            </w:tcBorders>
            <w:noWrap w:val="0"/>
            <w:vAlign w:val="center"/>
          </w:tcPr>
          <w:p>
            <w:pPr>
              <w:pStyle w:val="332"/>
              <w:kinsoku w:val="0"/>
              <w:overflowPunct w:val="0"/>
              <w:snapToGrid w:val="0"/>
              <w:jc w:val="center"/>
              <w:rPr>
                <w:color w:val="auto"/>
                <w:sz w:val="21"/>
                <w:szCs w:val="21"/>
              </w:rPr>
            </w:pPr>
            <w:r>
              <w:rPr>
                <w:rFonts w:hint="eastAsia"/>
                <w:color w:val="auto"/>
                <w:sz w:val="21"/>
                <w:szCs w:val="21"/>
              </w:rPr>
              <w:t>甲烷</w:t>
            </w:r>
          </w:p>
        </w:tc>
        <w:tc>
          <w:tcPr>
            <w:tcW w:w="852" w:type="dxa"/>
            <w:tcBorders>
              <w:righ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pacing w:val="-4"/>
                <w:sz w:val="21"/>
                <w:szCs w:val="21"/>
              </w:rPr>
              <w:t>气态</w:t>
            </w:r>
          </w:p>
        </w:tc>
        <w:tc>
          <w:tcPr>
            <w:tcW w:w="1288"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pacing w:val="-4"/>
                <w:sz w:val="21"/>
                <w:szCs w:val="21"/>
              </w:rPr>
              <w:t>7792.4m</w:t>
            </w:r>
            <w:r>
              <w:rPr>
                <w:color w:val="auto"/>
                <w:spacing w:val="-4"/>
                <w:sz w:val="21"/>
                <w:szCs w:val="21"/>
                <w:vertAlign w:val="superscript"/>
              </w:rPr>
              <w:t>3</w:t>
            </w:r>
          </w:p>
        </w:tc>
        <w:tc>
          <w:tcPr>
            <w:tcW w:w="1054" w:type="dxa"/>
            <w:tcBorders>
              <w:left w:val="single" w:color="auto" w:sz="4" w:space="0"/>
            </w:tcBorders>
            <w:noWrap w:val="0"/>
            <w:vAlign w:val="center"/>
          </w:tcPr>
          <w:p>
            <w:pPr>
              <w:pStyle w:val="332"/>
              <w:kinsoku w:val="0"/>
              <w:overflowPunct w:val="0"/>
              <w:snapToGrid w:val="0"/>
              <w:jc w:val="center"/>
              <w:rPr>
                <w:rFonts w:hint="eastAsia" w:eastAsia="宋体"/>
                <w:color w:val="auto"/>
                <w:spacing w:val="-4"/>
                <w:sz w:val="21"/>
                <w:szCs w:val="21"/>
                <w:lang w:eastAsia="zh-CN"/>
              </w:rPr>
            </w:pPr>
            <w:r>
              <w:rPr>
                <w:rFonts w:hint="eastAsia"/>
                <w:color w:val="auto"/>
                <w:spacing w:val="-4"/>
                <w:sz w:val="21"/>
                <w:szCs w:val="21"/>
                <w:lang w:val="en-US" w:eastAsia="zh-CN"/>
              </w:rPr>
              <w:t>/</w:t>
            </w:r>
          </w:p>
        </w:tc>
        <w:tc>
          <w:tcPr>
            <w:tcW w:w="1143"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pacing w:val="-4"/>
                <w:sz w:val="21"/>
                <w:szCs w:val="21"/>
              </w:rPr>
              <w:t>储气柜、黑膜沼气池</w:t>
            </w:r>
          </w:p>
        </w:tc>
        <w:tc>
          <w:tcPr>
            <w:tcW w:w="900" w:type="dxa"/>
            <w:tcBorders>
              <w:left w:val="single" w:color="auto" w:sz="4" w:space="0"/>
            </w:tcBorders>
            <w:noWrap w:val="0"/>
            <w:vAlign w:val="center"/>
          </w:tcPr>
          <w:p>
            <w:pPr>
              <w:pStyle w:val="332"/>
              <w:kinsoku w:val="0"/>
              <w:overflowPunct w:val="0"/>
              <w:snapToGrid w:val="0"/>
              <w:jc w:val="center"/>
              <w:rPr>
                <w:color w:val="auto"/>
                <w:spacing w:val="-4"/>
                <w:sz w:val="21"/>
                <w:szCs w:val="21"/>
              </w:rPr>
            </w:pPr>
            <w:r>
              <w:rPr>
                <w:rFonts w:hint="eastAsia"/>
                <w:color w:val="auto"/>
                <w:sz w:val="21"/>
                <w:szCs w:val="21"/>
                <w:lang w:val="en-US" w:eastAsia="zh-CN"/>
              </w:rPr>
              <w:t>/</w:t>
            </w:r>
          </w:p>
        </w:tc>
        <w:tc>
          <w:tcPr>
            <w:tcW w:w="963" w:type="dxa"/>
            <w:noWrap w:val="0"/>
            <w:vAlign w:val="center"/>
          </w:tcPr>
          <w:p>
            <w:pPr>
              <w:pStyle w:val="332"/>
              <w:kinsoku w:val="0"/>
              <w:overflowPunct w:val="0"/>
              <w:snapToGrid w:val="0"/>
              <w:jc w:val="center"/>
              <w:rPr>
                <w:rFonts w:hint="eastAsia" w:eastAsia="宋体"/>
                <w:color w:val="auto"/>
                <w:sz w:val="21"/>
                <w:szCs w:val="21"/>
                <w:lang w:val="en-US" w:eastAsia="zh-CN"/>
              </w:rPr>
            </w:pPr>
            <w:r>
              <w:rPr>
                <w:rFonts w:hint="eastAsia"/>
                <w:color w:val="auto"/>
                <w:spacing w:val="-4"/>
                <w:sz w:val="21"/>
                <w:szCs w:val="21"/>
              </w:rPr>
              <w:t>黑膜</w:t>
            </w:r>
            <w:r>
              <w:rPr>
                <w:rFonts w:hint="eastAsia"/>
                <w:color w:val="auto"/>
                <w:spacing w:val="-4"/>
                <w:sz w:val="21"/>
                <w:szCs w:val="21"/>
                <w:lang w:eastAsia="zh-CN"/>
              </w:rPr>
              <w:t>沼液暂存池</w:t>
            </w:r>
            <w:r>
              <w:rPr>
                <w:rFonts w:hint="eastAsia"/>
                <w:color w:val="auto"/>
                <w:spacing w:val="-4"/>
                <w:sz w:val="21"/>
                <w:szCs w:val="21"/>
              </w:rPr>
              <w:t>产生沼气贮存</w:t>
            </w:r>
            <w:r>
              <w:rPr>
                <w:rFonts w:hint="eastAsia"/>
                <w:color w:val="auto"/>
                <w:spacing w:val="-4"/>
                <w:sz w:val="21"/>
                <w:szCs w:val="21"/>
                <w:lang w:eastAsia="zh-CN"/>
              </w:rPr>
              <w:t>，</w:t>
            </w:r>
            <w:r>
              <w:rPr>
                <w:rFonts w:hint="eastAsia"/>
                <w:color w:val="auto"/>
                <w:sz w:val="21"/>
                <w:szCs w:val="21"/>
              </w:rPr>
              <w:t>管道</w:t>
            </w:r>
            <w:r>
              <w:rPr>
                <w:rFonts w:hint="eastAsia"/>
                <w:color w:val="auto"/>
                <w:sz w:val="21"/>
                <w:szCs w:val="21"/>
                <w:lang w:val="en-US" w:eastAsia="zh-CN"/>
              </w:rPr>
              <w:t>运输</w:t>
            </w:r>
          </w:p>
        </w:tc>
      </w:tr>
    </w:tbl>
    <w:p>
      <w:pPr>
        <w:spacing w:before="120" w:beforeLines="50"/>
        <w:ind w:firstLine="482"/>
        <w:rPr>
          <w:b/>
          <w:color w:val="auto"/>
        </w:rPr>
      </w:pPr>
      <w:r>
        <w:rPr>
          <w:b/>
          <w:color w:val="auto"/>
        </w:rPr>
        <w:t>主要原辅材料理化性质</w:t>
      </w:r>
      <w:bookmarkEnd w:id="65"/>
      <w:r>
        <w:rPr>
          <w:b/>
          <w:color w:val="auto"/>
        </w:rPr>
        <w:t>：</w:t>
      </w:r>
    </w:p>
    <w:p>
      <w:pPr>
        <w:pStyle w:val="166"/>
        <w:spacing w:before="120" w:beforeLines="0" w:line="240" w:lineRule="auto"/>
        <w:rPr>
          <w:rFonts w:hint="eastAsia"/>
          <w:color w:val="auto"/>
        </w:rPr>
      </w:pPr>
      <w:r>
        <w:rPr>
          <w:rFonts w:hint="eastAsia"/>
          <w:color w:val="auto"/>
        </w:rPr>
        <w:t>表</w:t>
      </w:r>
      <w:r>
        <w:rPr>
          <w:color w:val="auto"/>
        </w:rPr>
        <w:t>3.1-</w:t>
      </w:r>
      <w:r>
        <w:rPr>
          <w:rFonts w:hint="eastAsia"/>
          <w:color w:val="auto"/>
          <w:lang w:val="en-US" w:eastAsia="zh-CN"/>
        </w:rPr>
        <w:t xml:space="preserve">6 </w:t>
      </w:r>
      <w:r>
        <w:rPr>
          <w:rFonts w:hint="eastAsia"/>
          <w:color w:val="auto"/>
        </w:rPr>
        <w:t>项目主要原辅材料理化特性一览表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35"/>
        <w:gridCol w:w="4536"/>
        <w:gridCol w:w="26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4" w:type="dxa"/>
            <w:noWrap w:val="0"/>
            <w:vAlign w:val="center"/>
          </w:tcPr>
          <w:p>
            <w:pPr>
              <w:pStyle w:val="332"/>
              <w:kinsoku w:val="0"/>
              <w:overflowPunct w:val="0"/>
              <w:snapToGrid w:val="0"/>
              <w:jc w:val="center"/>
              <w:rPr>
                <w:b/>
                <w:bCs/>
                <w:color w:val="auto"/>
                <w:sz w:val="21"/>
                <w:szCs w:val="21"/>
              </w:rPr>
            </w:pPr>
            <w:r>
              <w:rPr>
                <w:rFonts w:hint="eastAsia"/>
                <w:b/>
                <w:bCs/>
                <w:color w:val="auto"/>
                <w:sz w:val="21"/>
                <w:szCs w:val="21"/>
              </w:rPr>
              <w:t>名称</w:t>
            </w:r>
          </w:p>
        </w:tc>
        <w:tc>
          <w:tcPr>
            <w:tcW w:w="1135" w:type="dxa"/>
            <w:noWrap w:val="0"/>
            <w:vAlign w:val="center"/>
          </w:tcPr>
          <w:p>
            <w:pPr>
              <w:pStyle w:val="332"/>
              <w:kinsoku w:val="0"/>
              <w:overflowPunct w:val="0"/>
              <w:snapToGrid w:val="0"/>
              <w:jc w:val="center"/>
              <w:rPr>
                <w:b/>
                <w:bCs/>
                <w:color w:val="auto"/>
                <w:sz w:val="21"/>
                <w:szCs w:val="21"/>
              </w:rPr>
            </w:pPr>
            <w:r>
              <w:rPr>
                <w:rFonts w:hint="eastAsia"/>
                <w:b/>
                <w:bCs/>
                <w:color w:val="auto"/>
                <w:sz w:val="21"/>
                <w:szCs w:val="21"/>
              </w:rPr>
              <w:t>主要成分</w:t>
            </w:r>
          </w:p>
        </w:tc>
        <w:tc>
          <w:tcPr>
            <w:tcW w:w="4536" w:type="dxa"/>
            <w:noWrap w:val="0"/>
            <w:vAlign w:val="center"/>
          </w:tcPr>
          <w:p>
            <w:pPr>
              <w:pStyle w:val="332"/>
              <w:kinsoku w:val="0"/>
              <w:overflowPunct w:val="0"/>
              <w:snapToGrid w:val="0"/>
              <w:jc w:val="center"/>
              <w:rPr>
                <w:b/>
                <w:bCs/>
                <w:color w:val="auto"/>
                <w:sz w:val="21"/>
                <w:szCs w:val="21"/>
              </w:rPr>
            </w:pPr>
            <w:r>
              <w:rPr>
                <w:rFonts w:hint="eastAsia"/>
                <w:b/>
                <w:bCs/>
                <w:color w:val="auto"/>
                <w:sz w:val="21"/>
                <w:szCs w:val="21"/>
              </w:rPr>
              <w:t>理化特性</w:t>
            </w:r>
          </w:p>
        </w:tc>
        <w:tc>
          <w:tcPr>
            <w:tcW w:w="2658" w:type="dxa"/>
            <w:noWrap w:val="0"/>
            <w:vAlign w:val="center"/>
          </w:tcPr>
          <w:p>
            <w:pPr>
              <w:pStyle w:val="332"/>
              <w:kinsoku w:val="0"/>
              <w:overflowPunct w:val="0"/>
              <w:snapToGrid w:val="0"/>
              <w:jc w:val="center"/>
              <w:rPr>
                <w:rFonts w:hint="eastAsia"/>
                <w:b/>
                <w:bCs/>
                <w:color w:val="auto"/>
                <w:sz w:val="21"/>
                <w:szCs w:val="21"/>
              </w:rPr>
            </w:pPr>
            <w:r>
              <w:rPr>
                <w:rFonts w:hint="eastAsia"/>
                <w:b/>
                <w:bCs/>
                <w:color w:val="auto"/>
                <w:sz w:val="21"/>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vMerge w:val="restart"/>
            <w:noWrap w:val="0"/>
            <w:vAlign w:val="center"/>
          </w:tcPr>
          <w:p>
            <w:pPr>
              <w:pStyle w:val="332"/>
              <w:kinsoku w:val="0"/>
              <w:overflowPunct w:val="0"/>
              <w:snapToGrid w:val="0"/>
              <w:jc w:val="center"/>
              <w:rPr>
                <w:rFonts w:hint="eastAsia"/>
                <w:color w:val="auto"/>
                <w:sz w:val="21"/>
                <w:szCs w:val="21"/>
              </w:rPr>
            </w:pPr>
            <w:r>
              <w:rPr>
                <w:color w:val="auto"/>
                <w:sz w:val="21"/>
                <w:szCs w:val="21"/>
              </w:rPr>
              <w:t>消毒剂</w:t>
            </w:r>
          </w:p>
        </w:tc>
        <w:tc>
          <w:tcPr>
            <w:tcW w:w="1135" w:type="dxa"/>
            <w:noWrap w:val="0"/>
            <w:vAlign w:val="center"/>
          </w:tcPr>
          <w:p>
            <w:pPr>
              <w:pStyle w:val="332"/>
              <w:kinsoku w:val="0"/>
              <w:overflowPunct w:val="0"/>
              <w:snapToGrid w:val="0"/>
              <w:jc w:val="center"/>
              <w:rPr>
                <w:color w:val="auto"/>
                <w:sz w:val="21"/>
                <w:szCs w:val="21"/>
              </w:rPr>
            </w:pPr>
            <w:r>
              <w:rPr>
                <w:rFonts w:hint="eastAsia"/>
                <w:color w:val="auto"/>
                <w:sz w:val="21"/>
                <w:szCs w:val="21"/>
              </w:rPr>
              <w:t>戊二醛</w:t>
            </w:r>
          </w:p>
        </w:tc>
        <w:tc>
          <w:tcPr>
            <w:tcW w:w="4536" w:type="dxa"/>
            <w:noWrap w:val="0"/>
            <w:vAlign w:val="center"/>
          </w:tcPr>
          <w:p>
            <w:pPr>
              <w:pStyle w:val="332"/>
              <w:snapToGrid w:val="0"/>
              <w:rPr>
                <w:color w:val="auto"/>
                <w:sz w:val="21"/>
                <w:szCs w:val="21"/>
              </w:rPr>
            </w:pPr>
            <w:r>
              <w:rPr>
                <w:rFonts w:hint="eastAsia"/>
                <w:color w:val="auto"/>
                <w:sz w:val="21"/>
                <w:szCs w:val="21"/>
              </w:rPr>
              <w:t>分子式为C</w:t>
            </w:r>
            <w:r>
              <w:rPr>
                <w:rFonts w:hint="eastAsia"/>
                <w:color w:val="auto"/>
                <w:sz w:val="21"/>
                <w:szCs w:val="21"/>
                <w:vertAlign w:val="subscript"/>
              </w:rPr>
              <w:t>5</w:t>
            </w:r>
            <w:r>
              <w:rPr>
                <w:rFonts w:hint="eastAsia"/>
                <w:color w:val="auto"/>
                <w:sz w:val="21"/>
                <w:szCs w:val="21"/>
              </w:rPr>
              <w:t>H</w:t>
            </w:r>
            <w:r>
              <w:rPr>
                <w:rFonts w:hint="eastAsia"/>
                <w:color w:val="auto"/>
                <w:sz w:val="21"/>
                <w:szCs w:val="21"/>
                <w:vertAlign w:val="subscript"/>
              </w:rPr>
              <w:t>8</w:t>
            </w:r>
            <w:r>
              <w:rPr>
                <w:rFonts w:hint="eastAsia"/>
                <w:color w:val="auto"/>
                <w:sz w:val="21"/>
                <w:szCs w:val="21"/>
              </w:rPr>
              <w:t>O</w:t>
            </w:r>
            <w:r>
              <w:rPr>
                <w:rFonts w:hint="eastAsia"/>
                <w:color w:val="auto"/>
                <w:sz w:val="21"/>
                <w:szCs w:val="21"/>
                <w:vertAlign w:val="subscript"/>
              </w:rPr>
              <w:t>2</w:t>
            </w:r>
            <w:r>
              <w:rPr>
                <w:rFonts w:hint="eastAsia"/>
                <w:color w:val="auto"/>
                <w:sz w:val="21"/>
                <w:szCs w:val="21"/>
              </w:rPr>
              <w:t>，带有刺激性气味的无色透明油状液体，溶于热水。熔点：-5℃；沸点：189°C at 760 mmHg；闪点：66°C；密度：0.947g/cm</w:t>
            </w:r>
            <w:r>
              <w:rPr>
                <w:rFonts w:hint="eastAsia"/>
                <w:color w:val="auto"/>
                <w:sz w:val="21"/>
                <w:szCs w:val="21"/>
                <w:vertAlign w:val="superscript"/>
              </w:rPr>
              <w:t>3</w:t>
            </w:r>
            <w:r>
              <w:rPr>
                <w:rFonts w:hint="eastAsia"/>
                <w:color w:val="auto"/>
                <w:sz w:val="21"/>
                <w:szCs w:val="21"/>
              </w:rPr>
              <w:t>；相对蒸气密度(空气=1)：3.4；蒸汽压：0.583mmHg at 25℃。本品性质活泼，易聚合氧化，与含有活泼氧的化合物和含氮的化合物会发反应。可作为食品工业加工助剂，菌消毒剂、鞣革剂、木材防腐剂，药物和高分子合成原料等。</w:t>
            </w:r>
          </w:p>
        </w:tc>
        <w:tc>
          <w:tcPr>
            <w:tcW w:w="2658" w:type="dxa"/>
            <w:noWrap w:val="0"/>
            <w:vAlign w:val="center"/>
          </w:tcPr>
          <w:p>
            <w:pPr>
              <w:pStyle w:val="332"/>
              <w:snapToGrid w:val="0"/>
              <w:rPr>
                <w:rFonts w:hint="eastAsia"/>
                <w:color w:val="auto"/>
                <w:sz w:val="21"/>
                <w:szCs w:val="21"/>
              </w:rPr>
            </w:pPr>
            <w:r>
              <w:rPr>
                <w:rFonts w:hint="eastAsia"/>
                <w:color w:val="auto"/>
                <w:sz w:val="21"/>
                <w:szCs w:val="21"/>
              </w:rPr>
              <w:t>1、皮肤刺激：戊二醛对人和动物的皮肤粘膜有刺激性。5%戊二醛能引起严重的刺激反应症状，但2%戊二醛仅使皮肤染上了发亮的棕色。</w:t>
            </w:r>
          </w:p>
          <w:p>
            <w:pPr>
              <w:pStyle w:val="332"/>
              <w:snapToGrid w:val="0"/>
              <w:rPr>
                <w:rFonts w:hint="eastAsia"/>
                <w:color w:val="auto"/>
                <w:sz w:val="21"/>
                <w:szCs w:val="21"/>
              </w:rPr>
            </w:pPr>
            <w:r>
              <w:rPr>
                <w:rFonts w:hint="eastAsia"/>
                <w:color w:val="auto"/>
                <w:sz w:val="21"/>
                <w:szCs w:val="21"/>
              </w:rPr>
              <w:t>2、全身毒性：戊二醛对人的全身毒性反应轻微。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vMerge w:val="continue"/>
            <w:noWrap w:val="0"/>
            <w:vAlign w:val="center"/>
          </w:tcPr>
          <w:p>
            <w:pPr>
              <w:pStyle w:val="332"/>
              <w:kinsoku w:val="0"/>
              <w:overflowPunct w:val="0"/>
              <w:snapToGrid w:val="0"/>
              <w:jc w:val="center"/>
              <w:rPr>
                <w:rFonts w:hint="eastAsia"/>
                <w:color w:val="auto"/>
                <w:sz w:val="21"/>
                <w:szCs w:val="21"/>
              </w:rPr>
            </w:pPr>
          </w:p>
        </w:tc>
        <w:tc>
          <w:tcPr>
            <w:tcW w:w="1135" w:type="dxa"/>
            <w:noWrap w:val="0"/>
            <w:vAlign w:val="center"/>
          </w:tcPr>
          <w:p>
            <w:pPr>
              <w:pStyle w:val="332"/>
              <w:kinsoku w:val="0"/>
              <w:overflowPunct w:val="0"/>
              <w:snapToGrid w:val="0"/>
              <w:jc w:val="center"/>
              <w:rPr>
                <w:color w:val="auto"/>
                <w:sz w:val="21"/>
                <w:szCs w:val="21"/>
              </w:rPr>
            </w:pPr>
            <w:r>
              <w:rPr>
                <w:rFonts w:hint="eastAsia"/>
                <w:color w:val="auto"/>
                <w:sz w:val="21"/>
                <w:szCs w:val="21"/>
              </w:rPr>
              <w:t>石灰</w:t>
            </w:r>
          </w:p>
        </w:tc>
        <w:tc>
          <w:tcPr>
            <w:tcW w:w="4536" w:type="dxa"/>
            <w:noWrap w:val="0"/>
            <w:vAlign w:val="center"/>
          </w:tcPr>
          <w:p>
            <w:pPr>
              <w:pStyle w:val="332"/>
              <w:snapToGrid w:val="0"/>
              <w:jc w:val="center"/>
              <w:rPr>
                <w:color w:val="auto"/>
                <w:sz w:val="21"/>
                <w:szCs w:val="21"/>
              </w:rPr>
            </w:pPr>
            <w:r>
              <w:rPr>
                <w:rFonts w:hint="eastAsia"/>
                <w:color w:val="auto"/>
                <w:sz w:val="21"/>
                <w:szCs w:val="21"/>
              </w:rPr>
              <w:t>石灰是一种以氧化钙为主要成分的气硬性无机胶凝材料。石灰是用石灰石、白云石、白垩、贝壳等碳酸钙含量高的产物，经900～1100℃煅烧而成。熔点2580℃，沸点2850℃。石灰是人类最早应用的胶凝材料。石灰在土木工程中应用范围很广，在我国还可用在医药方面。</w:t>
            </w:r>
          </w:p>
        </w:tc>
        <w:tc>
          <w:tcPr>
            <w:tcW w:w="2658" w:type="dxa"/>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noWrap w:val="0"/>
            <w:vAlign w:val="center"/>
          </w:tcPr>
          <w:p>
            <w:pPr>
              <w:pStyle w:val="332"/>
              <w:kinsoku w:val="0"/>
              <w:overflowPunct w:val="0"/>
              <w:snapToGrid w:val="0"/>
              <w:jc w:val="center"/>
              <w:rPr>
                <w:color w:val="auto"/>
                <w:sz w:val="21"/>
                <w:szCs w:val="21"/>
              </w:rPr>
            </w:pPr>
            <w:r>
              <w:rPr>
                <w:rFonts w:hint="eastAsia"/>
                <w:color w:val="auto"/>
                <w:sz w:val="21"/>
                <w:szCs w:val="21"/>
              </w:rPr>
              <w:t>脱硫剂</w:t>
            </w:r>
          </w:p>
        </w:tc>
        <w:tc>
          <w:tcPr>
            <w:tcW w:w="1135" w:type="dxa"/>
            <w:noWrap w:val="0"/>
            <w:vAlign w:val="center"/>
          </w:tcPr>
          <w:p>
            <w:pPr>
              <w:pStyle w:val="332"/>
              <w:kinsoku w:val="0"/>
              <w:overflowPunct w:val="0"/>
              <w:snapToGrid w:val="0"/>
              <w:jc w:val="center"/>
              <w:rPr>
                <w:color w:val="auto"/>
                <w:sz w:val="21"/>
                <w:szCs w:val="21"/>
              </w:rPr>
            </w:pPr>
            <w:r>
              <w:rPr>
                <w:color w:val="auto"/>
                <w:sz w:val="21"/>
                <w:szCs w:val="21"/>
              </w:rPr>
              <w:t>Fe</w:t>
            </w:r>
            <w:r>
              <w:rPr>
                <w:color w:val="auto"/>
                <w:sz w:val="21"/>
                <w:szCs w:val="21"/>
                <w:vertAlign w:val="subscript"/>
              </w:rPr>
              <w:t>2</w:t>
            </w:r>
            <w:r>
              <w:rPr>
                <w:color w:val="auto"/>
                <w:sz w:val="21"/>
                <w:szCs w:val="21"/>
              </w:rPr>
              <w:t>O</w:t>
            </w:r>
            <w:r>
              <w:rPr>
                <w:color w:val="auto"/>
                <w:sz w:val="21"/>
                <w:szCs w:val="21"/>
                <w:vertAlign w:val="subscript"/>
              </w:rPr>
              <w:t>3</w:t>
            </w:r>
          </w:p>
        </w:tc>
        <w:tc>
          <w:tcPr>
            <w:tcW w:w="4536" w:type="dxa"/>
            <w:noWrap w:val="0"/>
            <w:vAlign w:val="center"/>
          </w:tcPr>
          <w:p>
            <w:pPr>
              <w:pStyle w:val="332"/>
              <w:snapToGrid w:val="0"/>
              <w:jc w:val="center"/>
              <w:rPr>
                <w:color w:val="auto"/>
                <w:sz w:val="21"/>
                <w:szCs w:val="21"/>
              </w:rPr>
            </w:pPr>
            <w:r>
              <w:rPr>
                <w:rFonts w:hint="eastAsia"/>
                <w:color w:val="auto"/>
                <w:sz w:val="21"/>
                <w:szCs w:val="21"/>
              </w:rPr>
              <w:t>其粒状为圆柱状，稳定性高，难溶于水，不与水反应。溶于酸，与酸反应。相对密度5.12～5.24。折射率3.042。熔点1550℃，约于1560℃分解。</w:t>
            </w:r>
          </w:p>
        </w:tc>
        <w:tc>
          <w:tcPr>
            <w:tcW w:w="2658" w:type="dxa"/>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EM菌种</w:t>
            </w:r>
          </w:p>
        </w:tc>
        <w:tc>
          <w:tcPr>
            <w:tcW w:w="1135" w:type="dxa"/>
            <w:noWrap w:val="0"/>
            <w:vAlign w:val="center"/>
          </w:tcPr>
          <w:p>
            <w:pPr>
              <w:pStyle w:val="332"/>
              <w:kinsoku w:val="0"/>
              <w:overflowPunct w:val="0"/>
              <w:snapToGrid w:val="0"/>
              <w:jc w:val="center"/>
              <w:rPr>
                <w:color w:val="auto"/>
                <w:sz w:val="21"/>
                <w:szCs w:val="21"/>
              </w:rPr>
            </w:pPr>
            <w:r>
              <w:rPr>
                <w:rFonts w:hint="eastAsia"/>
                <w:color w:val="auto"/>
                <w:sz w:val="21"/>
                <w:szCs w:val="21"/>
              </w:rPr>
              <w:t>有益微生物菌群</w:t>
            </w:r>
          </w:p>
        </w:tc>
        <w:tc>
          <w:tcPr>
            <w:tcW w:w="4536" w:type="dxa"/>
            <w:noWrap w:val="0"/>
            <w:vAlign w:val="center"/>
          </w:tcPr>
          <w:p>
            <w:pPr>
              <w:pStyle w:val="332"/>
              <w:snapToGrid w:val="0"/>
              <w:jc w:val="center"/>
              <w:rPr>
                <w:rFonts w:hint="eastAsia"/>
                <w:color w:val="auto"/>
                <w:sz w:val="21"/>
                <w:szCs w:val="21"/>
              </w:rPr>
            </w:pPr>
            <w:r>
              <w:rPr>
                <w:rFonts w:hint="eastAsia"/>
                <w:color w:val="auto"/>
                <w:sz w:val="21"/>
                <w:szCs w:val="21"/>
              </w:rPr>
              <w:t>EM菌（EffectiveMicroorganisms）是由大约80种微生物组成，EM菌由日本琉球大学的比嘉照夫教授1982年研究成功，于80年代投入市场。EM菌是以光合细菌、乳酸菌、酵母菌和放线菌为主的10个属80余个微生物复合而成的一种微生活菌制剂。作用机理是形成EM菌和病原微生物争夺营养的竞争，由于EM菌极易生存繁殖，所以能较快形成有益的微生物菌的优势群落，从而控制病原微生物的繁殖和对作物的侵袭。是生态农业的发展方向，更有利于农业的可持续发展。80年代末90年代初，EM菌已被日本、泰国、巴西、美国、印度尼西亚、斯里兰卡等国广泛应用于农业、养殖、种植、环保等领域，取得了明显的经济效益和生态效益。使用时可用200~500倍的稀释液只有饮用，也可根据猪个体大小的差异采用5%、10%不等的不同比例饲料参入全价料中投喂，也可以稀释后喷洒在猪或舍栏上。</w:t>
            </w:r>
          </w:p>
        </w:tc>
        <w:tc>
          <w:tcPr>
            <w:tcW w:w="2658" w:type="dxa"/>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万洁芬</w:t>
            </w:r>
          </w:p>
        </w:tc>
        <w:tc>
          <w:tcPr>
            <w:tcW w:w="1135" w:type="dxa"/>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柠檬酸、苹果酸、乳酸等生物有机酸以及由乳酸菌、酵母菌、光合菌等多种有益菌产生的生物酵素</w:t>
            </w:r>
          </w:p>
        </w:tc>
        <w:tc>
          <w:tcPr>
            <w:tcW w:w="4536" w:type="dxa"/>
            <w:noWrap w:val="0"/>
            <w:vAlign w:val="center"/>
          </w:tcPr>
          <w:p>
            <w:pPr>
              <w:pStyle w:val="332"/>
              <w:snapToGrid w:val="0"/>
              <w:rPr>
                <w:rFonts w:hint="eastAsia"/>
                <w:color w:val="auto"/>
                <w:sz w:val="21"/>
                <w:szCs w:val="21"/>
              </w:rPr>
            </w:pPr>
            <w:r>
              <w:rPr>
                <w:rFonts w:hint="eastAsia"/>
                <w:color w:val="auto"/>
                <w:sz w:val="21"/>
                <w:szCs w:val="21"/>
              </w:rPr>
              <w:t>采用先进的生物提取、净化培养和混合发酵技术生产的新型微生物抗菌除臭制剂，对养殖场产生的氨气、硫化氢等臭气有很强的降解作用，经国家环顾分析测试中心检测，本产品对氨的降解率为92.6%，对硫化氢使用后10分钟的降解率为89.0%，对臭气浓度使用后10分钟降解率为90.0%。</w:t>
            </w:r>
          </w:p>
        </w:tc>
        <w:tc>
          <w:tcPr>
            <w:tcW w:w="2658" w:type="dxa"/>
            <w:noWrap w:val="0"/>
            <w:vAlign w:val="center"/>
          </w:tcPr>
          <w:p>
            <w:pPr>
              <w:pStyle w:val="332"/>
              <w:kinsoku w:val="0"/>
              <w:overflowPunct w:val="0"/>
              <w:snapToGrid w:val="0"/>
              <w:jc w:val="center"/>
              <w:rPr>
                <w:rFonts w:hint="eastAsia"/>
                <w:color w:val="auto"/>
                <w:sz w:val="21"/>
                <w:szCs w:val="21"/>
              </w:rPr>
            </w:pP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noWrap w:val="0"/>
            <w:vAlign w:val="center"/>
          </w:tcPr>
          <w:p>
            <w:pPr>
              <w:pStyle w:val="332"/>
              <w:kinsoku w:val="0"/>
              <w:overflowPunct w:val="0"/>
              <w:snapToGrid w:val="0"/>
              <w:jc w:val="center"/>
              <w:rPr>
                <w:color w:val="auto"/>
                <w:sz w:val="21"/>
                <w:szCs w:val="21"/>
              </w:rPr>
            </w:pPr>
            <w:r>
              <w:rPr>
                <w:rFonts w:hint="eastAsia"/>
                <w:color w:val="auto"/>
                <w:sz w:val="21"/>
                <w:szCs w:val="21"/>
              </w:rPr>
              <w:t>沼气</w:t>
            </w:r>
          </w:p>
        </w:tc>
        <w:tc>
          <w:tcPr>
            <w:tcW w:w="1135" w:type="dxa"/>
            <w:noWrap w:val="0"/>
            <w:vAlign w:val="center"/>
          </w:tcPr>
          <w:p>
            <w:pPr>
              <w:pStyle w:val="332"/>
              <w:kinsoku w:val="0"/>
              <w:overflowPunct w:val="0"/>
              <w:snapToGrid w:val="0"/>
              <w:jc w:val="center"/>
              <w:rPr>
                <w:color w:val="auto"/>
                <w:sz w:val="21"/>
                <w:szCs w:val="21"/>
              </w:rPr>
            </w:pPr>
            <w:r>
              <w:rPr>
                <w:rFonts w:hint="eastAsia"/>
                <w:color w:val="auto"/>
                <w:sz w:val="21"/>
                <w:szCs w:val="21"/>
              </w:rPr>
              <w:t>C</w:t>
            </w:r>
            <w:r>
              <w:rPr>
                <w:color w:val="auto"/>
                <w:sz w:val="21"/>
                <w:szCs w:val="21"/>
              </w:rPr>
              <w:t>H</w:t>
            </w:r>
            <w:r>
              <w:rPr>
                <w:color w:val="auto"/>
                <w:sz w:val="21"/>
                <w:szCs w:val="21"/>
                <w:vertAlign w:val="subscript"/>
              </w:rPr>
              <w:t>4</w:t>
            </w:r>
          </w:p>
        </w:tc>
        <w:tc>
          <w:tcPr>
            <w:tcW w:w="4536" w:type="dxa"/>
            <w:noWrap w:val="0"/>
            <w:vAlign w:val="center"/>
          </w:tcPr>
          <w:p>
            <w:pPr>
              <w:pStyle w:val="332"/>
              <w:snapToGrid w:val="0"/>
              <w:rPr>
                <w:rFonts w:hint="eastAsia"/>
                <w:color w:val="auto"/>
                <w:sz w:val="21"/>
                <w:szCs w:val="21"/>
              </w:rPr>
            </w:pPr>
            <w:r>
              <w:rPr>
                <w:rFonts w:hint="eastAsia"/>
                <w:color w:val="auto"/>
                <w:sz w:val="21"/>
                <w:szCs w:val="21"/>
              </w:rPr>
              <w:t>沼气的主要成分是甲烷。沼气由50%-80%甲烷（CH</w:t>
            </w:r>
            <w:r>
              <w:rPr>
                <w:rFonts w:hint="eastAsia"/>
                <w:color w:val="auto"/>
                <w:sz w:val="21"/>
                <w:szCs w:val="21"/>
                <w:vertAlign w:val="subscript"/>
              </w:rPr>
              <w:t>4</w:t>
            </w:r>
            <w:r>
              <w:rPr>
                <w:rFonts w:hint="eastAsia"/>
                <w:color w:val="auto"/>
                <w:sz w:val="21"/>
                <w:szCs w:val="21"/>
              </w:rPr>
              <w:t>）、20%-40%二氧化碳（CO</w:t>
            </w:r>
            <w:r>
              <w:rPr>
                <w:rFonts w:hint="eastAsia"/>
                <w:color w:val="auto"/>
                <w:sz w:val="21"/>
                <w:szCs w:val="21"/>
                <w:vertAlign w:val="subscript"/>
              </w:rPr>
              <w:t>2</w:t>
            </w:r>
            <w:r>
              <w:rPr>
                <w:rFonts w:hint="eastAsia"/>
                <w:color w:val="auto"/>
                <w:sz w:val="21"/>
                <w:szCs w:val="21"/>
              </w:rPr>
              <w:t>）、0%-5%氮气（N</w:t>
            </w:r>
            <w:r>
              <w:rPr>
                <w:rFonts w:hint="eastAsia"/>
                <w:color w:val="auto"/>
                <w:sz w:val="21"/>
                <w:szCs w:val="21"/>
                <w:vertAlign w:val="subscript"/>
              </w:rPr>
              <w:t>2</w:t>
            </w:r>
            <w:r>
              <w:rPr>
                <w:rFonts w:hint="eastAsia"/>
                <w:color w:val="auto"/>
                <w:sz w:val="21"/>
                <w:szCs w:val="21"/>
              </w:rPr>
              <w:t>）、小于1%的氢气（H</w:t>
            </w:r>
            <w:r>
              <w:rPr>
                <w:rFonts w:hint="eastAsia"/>
                <w:color w:val="auto"/>
                <w:sz w:val="21"/>
                <w:szCs w:val="21"/>
                <w:vertAlign w:val="subscript"/>
              </w:rPr>
              <w:t>2</w:t>
            </w:r>
            <w:r>
              <w:rPr>
                <w:rFonts w:hint="eastAsia"/>
                <w:color w:val="auto"/>
                <w:sz w:val="21"/>
                <w:szCs w:val="21"/>
              </w:rPr>
              <w:t>）、小于0.4%的氧气（O</w:t>
            </w:r>
            <w:r>
              <w:rPr>
                <w:rFonts w:hint="eastAsia"/>
                <w:color w:val="auto"/>
                <w:sz w:val="21"/>
                <w:szCs w:val="21"/>
                <w:vertAlign w:val="subscript"/>
              </w:rPr>
              <w:t>2</w:t>
            </w:r>
            <w:r>
              <w:rPr>
                <w:rFonts w:hint="eastAsia"/>
                <w:color w:val="auto"/>
                <w:sz w:val="21"/>
                <w:szCs w:val="21"/>
              </w:rPr>
              <w:t>）与0.1%-3%硫化氢（H</w:t>
            </w:r>
            <w:r>
              <w:rPr>
                <w:rFonts w:hint="eastAsia"/>
                <w:color w:val="auto"/>
                <w:sz w:val="21"/>
                <w:szCs w:val="21"/>
                <w:vertAlign w:val="subscript"/>
              </w:rPr>
              <w:t>2</w:t>
            </w:r>
            <w:r>
              <w:rPr>
                <w:rFonts w:hint="eastAsia"/>
                <w:color w:val="auto"/>
                <w:sz w:val="21"/>
                <w:szCs w:val="21"/>
              </w:rPr>
              <w:t>S）等气体组成。由于沼气含有少量硫化氢，所以略带臭味。其特性与天然气相似。空气中如含有8.6-20.8%（按体积计）的沼气时，就会形成爆炸性的混合气体。</w:t>
            </w:r>
          </w:p>
          <w:p>
            <w:pPr>
              <w:pStyle w:val="332"/>
              <w:snapToGrid w:val="0"/>
              <w:rPr>
                <w:color w:val="auto"/>
                <w:sz w:val="21"/>
                <w:szCs w:val="21"/>
              </w:rPr>
            </w:pPr>
            <w:r>
              <w:rPr>
                <w:rFonts w:hint="eastAsia"/>
                <w:color w:val="auto"/>
                <w:sz w:val="21"/>
                <w:szCs w:val="21"/>
              </w:rPr>
              <w:t>甲烷是一种理想的气体燃料，它无色无味，与适量空气混合后即会燃烧。每立方米纯甲烷的发热量为34000千焦，每立方米沼气的发热量约为20800－23600千焦。即1立方米沼气完全燃烧后，能产生相当于0.7千克无烟煤提供的热量。与其它燃气相比，其抗爆性能较好，是一种很好的清洁燃料。</w:t>
            </w:r>
          </w:p>
        </w:tc>
        <w:tc>
          <w:tcPr>
            <w:tcW w:w="2658" w:type="dxa"/>
            <w:noWrap w:val="0"/>
            <w:vAlign w:val="center"/>
          </w:tcPr>
          <w:p>
            <w:pPr>
              <w:pStyle w:val="332"/>
              <w:kinsoku w:val="0"/>
              <w:overflowPunct w:val="0"/>
              <w:snapToGrid w:val="0"/>
              <w:jc w:val="center"/>
              <w:rPr>
                <w:color w:val="auto"/>
                <w:sz w:val="21"/>
                <w:szCs w:val="21"/>
              </w:rPr>
            </w:pPr>
            <w:r>
              <w:rPr>
                <w:rFonts w:hint="eastAsia"/>
                <w:color w:val="auto"/>
                <w:sz w:val="21"/>
                <w:szCs w:val="21"/>
              </w:rPr>
              <w:t>/</w:t>
            </w:r>
          </w:p>
        </w:tc>
      </w:tr>
    </w:tbl>
    <w:p>
      <w:pPr>
        <w:pStyle w:val="7"/>
        <w:spacing w:before="120"/>
        <w:rPr>
          <w:rFonts w:eastAsia="黑体"/>
          <w:color w:val="auto"/>
          <w:sz w:val="32"/>
        </w:rPr>
      </w:pPr>
      <w:bookmarkStart w:id="66" w:name="_Toc436035672"/>
      <w:bookmarkStart w:id="67" w:name="_Toc26880"/>
      <w:r>
        <w:rPr>
          <w:rFonts w:eastAsia="黑体"/>
          <w:color w:val="auto"/>
          <w:sz w:val="32"/>
        </w:rPr>
        <w:t>公用工程</w:t>
      </w:r>
      <w:bookmarkEnd w:id="66"/>
      <w:bookmarkEnd w:id="67"/>
    </w:p>
    <w:p>
      <w:pPr>
        <w:pStyle w:val="8"/>
        <w:tabs>
          <w:tab w:val="clear" w:pos="0"/>
        </w:tabs>
        <w:rPr>
          <w:rFonts w:eastAsia="黑体"/>
          <w:color w:val="auto"/>
          <w:sz w:val="28"/>
          <w:szCs w:val="28"/>
        </w:rPr>
      </w:pPr>
      <w:r>
        <w:rPr>
          <w:rFonts w:eastAsia="黑体"/>
          <w:color w:val="auto"/>
          <w:sz w:val="28"/>
          <w:szCs w:val="28"/>
        </w:rPr>
        <w:t>给排水</w:t>
      </w:r>
    </w:p>
    <w:p>
      <w:pPr>
        <w:pStyle w:val="9"/>
        <w:spacing w:before="120" w:beforeLines="50"/>
        <w:rPr>
          <w:color w:val="auto"/>
        </w:rPr>
      </w:pPr>
      <w:r>
        <w:rPr>
          <w:color w:val="auto"/>
        </w:rPr>
        <w:t>给水工程</w:t>
      </w:r>
    </w:p>
    <w:p>
      <w:pPr>
        <w:ind w:firstLine="480"/>
        <w:rPr>
          <w:color w:val="auto"/>
        </w:rPr>
      </w:pPr>
      <w:r>
        <w:rPr>
          <w:color w:val="auto"/>
        </w:rPr>
        <w:t>本项目运营期用水主要包括</w:t>
      </w:r>
      <w:r>
        <w:rPr>
          <w:rFonts w:hint="default"/>
          <w:color w:val="auto"/>
          <w:lang w:eastAsia="zh-CN"/>
        </w:rPr>
        <w:t>猪饮用水、猪舍冲洗用水、消毒用水、职工生活用水、绿化用水、湿帘用水</w:t>
      </w:r>
      <w:r>
        <w:rPr>
          <w:color w:val="auto"/>
        </w:rPr>
        <w:t>等。根据项目设计方案，本项目供水采用自备深水井，日供水能力约150m</w:t>
      </w:r>
      <w:r>
        <w:rPr>
          <w:color w:val="auto"/>
          <w:vertAlign w:val="superscript"/>
        </w:rPr>
        <w:t>3</w:t>
      </w:r>
      <w:r>
        <w:rPr>
          <w:color w:val="auto"/>
        </w:rPr>
        <w:t>，通过水泵抽至</w:t>
      </w:r>
      <w:r>
        <w:rPr>
          <w:rFonts w:hint="eastAsia"/>
          <w:color w:val="auto"/>
          <w:lang w:val="en-US" w:eastAsia="zh-CN"/>
        </w:rPr>
        <w:t>300</w:t>
      </w:r>
      <w:r>
        <w:rPr>
          <w:color w:val="auto"/>
        </w:rPr>
        <w:t>m</w:t>
      </w:r>
      <w:r>
        <w:rPr>
          <w:color w:val="auto"/>
          <w:vertAlign w:val="superscript"/>
        </w:rPr>
        <w:t>3</w:t>
      </w:r>
      <w:r>
        <w:rPr>
          <w:rFonts w:hint="eastAsia"/>
          <w:color w:val="auto"/>
          <w:lang w:val="en-US" w:eastAsia="zh-CN"/>
        </w:rPr>
        <w:t>蓄水池</w:t>
      </w:r>
      <w:r>
        <w:rPr>
          <w:color w:val="auto"/>
        </w:rPr>
        <w:t>存放备用，能够满足场区内生产及生活持续供水需求。</w:t>
      </w:r>
    </w:p>
    <w:p>
      <w:pPr>
        <w:pStyle w:val="9"/>
        <w:spacing w:before="120" w:beforeLines="50"/>
        <w:rPr>
          <w:rFonts w:ascii="黑体" w:hAnsi="黑体"/>
          <w:color w:val="auto"/>
        </w:rPr>
      </w:pPr>
      <w:r>
        <w:rPr>
          <w:rFonts w:ascii="黑体" w:hAnsi="黑体"/>
          <w:color w:val="auto"/>
        </w:rPr>
        <w:t>排水工程</w:t>
      </w:r>
    </w:p>
    <w:p>
      <w:pPr>
        <w:pStyle w:val="306"/>
        <w:ind w:firstLine="480"/>
        <w:rPr>
          <w:color w:val="auto"/>
        </w:rPr>
      </w:pPr>
      <w:r>
        <w:rPr>
          <w:rFonts w:hint="eastAsia"/>
          <w:color w:val="auto"/>
        </w:rPr>
        <w:t>本工程采用雨污分流、清污分流排水系统，要求场区内分别建设雨水沟和污水管道，在场区内外设置的污水收集输送系统，不得采取明沟布设。</w:t>
      </w:r>
      <w:r>
        <w:rPr>
          <w:rFonts w:cs="Times New Roman"/>
          <w:color w:val="auto"/>
        </w:rPr>
        <w:t>食堂废水经隔油池处理后与生活污水经管道排入废水收集池，与养殖废水一起经</w:t>
      </w:r>
      <w:r>
        <w:rPr>
          <w:rFonts w:hint="eastAsia"/>
          <w:color w:val="auto"/>
          <w:sz w:val="24"/>
          <w:szCs w:val="24"/>
        </w:rPr>
        <w:t>污水处理站处理</w:t>
      </w:r>
      <w:r>
        <w:rPr>
          <w:rFonts w:cs="Times New Roman"/>
          <w:color w:val="auto"/>
        </w:rPr>
        <w:t>达到《畜禽养殖业污染物排放标准》（GB18596-2001）标准后，用于周围</w:t>
      </w:r>
      <w:r>
        <w:rPr>
          <w:rFonts w:hint="eastAsia" w:cs="Times New Roman"/>
          <w:color w:val="auto"/>
        </w:rPr>
        <w:t>农田</w:t>
      </w:r>
      <w:r>
        <w:rPr>
          <w:rFonts w:cs="Times New Roman"/>
          <w:color w:val="auto"/>
        </w:rPr>
        <w:t>施肥，不外排</w:t>
      </w:r>
      <w:r>
        <w:rPr>
          <w:rFonts w:hint="eastAsia"/>
          <w:color w:val="auto"/>
        </w:rPr>
        <w:t>。</w:t>
      </w:r>
    </w:p>
    <w:p>
      <w:pPr>
        <w:ind w:firstLine="480"/>
        <w:rPr>
          <w:rFonts w:hint="eastAsia"/>
          <w:color w:val="auto"/>
        </w:rPr>
      </w:pPr>
      <w:r>
        <w:rPr>
          <w:rFonts w:hint="eastAsia"/>
          <w:color w:val="auto"/>
        </w:rPr>
        <w:t>雨水通过设置砖砌明沟排水，沟宽3</w:t>
      </w:r>
      <w:r>
        <w:rPr>
          <w:color w:val="auto"/>
        </w:rPr>
        <w:t>00</w:t>
      </w:r>
      <w:r>
        <w:rPr>
          <w:rFonts w:hint="eastAsia"/>
          <w:color w:val="auto"/>
        </w:rPr>
        <w:t>mm，纵向坡度≥3%。</w:t>
      </w:r>
    </w:p>
    <w:p>
      <w:pPr>
        <w:pStyle w:val="8"/>
        <w:tabs>
          <w:tab w:val="clear" w:pos="0"/>
        </w:tabs>
        <w:rPr>
          <w:rFonts w:eastAsia="黑体"/>
          <w:color w:val="auto"/>
          <w:sz w:val="28"/>
          <w:szCs w:val="28"/>
        </w:rPr>
      </w:pPr>
      <w:bookmarkStart w:id="68" w:name="_Toc410066951"/>
      <w:r>
        <w:rPr>
          <w:rFonts w:eastAsia="黑体"/>
          <w:color w:val="auto"/>
          <w:sz w:val="28"/>
          <w:szCs w:val="28"/>
        </w:rPr>
        <w:t>供电</w:t>
      </w:r>
      <w:bookmarkEnd w:id="68"/>
    </w:p>
    <w:p>
      <w:pPr>
        <w:pStyle w:val="16"/>
        <w:ind w:firstLine="480"/>
        <w:rPr>
          <w:rFonts w:ascii="Times New Roman" w:hAnsi="Times New Roman"/>
          <w:color w:val="auto"/>
        </w:rPr>
      </w:pPr>
      <w:r>
        <w:rPr>
          <w:rFonts w:cs="Times New Roman"/>
          <w:color w:val="auto"/>
        </w:rPr>
        <w:t>本项目由</w:t>
      </w:r>
      <w:r>
        <w:rPr>
          <w:rFonts w:hint="eastAsia" w:cs="Times New Roman"/>
          <w:color w:val="auto"/>
          <w:lang w:val="en-US" w:eastAsia="zh-CN"/>
        </w:rPr>
        <w:t>盐泉镇</w:t>
      </w:r>
      <w:r>
        <w:rPr>
          <w:rFonts w:cs="Times New Roman"/>
          <w:color w:val="auto"/>
        </w:rPr>
        <w:t>供电线路接入。</w:t>
      </w:r>
      <w:r>
        <w:rPr>
          <w:rFonts w:cs="Times New Roman"/>
          <w:color w:val="auto"/>
          <w:lang w:bidi="zh-CN"/>
        </w:rPr>
        <w:t>另外，场内设1台</w:t>
      </w:r>
      <w:r>
        <w:rPr>
          <w:rFonts w:hint="eastAsia" w:cs="Times New Roman"/>
          <w:color w:val="auto"/>
          <w:lang w:val="en-US" w:bidi="zh-CN"/>
        </w:rPr>
        <w:t>30</w:t>
      </w:r>
      <w:r>
        <w:rPr>
          <w:rFonts w:hint="eastAsia" w:cs="Times New Roman"/>
          <w:color w:val="auto"/>
          <w:lang w:bidi="zh-CN"/>
        </w:rPr>
        <w:t>0kW</w:t>
      </w:r>
      <w:r>
        <w:rPr>
          <w:rFonts w:cs="Times New Roman"/>
          <w:color w:val="auto"/>
          <w:lang w:bidi="zh-CN"/>
        </w:rPr>
        <w:t>备用的柴油发电机，以防</w:t>
      </w:r>
      <w:r>
        <w:rPr>
          <w:rFonts w:cs="Times New Roman"/>
          <w:color w:val="auto"/>
          <w:highlight w:val="none"/>
          <w:lang w:bidi="zh-CN"/>
        </w:rPr>
        <w:t>突然停电或电力维修等断电情况。</w:t>
      </w:r>
    </w:p>
    <w:p>
      <w:pPr>
        <w:pStyle w:val="8"/>
        <w:tabs>
          <w:tab w:val="clear" w:pos="0"/>
        </w:tabs>
        <w:rPr>
          <w:rFonts w:eastAsia="黑体"/>
          <w:color w:val="auto"/>
          <w:sz w:val="28"/>
          <w:szCs w:val="28"/>
        </w:rPr>
      </w:pPr>
      <w:r>
        <w:rPr>
          <w:rFonts w:eastAsia="黑体"/>
          <w:color w:val="auto"/>
          <w:sz w:val="28"/>
          <w:szCs w:val="28"/>
        </w:rPr>
        <w:t>供气</w:t>
      </w:r>
    </w:p>
    <w:p>
      <w:pPr>
        <w:ind w:firstLine="480"/>
        <w:rPr>
          <w:color w:val="auto"/>
        </w:rPr>
      </w:pPr>
      <w:r>
        <w:rPr>
          <w:color w:val="auto"/>
        </w:rPr>
        <w:t>本项目食堂使用的燃料为项目自产沼气，属清洁能源。项目不设</w:t>
      </w:r>
      <w:r>
        <w:rPr>
          <w:rFonts w:hint="eastAsia"/>
          <w:color w:val="auto"/>
          <w:lang w:val="en-US" w:eastAsia="zh-CN"/>
        </w:rPr>
        <w:t>燃气</w:t>
      </w:r>
      <w:r>
        <w:rPr>
          <w:color w:val="auto"/>
        </w:rPr>
        <w:t>锅炉，热水供应采用电加热</w:t>
      </w:r>
      <w:r>
        <w:rPr>
          <w:rFonts w:hint="eastAsia"/>
          <w:color w:val="auto"/>
          <w:lang w:val="en-US" w:eastAsia="zh-CN"/>
        </w:rPr>
        <w:t>锅炉</w:t>
      </w:r>
      <w:r>
        <w:rPr>
          <w:color w:val="auto"/>
        </w:rPr>
        <w:t>。</w:t>
      </w:r>
    </w:p>
    <w:p>
      <w:pPr>
        <w:pStyle w:val="8"/>
        <w:tabs>
          <w:tab w:val="clear" w:pos="0"/>
        </w:tabs>
        <w:rPr>
          <w:rFonts w:eastAsia="黑体"/>
          <w:color w:val="auto"/>
          <w:sz w:val="28"/>
          <w:szCs w:val="28"/>
        </w:rPr>
      </w:pPr>
      <w:r>
        <w:rPr>
          <w:rFonts w:eastAsia="黑体"/>
          <w:color w:val="auto"/>
          <w:sz w:val="28"/>
          <w:szCs w:val="28"/>
        </w:rPr>
        <w:t>暖通</w:t>
      </w:r>
    </w:p>
    <w:p>
      <w:pPr>
        <w:ind w:firstLine="480"/>
        <w:rPr>
          <w:color w:val="auto"/>
        </w:rPr>
      </w:pPr>
      <w:r>
        <w:rPr>
          <w:color w:val="auto"/>
        </w:rPr>
        <w:t>根据建设单位提供的资料，</w:t>
      </w:r>
      <w:bookmarkStart w:id="69" w:name="_Hlk46336907"/>
      <w:r>
        <w:rPr>
          <w:color w:val="auto"/>
        </w:rPr>
        <w:t>项目猪舍冬季取暖（采暖周期约为11月至次年2月）主要是通过猪舍墙体保温材料与外部断绝热交换、同时</w:t>
      </w:r>
      <w:r>
        <w:rPr>
          <w:rFonts w:hint="eastAsia"/>
          <w:color w:val="auto"/>
          <w:lang w:val="en-US" w:eastAsia="zh-CN"/>
        </w:rPr>
        <w:t>1-4#猪舍采用保温灯、加热板供暖；5-6#猪舍采用电热水锅炉供暖，本项目设置1套6t/h电热水锅炉</w:t>
      </w:r>
      <w:bookmarkEnd w:id="69"/>
      <w:r>
        <w:rPr>
          <w:rFonts w:hint="eastAsia"/>
          <w:color w:val="auto"/>
          <w:lang w:val="en-US" w:eastAsia="zh-CN"/>
        </w:rPr>
        <w:t>；</w:t>
      </w:r>
      <w:r>
        <w:rPr>
          <w:color w:val="auto"/>
        </w:rPr>
        <w:t>生活管理区冬季取暖采用空调，生活房设电加热热水器供应职工生活用热水。</w:t>
      </w:r>
    </w:p>
    <w:p>
      <w:pPr>
        <w:ind w:firstLine="480"/>
        <w:rPr>
          <w:color w:val="auto"/>
        </w:rPr>
      </w:pPr>
      <w:r>
        <w:rPr>
          <w:color w:val="auto"/>
        </w:rPr>
        <w:t>场区建筑物通风采用自然通风与机械通风相结合的方式，其他设施以自然通风为主。猪舍内通风以引风机排风为主，各猪舍均设置有排风系统，保证猪舍的空气流通，夏季采用水帘+风机通风降温（可降低5~8℃）。办公生活区夏季采用分体式空调制冷。</w:t>
      </w:r>
    </w:p>
    <w:p>
      <w:pPr>
        <w:pStyle w:val="8"/>
        <w:tabs>
          <w:tab w:val="clear" w:pos="0"/>
        </w:tabs>
        <w:rPr>
          <w:rFonts w:eastAsia="黑体"/>
          <w:color w:val="auto"/>
          <w:sz w:val="28"/>
          <w:szCs w:val="28"/>
        </w:rPr>
      </w:pPr>
      <w:r>
        <w:rPr>
          <w:rFonts w:eastAsia="黑体"/>
          <w:color w:val="auto"/>
          <w:sz w:val="28"/>
          <w:szCs w:val="28"/>
        </w:rPr>
        <w:t>消防</w:t>
      </w:r>
    </w:p>
    <w:p>
      <w:pPr>
        <w:ind w:firstLine="480"/>
        <w:rPr>
          <w:color w:val="auto"/>
        </w:rPr>
      </w:pPr>
      <w:r>
        <w:rPr>
          <w:color w:val="auto"/>
        </w:rPr>
        <w:t>项目按照《建筑设计防火规范》要求设置安全出口及疏散距离，各猪舍间的距离、消防设施设计等严格执行《建筑设计防火规范》等消防规范及法律法规要求；设置常规水消防系统和移动式灭火器，各建（构）筑物内灭火器的类型、数量符合《建筑灭火器配置设计规范》的要求。</w:t>
      </w:r>
    </w:p>
    <w:p>
      <w:pPr>
        <w:pStyle w:val="8"/>
        <w:tabs>
          <w:tab w:val="clear" w:pos="0"/>
        </w:tabs>
        <w:rPr>
          <w:rFonts w:eastAsia="黑体"/>
          <w:color w:val="auto"/>
          <w:sz w:val="28"/>
          <w:szCs w:val="28"/>
        </w:rPr>
      </w:pPr>
      <w:r>
        <w:rPr>
          <w:rFonts w:eastAsia="黑体"/>
          <w:color w:val="auto"/>
          <w:sz w:val="28"/>
          <w:szCs w:val="28"/>
        </w:rPr>
        <w:t>贮运</w:t>
      </w:r>
    </w:p>
    <w:p>
      <w:pPr>
        <w:pStyle w:val="16"/>
        <w:spacing w:line="360" w:lineRule="auto"/>
        <w:ind w:firstLine="480"/>
        <w:rPr>
          <w:rFonts w:hint="eastAsia" w:ascii="Times New Roman" w:hAnsi="Times New Roman"/>
          <w:color w:val="auto"/>
          <w:szCs w:val="24"/>
        </w:rPr>
      </w:pPr>
      <w:r>
        <w:rPr>
          <w:rFonts w:hint="eastAsia" w:ascii="Times New Roman" w:hAnsi="Times New Roman"/>
          <w:color w:val="auto"/>
          <w:szCs w:val="24"/>
        </w:rPr>
        <w:t>项目不在场区内生产加工饲料，均购买调配好的饲料。建成后运输均使用场外饲料运输车运输饲料，入厂后进入车辆洗消中心消毒后，直接输送至料塔中。饲料输送时整个过程均处在密闭的状态下，不会产生粉尘。</w:t>
      </w:r>
    </w:p>
    <w:p>
      <w:pPr>
        <w:pStyle w:val="16"/>
        <w:spacing w:line="360" w:lineRule="auto"/>
        <w:ind w:firstLine="480"/>
        <w:rPr>
          <w:rFonts w:hint="eastAsia" w:ascii="Times New Roman" w:hAnsi="Times New Roman"/>
          <w:color w:val="auto"/>
          <w:szCs w:val="24"/>
        </w:rPr>
      </w:pPr>
      <w:r>
        <w:rPr>
          <w:rFonts w:hint="eastAsia" w:ascii="Times New Roman" w:hAnsi="Times New Roman"/>
          <w:color w:val="auto"/>
          <w:szCs w:val="24"/>
        </w:rPr>
        <w:t>进场的原材料和出场的商品猪全部采用公路运输的方式。场区内部走向在设计时将人流、物流分开，防止交叉污染，并严格限制进场的车辆。</w:t>
      </w:r>
    </w:p>
    <w:p>
      <w:pPr>
        <w:pStyle w:val="7"/>
        <w:rPr>
          <w:color w:val="auto"/>
        </w:rPr>
      </w:pPr>
      <w:bookmarkStart w:id="70" w:name="_Toc436035673"/>
      <w:bookmarkStart w:id="71" w:name="_Toc12420"/>
      <w:r>
        <w:rPr>
          <w:rFonts w:eastAsia="黑体"/>
          <w:color w:val="auto"/>
          <w:sz w:val="32"/>
        </w:rPr>
        <w:t>项目总平面布置合理性</w:t>
      </w:r>
      <w:bookmarkEnd w:id="70"/>
      <w:bookmarkEnd w:id="71"/>
    </w:p>
    <w:p>
      <w:pPr>
        <w:pStyle w:val="8"/>
        <w:tabs>
          <w:tab w:val="clear" w:pos="0"/>
        </w:tabs>
        <w:rPr>
          <w:color w:val="auto"/>
        </w:rPr>
      </w:pPr>
      <w:r>
        <w:rPr>
          <w:rFonts w:eastAsia="黑体"/>
          <w:color w:val="auto"/>
          <w:sz w:val="28"/>
          <w:szCs w:val="28"/>
        </w:rPr>
        <w:t>项目总平面布置</w:t>
      </w:r>
    </w:p>
    <w:p>
      <w:pPr>
        <w:ind w:firstLine="480"/>
        <w:rPr>
          <w:color w:val="auto"/>
        </w:rPr>
      </w:pPr>
      <w:r>
        <w:rPr>
          <w:color w:val="auto"/>
        </w:rPr>
        <w:t>本项目占地面积</w:t>
      </w:r>
      <w:r>
        <w:rPr>
          <w:rFonts w:hint="default" w:ascii="Times New Roman" w:hAnsi="Times New Roman" w:cs="Times New Roman"/>
          <w:bCs/>
          <w:color w:val="auto"/>
          <w:kern w:val="0"/>
          <w:szCs w:val="21"/>
          <w:lang w:val="en-US" w:eastAsia="zh-CN"/>
        </w:rPr>
        <w:t>38.57</w:t>
      </w:r>
      <w:r>
        <w:rPr>
          <w:rFonts w:hint="eastAsia"/>
          <w:color w:val="auto"/>
        </w:rPr>
        <w:t>亩</w:t>
      </w:r>
      <w:r>
        <w:rPr>
          <w:color w:val="auto"/>
        </w:rPr>
        <w:t>，场址位于</w:t>
      </w:r>
      <w:r>
        <w:rPr>
          <w:rFonts w:hint="eastAsia"/>
          <w:color w:val="auto"/>
        </w:rPr>
        <w:t>四川省</w:t>
      </w:r>
      <w:r>
        <w:rPr>
          <w:rFonts w:hint="eastAsia"/>
          <w:color w:val="auto"/>
          <w:lang w:eastAsia="zh-CN"/>
        </w:rPr>
        <w:t>绵阳市游仙区盐泉镇通远村（原葫芦村4社）</w:t>
      </w:r>
      <w:r>
        <w:rPr>
          <w:rFonts w:hint="eastAsia"/>
          <w:color w:val="auto"/>
        </w:rPr>
        <w:t>山上</w:t>
      </w:r>
      <w:r>
        <w:rPr>
          <w:color w:val="auto"/>
        </w:rPr>
        <w:t>，本项目按照使用功能建设三个分区：生产区、生活区、</w:t>
      </w:r>
      <w:r>
        <w:rPr>
          <w:rFonts w:hint="eastAsia"/>
          <w:color w:val="auto"/>
        </w:rPr>
        <w:t>治污区</w:t>
      </w:r>
      <w:r>
        <w:rPr>
          <w:color w:val="auto"/>
        </w:rPr>
        <w:t>（</w:t>
      </w:r>
      <w:r>
        <w:rPr>
          <w:rFonts w:hint="eastAsia"/>
          <w:color w:val="auto"/>
        </w:rPr>
        <w:t>沼气池、沼液暂存池、干粪堆场</w:t>
      </w:r>
      <w:r>
        <w:rPr>
          <w:color w:val="auto"/>
        </w:rPr>
        <w:t>）。</w:t>
      </w:r>
    </w:p>
    <w:p>
      <w:pPr>
        <w:ind w:firstLine="482"/>
        <w:rPr>
          <w:color w:val="auto"/>
        </w:rPr>
      </w:pPr>
      <w:r>
        <w:rPr>
          <w:b/>
          <w:color w:val="auto"/>
        </w:rPr>
        <w:t>1</w:t>
      </w:r>
      <w:r>
        <w:rPr>
          <w:rFonts w:hint="eastAsia"/>
          <w:b/>
          <w:color w:val="auto"/>
        </w:rPr>
        <w:t>、</w:t>
      </w:r>
      <w:r>
        <w:rPr>
          <w:b/>
          <w:color w:val="auto"/>
        </w:rPr>
        <w:t>生产区：</w:t>
      </w:r>
      <w:r>
        <w:rPr>
          <w:color w:val="auto"/>
        </w:rPr>
        <w:t>包括</w:t>
      </w:r>
      <w:r>
        <w:rPr>
          <w:rFonts w:hint="eastAsia"/>
          <w:color w:val="auto"/>
          <w:lang w:val="en-US" w:eastAsia="zh-CN"/>
        </w:rPr>
        <w:t>育肥猪舍</w:t>
      </w:r>
      <w:r>
        <w:rPr>
          <w:color w:val="auto"/>
        </w:rPr>
        <w:t>等。根据有利防疫、便于猪只饲养管理和方便转运的原则安排猪舍。</w:t>
      </w:r>
    </w:p>
    <w:p>
      <w:pPr>
        <w:ind w:firstLine="482"/>
        <w:rPr>
          <w:color w:val="auto"/>
        </w:rPr>
      </w:pPr>
      <w:r>
        <w:rPr>
          <w:b/>
          <w:color w:val="auto"/>
        </w:rPr>
        <w:t>2</w:t>
      </w:r>
      <w:r>
        <w:rPr>
          <w:rFonts w:hint="eastAsia"/>
          <w:b/>
          <w:color w:val="auto"/>
        </w:rPr>
        <w:t>、</w:t>
      </w:r>
      <w:r>
        <w:rPr>
          <w:b/>
          <w:color w:val="auto"/>
        </w:rPr>
        <w:t>生活区：</w:t>
      </w:r>
      <w:r>
        <w:rPr>
          <w:color w:val="auto"/>
        </w:rPr>
        <w:t>包括办公室、员工宿舍、食堂等，设在场址</w:t>
      </w:r>
      <w:r>
        <w:rPr>
          <w:rFonts w:hint="eastAsia"/>
          <w:color w:val="auto"/>
          <w:lang w:val="en-US" w:eastAsia="zh-CN"/>
        </w:rPr>
        <w:t>侧风</w:t>
      </w:r>
      <w:r>
        <w:rPr>
          <w:color w:val="auto"/>
        </w:rPr>
        <w:t>向，并设通道通向场外，在猪场上风向设绿化，在场界、圈舍间用绿化作为隔离林带。</w:t>
      </w:r>
    </w:p>
    <w:p>
      <w:pPr>
        <w:ind w:firstLine="482"/>
        <w:rPr>
          <w:color w:val="auto"/>
        </w:rPr>
      </w:pPr>
      <w:bookmarkStart w:id="72" w:name="_Hlk45288963"/>
      <w:r>
        <w:rPr>
          <w:b/>
          <w:color w:val="auto"/>
        </w:rPr>
        <w:t>3</w:t>
      </w:r>
      <w:r>
        <w:rPr>
          <w:rFonts w:hint="eastAsia"/>
          <w:b/>
          <w:color w:val="auto"/>
        </w:rPr>
        <w:t>、治污区</w:t>
      </w:r>
      <w:bookmarkEnd w:id="72"/>
      <w:r>
        <w:rPr>
          <w:b/>
          <w:color w:val="auto"/>
        </w:rPr>
        <w:t>：</w:t>
      </w:r>
      <w:r>
        <w:rPr>
          <w:color w:val="auto"/>
        </w:rPr>
        <w:t>包括</w:t>
      </w:r>
      <w:bookmarkStart w:id="73" w:name="_Hlk50737849"/>
      <w:r>
        <w:rPr>
          <w:rFonts w:hint="eastAsia"/>
          <w:color w:val="auto"/>
        </w:rPr>
        <w:t>沼气池、沼液暂存池</w:t>
      </w:r>
      <w:r>
        <w:rPr>
          <w:color w:val="auto"/>
        </w:rPr>
        <w:t>、</w:t>
      </w:r>
      <w:r>
        <w:rPr>
          <w:rFonts w:hint="eastAsia"/>
          <w:color w:val="auto"/>
        </w:rPr>
        <w:t>干粪堆场</w:t>
      </w:r>
      <w:bookmarkEnd w:id="73"/>
      <w:r>
        <w:rPr>
          <w:color w:val="auto"/>
        </w:rPr>
        <w:t>，均设置在猪场</w:t>
      </w:r>
      <w:r>
        <w:rPr>
          <w:rFonts w:hint="eastAsia"/>
          <w:color w:val="auto"/>
        </w:rPr>
        <w:t>地势较低的东</w:t>
      </w:r>
      <w:r>
        <w:rPr>
          <w:color w:val="auto"/>
        </w:rPr>
        <w:t>侧，远离生活管理区，与生产区分开设置。</w:t>
      </w:r>
    </w:p>
    <w:p>
      <w:pPr>
        <w:ind w:firstLine="480"/>
        <w:rPr>
          <w:color w:val="auto"/>
        </w:rPr>
      </w:pPr>
      <w:r>
        <w:rPr>
          <w:color w:val="auto"/>
        </w:rPr>
        <w:t>根据《畜禽养殖业污染防治技术规范》（HJ/T81-2001）要求：</w:t>
      </w:r>
      <w:r>
        <w:rPr>
          <w:rFonts w:hint="eastAsia"/>
          <w:color w:val="auto"/>
        </w:rPr>
        <w:t>“</w:t>
      </w:r>
      <w:r>
        <w:rPr>
          <w:color w:val="auto"/>
        </w:rPr>
        <w:t>新建、改建、扩建的畜禽养殖场应实现生产区、生活管理区的隔离，粪便污水处理设施应设在养殖场的生产区、生活管理区的常年主导风向的下风向或侧风向处</w:t>
      </w:r>
      <w:r>
        <w:rPr>
          <w:rFonts w:hint="eastAsia"/>
          <w:color w:val="auto"/>
        </w:rPr>
        <w:t>”</w:t>
      </w:r>
      <w:r>
        <w:rPr>
          <w:color w:val="auto"/>
        </w:rPr>
        <w:t>。本项目区域常年主导风向为北风，养殖区位于项目</w:t>
      </w:r>
      <w:r>
        <w:rPr>
          <w:rFonts w:hint="eastAsia"/>
          <w:color w:val="auto"/>
        </w:rPr>
        <w:t>北</w:t>
      </w:r>
      <w:r>
        <w:rPr>
          <w:color w:val="auto"/>
        </w:rPr>
        <w:t>侧，生活管理区位于项目</w:t>
      </w:r>
      <w:r>
        <w:rPr>
          <w:rFonts w:hint="eastAsia"/>
          <w:color w:val="auto"/>
        </w:rPr>
        <w:t>西侧</w:t>
      </w:r>
      <w:r>
        <w:rPr>
          <w:color w:val="auto"/>
        </w:rPr>
        <w:t>，</w:t>
      </w:r>
      <w:r>
        <w:rPr>
          <w:rFonts w:hint="eastAsia"/>
          <w:color w:val="auto"/>
        </w:rPr>
        <w:t>治污区</w:t>
      </w:r>
      <w:r>
        <w:rPr>
          <w:color w:val="auto"/>
        </w:rPr>
        <w:t>（</w:t>
      </w:r>
      <w:r>
        <w:rPr>
          <w:rFonts w:hint="eastAsia"/>
          <w:color w:val="auto"/>
        </w:rPr>
        <w:t>沼气池、沼液暂存池、干粪堆场</w:t>
      </w:r>
      <w:r>
        <w:rPr>
          <w:color w:val="auto"/>
        </w:rPr>
        <w:t>）位于养殖区</w:t>
      </w:r>
      <w:r>
        <w:rPr>
          <w:rFonts w:hint="eastAsia"/>
          <w:color w:val="auto"/>
        </w:rPr>
        <w:t>的下</w:t>
      </w:r>
      <w:r>
        <w:rPr>
          <w:color w:val="auto"/>
        </w:rPr>
        <w:t>风向</w:t>
      </w:r>
      <w:r>
        <w:rPr>
          <w:rFonts w:hint="eastAsia"/>
          <w:color w:val="auto"/>
        </w:rPr>
        <w:t>、生活区的侧方向</w:t>
      </w:r>
      <w:r>
        <w:rPr>
          <w:color w:val="auto"/>
        </w:rPr>
        <w:t>，生活区和</w:t>
      </w:r>
      <w:r>
        <w:rPr>
          <w:rFonts w:hint="eastAsia"/>
          <w:color w:val="auto"/>
        </w:rPr>
        <w:t>生产</w:t>
      </w:r>
      <w:r>
        <w:rPr>
          <w:color w:val="auto"/>
        </w:rPr>
        <w:t>区、</w:t>
      </w:r>
      <w:r>
        <w:rPr>
          <w:rFonts w:hint="eastAsia"/>
          <w:color w:val="auto"/>
        </w:rPr>
        <w:t>治污区</w:t>
      </w:r>
      <w:r>
        <w:rPr>
          <w:color w:val="auto"/>
        </w:rPr>
        <w:t>之间均保持相对独立性，相互之间有道路连通。</w:t>
      </w:r>
    </w:p>
    <w:p>
      <w:pPr>
        <w:pStyle w:val="8"/>
        <w:tabs>
          <w:tab w:val="clear" w:pos="0"/>
        </w:tabs>
        <w:rPr>
          <w:color w:val="auto"/>
        </w:rPr>
      </w:pPr>
      <w:r>
        <w:rPr>
          <w:rFonts w:eastAsia="黑体"/>
          <w:color w:val="auto"/>
          <w:sz w:val="28"/>
          <w:szCs w:val="28"/>
        </w:rPr>
        <w:t>项目平面布置合理性分析</w:t>
      </w:r>
    </w:p>
    <w:p>
      <w:pPr>
        <w:pStyle w:val="16"/>
        <w:spacing w:line="440" w:lineRule="exact"/>
        <w:ind w:firstLine="480"/>
        <w:rPr>
          <w:rFonts w:ascii="Times New Roman" w:hAnsi="Times New Roman"/>
          <w:color w:val="auto"/>
        </w:rPr>
      </w:pPr>
      <w:r>
        <w:rPr>
          <w:rFonts w:ascii="Times New Roman" w:hAnsi="Times New Roman"/>
          <w:color w:val="auto"/>
        </w:rPr>
        <w:t>1、本场所在地区主导风向为北风，本场在平面布置上，治污区（沼气池、沼液暂存池、干粪堆场、病死猪无害化处理车间）位于养殖区的下风向、生活区的侧方向。符合《畜禽养殖业污染防治技术规范》（HJ/T81-2001）厂内布局的要求。</w:t>
      </w:r>
    </w:p>
    <w:p>
      <w:pPr>
        <w:pStyle w:val="16"/>
        <w:spacing w:line="440" w:lineRule="exact"/>
        <w:ind w:firstLine="480"/>
        <w:rPr>
          <w:rFonts w:ascii="Times New Roman" w:hAnsi="Times New Roman"/>
          <w:color w:val="auto"/>
        </w:rPr>
      </w:pPr>
      <w:r>
        <w:rPr>
          <w:rFonts w:ascii="Times New Roman" w:hAnsi="Times New Roman"/>
          <w:color w:val="auto"/>
        </w:rPr>
        <w:t>2、项目干粪堆场远离具有水功能区划的地表水、居民区，</w:t>
      </w:r>
      <w:r>
        <w:rPr>
          <w:rFonts w:hint="eastAsia" w:ascii="Times New Roman" w:hAnsi="Times New Roman"/>
          <w:color w:val="auto"/>
        </w:rPr>
        <w:t>干粪堆场</w:t>
      </w:r>
      <w:r>
        <w:rPr>
          <w:rFonts w:ascii="Times New Roman" w:hAnsi="Times New Roman"/>
          <w:color w:val="auto"/>
        </w:rPr>
        <w:t>和办公生活区单独设置，位于厂内南侧，处于主导风向的下风向，可减少对宿舍区的影响。</w:t>
      </w:r>
    </w:p>
    <w:p>
      <w:pPr>
        <w:pStyle w:val="16"/>
        <w:spacing w:line="440" w:lineRule="exact"/>
        <w:ind w:firstLine="480"/>
        <w:rPr>
          <w:rFonts w:ascii="Times New Roman" w:hAnsi="Times New Roman"/>
          <w:color w:val="auto"/>
        </w:rPr>
      </w:pPr>
      <w:r>
        <w:rPr>
          <w:rFonts w:ascii="Times New Roman" w:hAnsi="Times New Roman"/>
          <w:color w:val="auto"/>
        </w:rPr>
        <w:t>3、项目用地红线边界500m范围内没有城镇居民区；项目场界周边500m范围内区域不属于禁建区域。符合《畜禽养殖业污染防治技术规范》（HJ/T81-2001）选址要求中与禁建区距离不得低于500m要求。</w:t>
      </w:r>
    </w:p>
    <w:p>
      <w:pPr>
        <w:pStyle w:val="16"/>
        <w:spacing w:line="440" w:lineRule="exact"/>
        <w:ind w:firstLine="480"/>
        <w:rPr>
          <w:rFonts w:ascii="Times New Roman" w:hAnsi="Times New Roman"/>
          <w:color w:val="auto"/>
        </w:rPr>
      </w:pPr>
      <w:r>
        <w:rPr>
          <w:rFonts w:ascii="Times New Roman" w:hAnsi="Times New Roman"/>
          <w:color w:val="auto"/>
        </w:rPr>
        <w:t>4</w:t>
      </w:r>
      <w:r>
        <w:rPr>
          <w:rFonts w:hint="eastAsia" w:ascii="Times New Roman" w:hAnsi="Times New Roman"/>
          <w:color w:val="auto"/>
        </w:rPr>
        <w:t>、</w:t>
      </w:r>
      <w:r>
        <w:rPr>
          <w:rFonts w:ascii="Times New Roman" w:hAnsi="Times New Roman"/>
          <w:color w:val="auto"/>
        </w:rPr>
        <w:t>本项目猪舍、</w:t>
      </w:r>
      <w:r>
        <w:rPr>
          <w:rFonts w:hint="eastAsia" w:ascii="Times New Roman" w:hAnsi="Times New Roman"/>
          <w:color w:val="auto"/>
          <w:lang w:eastAsia="zh-CN"/>
        </w:rPr>
        <w:t>沼液暂存池</w:t>
      </w:r>
      <w:r>
        <w:rPr>
          <w:rFonts w:ascii="Times New Roman" w:hAnsi="Times New Roman"/>
          <w:color w:val="auto"/>
        </w:rPr>
        <w:t>、黑膜沼气池、</w:t>
      </w:r>
      <w:r>
        <w:rPr>
          <w:rFonts w:hint="eastAsia" w:ascii="Times New Roman" w:hAnsi="Times New Roman"/>
          <w:color w:val="auto"/>
        </w:rPr>
        <w:t>干粪堆场</w:t>
      </w:r>
      <w:r>
        <w:rPr>
          <w:rFonts w:ascii="Times New Roman" w:hAnsi="Times New Roman"/>
          <w:color w:val="auto"/>
        </w:rPr>
        <w:t>周围设置</w:t>
      </w:r>
      <w:r>
        <w:rPr>
          <w:rFonts w:hint="eastAsia" w:ascii="Times New Roman" w:hAnsi="Times New Roman"/>
          <w:color w:val="auto"/>
          <w:lang w:val="en-US" w:eastAsia="zh-CN"/>
        </w:rPr>
        <w:t>1</w:t>
      </w:r>
      <w:r>
        <w:rPr>
          <w:rFonts w:ascii="Times New Roman" w:hAnsi="Times New Roman"/>
          <w:color w:val="auto"/>
        </w:rPr>
        <w:t>00m卫生防护距离，本项目卫生防护距离内没有居民等环境保护目标。</w:t>
      </w:r>
    </w:p>
    <w:p>
      <w:pPr>
        <w:pStyle w:val="16"/>
        <w:spacing w:line="440" w:lineRule="exact"/>
        <w:ind w:firstLine="480"/>
        <w:rPr>
          <w:rFonts w:ascii="Times New Roman" w:hAnsi="Times New Roman"/>
          <w:color w:val="auto"/>
        </w:rPr>
      </w:pPr>
      <w:r>
        <w:rPr>
          <w:rFonts w:hint="eastAsia" w:ascii="宋体" w:hAnsi="宋体" w:cs="宋体"/>
          <w:color w:val="auto"/>
        </w:rPr>
        <w:t>因此本项目厂内功能布局符合相关规范要求。</w:t>
      </w:r>
    </w:p>
    <w:p>
      <w:pPr>
        <w:pStyle w:val="16"/>
        <w:spacing w:line="440" w:lineRule="exact"/>
        <w:ind w:firstLine="480"/>
        <w:rPr>
          <w:rFonts w:ascii="Times New Roman" w:hAnsi="Times New Roman"/>
          <w:color w:val="auto"/>
        </w:rPr>
      </w:pPr>
      <w:r>
        <w:rPr>
          <w:rFonts w:ascii="Times New Roman" w:hAnsi="Times New Roman"/>
          <w:color w:val="auto"/>
        </w:rPr>
        <w:t>同时，根据工艺流程安排，污水预处理区紧邻圈舍设置，便于实现</w:t>
      </w:r>
      <w:r>
        <w:rPr>
          <w:rFonts w:hint="eastAsia" w:ascii="Times New Roman" w:hAnsi="Times New Roman"/>
          <w:color w:val="auto"/>
        </w:rPr>
        <w:t>“</w:t>
      </w:r>
      <w:r>
        <w:rPr>
          <w:rFonts w:ascii="Times New Roman" w:hAnsi="Times New Roman"/>
          <w:color w:val="auto"/>
        </w:rPr>
        <w:t>即产、即清</w:t>
      </w:r>
      <w:r>
        <w:rPr>
          <w:rFonts w:hint="eastAsia" w:ascii="Times New Roman" w:hAnsi="Times New Roman"/>
          <w:color w:val="auto"/>
        </w:rPr>
        <w:t>”</w:t>
      </w:r>
      <w:r>
        <w:rPr>
          <w:rFonts w:ascii="Times New Roman" w:hAnsi="Times New Roman"/>
          <w:color w:val="auto"/>
        </w:rPr>
        <w:t>，可减少粪污沿途运输造成的水体和土壤污染、降低因固液分离后干粪运输距离长而产生的恶臭污染、减少环境风险，使设备运行稳定、维修方便、经济合理。</w:t>
      </w:r>
      <w:r>
        <w:rPr>
          <w:rFonts w:hint="eastAsia" w:ascii="Times New Roman" w:hAnsi="Times New Roman"/>
          <w:color w:val="auto"/>
        </w:rPr>
        <w:t>防疫室</w:t>
      </w:r>
      <w:r>
        <w:rPr>
          <w:rFonts w:ascii="Times New Roman" w:hAnsi="Times New Roman"/>
          <w:color w:val="auto"/>
        </w:rPr>
        <w:t>临近繁殖舍圈舍，便于猪只发生病情时及时就诊，节省时间、人力，减少沿途运输污染；危险废物暂存间紧邻</w:t>
      </w:r>
      <w:r>
        <w:rPr>
          <w:rFonts w:hint="eastAsia" w:ascii="Times New Roman" w:hAnsi="Times New Roman"/>
          <w:color w:val="auto"/>
        </w:rPr>
        <w:t>防疫室</w:t>
      </w:r>
      <w:r>
        <w:rPr>
          <w:rFonts w:ascii="Times New Roman" w:hAnsi="Times New Roman"/>
          <w:color w:val="auto"/>
        </w:rPr>
        <w:t>，便于兽药等危险废物的收集、暂存；</w:t>
      </w:r>
      <w:r>
        <w:rPr>
          <w:rFonts w:hint="eastAsia" w:ascii="Times New Roman" w:hAnsi="Times New Roman"/>
          <w:color w:val="auto"/>
        </w:rPr>
        <w:t>消毒中心</w:t>
      </w:r>
      <w:r>
        <w:rPr>
          <w:rFonts w:ascii="Times New Roman" w:hAnsi="Times New Roman"/>
          <w:color w:val="auto"/>
        </w:rPr>
        <w:t>位于厂区入口处，便于车辆、人员进入时进行消毒，避免带入病菌。</w:t>
      </w:r>
    </w:p>
    <w:p>
      <w:pPr>
        <w:pStyle w:val="16"/>
        <w:spacing w:line="440" w:lineRule="exact"/>
        <w:ind w:firstLine="480"/>
        <w:rPr>
          <w:rFonts w:ascii="Times New Roman" w:hAnsi="Times New Roman"/>
          <w:color w:val="auto"/>
        </w:rPr>
      </w:pPr>
      <w:r>
        <w:rPr>
          <w:rFonts w:ascii="Times New Roman" w:hAnsi="Times New Roman"/>
          <w:color w:val="auto"/>
        </w:rPr>
        <w:t>整个厂区布置根据现代养猪生产工艺流程技术要求，进行了合理规划布局，设计足够的车间数、单元数、圈栏数，配备必要的设备设施。圈舍猪只净道和污道分开，减少不必要的交叉，切断疫病的传播途径。在猪舍周围、道路两边和猪舍之间栽种树木，种植花草，有利于减少冬季寒风袭击和夏季阳光照射，净化空气，绿化环境。做到排污固液分流，雨污分离，减少粪污处理量和对周围环境的影响。此外，项目独立设置赶猪道、运输道路，交通方便。</w:t>
      </w:r>
    </w:p>
    <w:p>
      <w:pPr>
        <w:pStyle w:val="16"/>
        <w:spacing w:line="440" w:lineRule="exact"/>
        <w:ind w:firstLine="480"/>
        <w:rPr>
          <w:rFonts w:ascii="Times New Roman" w:hAnsi="Times New Roman"/>
          <w:color w:val="auto"/>
        </w:rPr>
      </w:pPr>
      <w:r>
        <w:rPr>
          <w:rFonts w:ascii="Times New Roman" w:hAnsi="Times New Roman"/>
          <w:color w:val="auto"/>
        </w:rPr>
        <w:t>综上所述，本项目整个厂区的平面布置是根据生产工艺流程及其产生的污染物对周围环境的影响来设计的。总体而言，项目厂区功能分区明确、物流通畅、方便生产及管理、对外环境无明显影响，从环境保护角度分析其总平面布局基本合理。</w:t>
      </w:r>
    </w:p>
    <w:p>
      <w:pPr>
        <w:pStyle w:val="7"/>
        <w:numPr>
          <w:ilvl w:val="1"/>
          <w:numId w:val="0"/>
        </w:numPr>
        <w:spacing w:line="360" w:lineRule="auto"/>
        <w:ind w:leftChars="0"/>
        <w:rPr>
          <w:rFonts w:hint="eastAsia" w:eastAsia="黑体"/>
          <w:b/>
          <w:bCs/>
          <w:color w:val="auto"/>
          <w:sz w:val="32"/>
          <w:lang w:val="en-US" w:eastAsia="zh-CN"/>
        </w:rPr>
      </w:pPr>
      <w:bookmarkStart w:id="74" w:name="_Toc25197"/>
      <w:r>
        <w:rPr>
          <w:rFonts w:hint="eastAsia" w:eastAsia="黑体"/>
          <w:b/>
          <w:bCs/>
          <w:color w:val="auto"/>
          <w:sz w:val="32"/>
          <w:lang w:val="en-US" w:eastAsia="zh-CN"/>
        </w:rPr>
        <w:t>3.4现有工程回顾性分析</w:t>
      </w:r>
      <w:bookmarkEnd w:id="74"/>
    </w:p>
    <w:p>
      <w:pPr>
        <w:pStyle w:val="16"/>
        <w:spacing w:line="440" w:lineRule="exact"/>
        <w:ind w:left="0" w:leftChars="0" w:firstLine="0" w:firstLineChars="0"/>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3.4.1现状概况</w:t>
      </w:r>
    </w:p>
    <w:p>
      <w:pPr>
        <w:pStyle w:val="16"/>
        <w:spacing w:line="440" w:lineRule="exact"/>
        <w:ind w:left="0" w:leftChars="0" w:firstLine="480" w:firstLineChars="200"/>
        <w:rPr>
          <w:rFonts w:hint="eastAsia"/>
          <w:color w:val="auto"/>
          <w:lang w:val="en-US" w:eastAsia="zh-CN"/>
        </w:rPr>
      </w:pPr>
      <w:r>
        <w:rPr>
          <w:rFonts w:hint="eastAsia"/>
          <w:color w:val="auto"/>
          <w:lang w:eastAsia="zh-CN"/>
        </w:rPr>
        <w:t>绵阳市硕牧云康畜牧养殖有限责任公司选址于</w:t>
      </w:r>
      <w:r>
        <w:rPr>
          <w:rFonts w:hint="eastAsia"/>
          <w:color w:val="auto"/>
          <w:lang w:val="en-US" w:eastAsia="zh-CN"/>
        </w:rPr>
        <w:t>绵阳市游仙区盐泉镇通远村，计划开展生猪养殖场，企业已于2020年2月4日完成环境影响登记表备案，备案号：202051070400000034。备案建设内容为：300头母猪养殖场及3000头育肥猪。企业在取得登记表后，于2020年7月开工建设，目前已建成猪舍4栋及部分辅助设施，尚未投产。现有工程环保相关手续办理情况如下：</w:t>
      </w:r>
    </w:p>
    <w:p>
      <w:pPr>
        <w:pStyle w:val="16"/>
        <w:spacing w:line="440" w:lineRule="exact"/>
        <w:ind w:left="0" w:leftChars="0" w:firstLine="422" w:firstLineChars="200"/>
        <w:jc w:val="center"/>
        <w:rPr>
          <w:rFonts w:hint="eastAsia" w:ascii="宋体" w:hAnsi="宋体" w:eastAsia="宋体" w:cs="宋体"/>
          <w:b/>
          <w:bCs/>
          <w:color w:val="auto"/>
          <w:sz w:val="21"/>
          <w:szCs w:val="16"/>
          <w:lang w:val="en-US" w:eastAsia="zh-CN"/>
        </w:rPr>
      </w:pPr>
      <w:r>
        <w:rPr>
          <w:rFonts w:hint="eastAsia" w:ascii="宋体" w:hAnsi="宋体" w:eastAsia="宋体" w:cs="宋体"/>
          <w:b/>
          <w:bCs/>
          <w:color w:val="auto"/>
          <w:sz w:val="21"/>
          <w:szCs w:val="16"/>
          <w:lang w:val="en-US" w:eastAsia="zh-CN"/>
        </w:rPr>
        <w:t xml:space="preserve">表 </w:t>
      </w:r>
      <w:r>
        <w:rPr>
          <w:rFonts w:hint="eastAsia" w:ascii="Times New Roman" w:hAnsi="Times New Roman" w:eastAsia="宋体" w:cs="Times New Roman"/>
          <w:b/>
          <w:color w:val="auto"/>
          <w:kern w:val="2"/>
          <w:sz w:val="21"/>
          <w:szCs w:val="24"/>
          <w:lang w:val="en-US" w:eastAsia="zh-CN" w:bidi="ar-SA"/>
        </w:rPr>
        <w:t xml:space="preserve">3.4-1 </w:t>
      </w:r>
      <w:r>
        <w:rPr>
          <w:rFonts w:hint="eastAsia" w:ascii="宋体" w:hAnsi="宋体" w:eastAsia="宋体" w:cs="宋体"/>
          <w:b/>
          <w:bCs/>
          <w:color w:val="auto"/>
          <w:sz w:val="21"/>
          <w:szCs w:val="16"/>
          <w:lang w:val="en-US" w:eastAsia="zh-CN"/>
        </w:rPr>
        <w:t>现有工程环保手续情况一览表</w:t>
      </w:r>
    </w:p>
    <w:tbl>
      <w:tblPr>
        <w:tblStyle w:val="5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left w:w="108" w:type="dxa"/>
          <w:right w:w="108" w:type="dxa"/>
        </w:tblCellMar>
      </w:tblPr>
      <w:tblGrid>
        <w:gridCol w:w="1369"/>
        <w:gridCol w:w="1394"/>
        <w:gridCol w:w="2106"/>
        <w:gridCol w:w="1395"/>
        <w:gridCol w:w="1369"/>
        <w:gridCol w:w="13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项目名称 </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产能</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环评批复情况</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建设情况</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验收情况 </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生产现状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rPr>
          <w:trHeight w:val="155" w:hRule="atLeast"/>
        </w:trPr>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绵阳市硕牧云康畜牧养殖有限责任公司畜禽粪污资源化利用项目</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常年存栏母猪300头，年出栏育肥猪3000头</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备案号：202051070400000034</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已建成猪舍4栋及污水处理系统、蓄水池等部分辅助设施</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w:t>
            </w:r>
          </w:p>
        </w:tc>
        <w:tc>
          <w:tcPr>
            <w:tcW w:w="1501"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未投产</w:t>
            </w:r>
          </w:p>
        </w:tc>
      </w:tr>
    </w:tbl>
    <w:p>
      <w:pPr>
        <w:pStyle w:val="16"/>
        <w:spacing w:line="440" w:lineRule="exact"/>
        <w:ind w:left="0" w:leftChars="0" w:firstLine="482" w:firstLineChars="200"/>
        <w:jc w:val="left"/>
        <w:rPr>
          <w:rFonts w:hint="eastAsia" w:ascii="宋体" w:hAnsi="宋体" w:eastAsia="宋体" w:cs="宋体"/>
          <w:b/>
          <w:bCs/>
          <w:color w:val="auto"/>
          <w:sz w:val="24"/>
          <w:szCs w:val="20"/>
          <w:lang w:val="en-US" w:eastAsia="zh-CN"/>
        </w:rPr>
      </w:pPr>
      <w:r>
        <w:rPr>
          <w:rFonts w:hint="eastAsia" w:ascii="宋体" w:hAnsi="宋体" w:eastAsia="宋体" w:cs="宋体"/>
          <w:b/>
          <w:bCs/>
          <w:color w:val="auto"/>
          <w:sz w:val="24"/>
          <w:szCs w:val="20"/>
          <w:lang w:val="en-US" w:eastAsia="zh-CN"/>
        </w:rPr>
        <w:t>现有工程生产规模及产品方案如下：</w:t>
      </w:r>
    </w:p>
    <w:p>
      <w:pPr>
        <w:pStyle w:val="16"/>
        <w:spacing w:line="440" w:lineRule="exact"/>
        <w:ind w:left="0" w:leftChars="0" w:firstLine="422" w:firstLineChars="200"/>
        <w:jc w:val="center"/>
        <w:rPr>
          <w:rFonts w:hint="eastAsia" w:ascii="宋体" w:hAnsi="宋体" w:eastAsia="宋体" w:cs="宋体"/>
          <w:b/>
          <w:bCs/>
          <w:color w:val="auto"/>
          <w:sz w:val="21"/>
          <w:szCs w:val="16"/>
          <w:lang w:val="en-US" w:eastAsia="zh-CN"/>
        </w:rPr>
      </w:pPr>
      <w:r>
        <w:rPr>
          <w:rFonts w:hint="eastAsia" w:ascii="宋体" w:hAnsi="宋体" w:eastAsia="宋体" w:cs="宋体"/>
          <w:b/>
          <w:bCs/>
          <w:color w:val="auto"/>
          <w:sz w:val="21"/>
          <w:szCs w:val="16"/>
          <w:lang w:val="en-US" w:eastAsia="zh-CN"/>
        </w:rPr>
        <w:t>表</w:t>
      </w:r>
      <w:r>
        <w:rPr>
          <w:rFonts w:hint="eastAsia" w:ascii="Times New Roman" w:hAnsi="Times New Roman" w:eastAsia="宋体" w:cs="Times New Roman"/>
          <w:b/>
          <w:color w:val="auto"/>
          <w:kern w:val="2"/>
          <w:sz w:val="21"/>
          <w:szCs w:val="24"/>
          <w:lang w:val="en-US" w:eastAsia="zh-CN" w:bidi="ar-SA"/>
        </w:rPr>
        <w:t>3.4-2</w:t>
      </w:r>
      <w:r>
        <w:rPr>
          <w:rFonts w:hint="eastAsia" w:ascii="宋体" w:hAnsi="宋体" w:eastAsia="宋体" w:cs="宋体"/>
          <w:b/>
          <w:bCs/>
          <w:color w:val="auto"/>
          <w:sz w:val="21"/>
          <w:szCs w:val="16"/>
          <w:lang w:val="en-US" w:eastAsia="zh-CN"/>
        </w:rPr>
        <w:t xml:space="preserve"> 现有工程生产规模一览表</w:t>
      </w:r>
    </w:p>
    <w:tbl>
      <w:tblPr>
        <w:tblStyle w:val="5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left w:w="108" w:type="dxa"/>
          <w:right w:w="108" w:type="dxa"/>
        </w:tblCellMar>
      </w:tblPr>
      <w:tblGrid>
        <w:gridCol w:w="886"/>
        <w:gridCol w:w="1585"/>
        <w:gridCol w:w="1500"/>
        <w:gridCol w:w="1830"/>
        <w:gridCol w:w="1725"/>
        <w:gridCol w:w="14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2471" w:type="dxa"/>
            <w:gridSpan w:val="2"/>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品种 </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年存栏量（头） </w:t>
            </w:r>
          </w:p>
        </w:tc>
        <w:tc>
          <w:tcPr>
            <w:tcW w:w="183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年出栏量（头） </w:t>
            </w:r>
          </w:p>
        </w:tc>
        <w:tc>
          <w:tcPr>
            <w:tcW w:w="1725"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折算成年猪（头）</w:t>
            </w:r>
          </w:p>
        </w:tc>
        <w:tc>
          <w:tcPr>
            <w:tcW w:w="1477"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养殖时间(d）</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2471" w:type="dxa"/>
            <w:gridSpan w:val="2"/>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生产母猪 （含后备母猪）</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300</w:t>
            </w:r>
          </w:p>
        </w:tc>
        <w:tc>
          <w:tcPr>
            <w:tcW w:w="183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w:t>
            </w:r>
          </w:p>
        </w:tc>
        <w:tc>
          <w:tcPr>
            <w:tcW w:w="1725"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300</w:t>
            </w:r>
          </w:p>
        </w:tc>
        <w:tc>
          <w:tcPr>
            <w:tcW w:w="1477"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886"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商品猪</w:t>
            </w:r>
          </w:p>
        </w:tc>
        <w:tc>
          <w:tcPr>
            <w:tcW w:w="1585"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 xml:space="preserve">育成猪 </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1500</w:t>
            </w:r>
          </w:p>
        </w:tc>
        <w:tc>
          <w:tcPr>
            <w:tcW w:w="183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3000</w:t>
            </w:r>
          </w:p>
        </w:tc>
        <w:tc>
          <w:tcPr>
            <w:tcW w:w="1725"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3000</w:t>
            </w:r>
          </w:p>
        </w:tc>
        <w:tc>
          <w:tcPr>
            <w:tcW w:w="1477"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180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471" w:type="dxa"/>
            <w:gridSpan w:val="2"/>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合计</w:t>
            </w:r>
          </w:p>
        </w:tc>
        <w:tc>
          <w:tcPr>
            <w:tcW w:w="150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1800</w:t>
            </w:r>
          </w:p>
        </w:tc>
        <w:tc>
          <w:tcPr>
            <w:tcW w:w="1830"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3000</w:t>
            </w:r>
          </w:p>
        </w:tc>
        <w:tc>
          <w:tcPr>
            <w:tcW w:w="1725"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3300</w:t>
            </w:r>
          </w:p>
        </w:tc>
        <w:tc>
          <w:tcPr>
            <w:tcW w:w="1477" w:type="dxa"/>
            <w:noWrap w:val="0"/>
            <w:vAlign w:val="top"/>
          </w:tcPr>
          <w:p>
            <w:pPr>
              <w:pStyle w:val="16"/>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宋体" w:hAnsi="宋体" w:eastAsia="宋体" w:cs="宋体"/>
                <w:b w:val="0"/>
                <w:bCs w:val="0"/>
                <w:color w:val="auto"/>
                <w:sz w:val="21"/>
                <w:szCs w:val="16"/>
                <w:vertAlign w:val="baseline"/>
                <w:lang w:val="en-US" w:eastAsia="zh-CN"/>
              </w:rPr>
            </w:pPr>
            <w:r>
              <w:rPr>
                <w:rFonts w:hint="eastAsia" w:ascii="宋体" w:hAnsi="宋体" w:eastAsia="宋体" w:cs="宋体"/>
                <w:b w:val="0"/>
                <w:bCs w:val="0"/>
                <w:color w:val="auto"/>
                <w:sz w:val="21"/>
                <w:szCs w:val="16"/>
                <w:vertAlign w:val="baseline"/>
                <w:lang w:val="en-US" w:eastAsia="zh-CN"/>
              </w:rPr>
              <w:t>/</w:t>
            </w:r>
          </w:p>
        </w:tc>
      </w:tr>
    </w:tbl>
    <w:p>
      <w:pPr>
        <w:pStyle w:val="16"/>
        <w:spacing w:line="440" w:lineRule="exact"/>
        <w:ind w:left="0" w:leftChars="0" w:firstLine="0" w:firstLineChars="0"/>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3.4.2现厂组成</w:t>
      </w:r>
    </w:p>
    <w:p>
      <w:pPr>
        <w:pStyle w:val="16"/>
        <w:spacing w:line="440" w:lineRule="exact"/>
        <w:ind w:left="0" w:leftChars="0" w:firstLine="480" w:firstLineChars="200"/>
        <w:rPr>
          <w:rFonts w:hint="eastAsia" w:ascii="黑体" w:hAnsi="黑体" w:eastAsia="黑体" w:cs="黑体"/>
          <w:b/>
          <w:bCs/>
          <w:color w:val="auto"/>
          <w:sz w:val="28"/>
          <w:szCs w:val="28"/>
          <w:lang w:val="en-US" w:eastAsia="zh-CN"/>
        </w:rPr>
      </w:pPr>
      <w:r>
        <w:rPr>
          <w:rFonts w:hint="eastAsia"/>
          <w:color w:val="auto"/>
          <w:lang w:val="en-US" w:eastAsia="zh-CN"/>
        </w:rPr>
        <w:t>目前已建成猪舍4栋及部分辅助设施。</w:t>
      </w:r>
    </w:p>
    <w:p>
      <w:pPr>
        <w:pStyle w:val="16"/>
        <w:spacing w:line="440" w:lineRule="exact"/>
        <w:ind w:left="0" w:leftChars="0" w:firstLine="0" w:firstLineChars="0"/>
        <w:jc w:val="center"/>
        <w:rPr>
          <w:rFonts w:hint="eastAsia" w:ascii="宋体" w:hAnsi="宋体" w:eastAsia="宋体" w:cs="宋体"/>
          <w:b/>
          <w:bCs/>
          <w:color w:val="auto"/>
          <w:sz w:val="22"/>
          <w:szCs w:val="22"/>
          <w:lang w:val="en-US" w:eastAsia="zh-CN"/>
        </w:rPr>
      </w:pPr>
      <w:r>
        <w:rPr>
          <w:rFonts w:hint="eastAsia" w:ascii="宋体" w:hAnsi="宋体" w:eastAsia="宋体" w:cs="宋体"/>
          <w:b/>
          <w:bCs/>
          <w:color w:val="auto"/>
          <w:sz w:val="22"/>
          <w:szCs w:val="22"/>
          <w:lang w:val="en-US" w:eastAsia="zh-CN"/>
        </w:rPr>
        <w:t>表</w:t>
      </w:r>
      <w:r>
        <w:rPr>
          <w:rFonts w:hint="eastAsia" w:ascii="Times New Roman" w:hAnsi="Times New Roman" w:eastAsia="宋体" w:cs="Times New Roman"/>
          <w:b/>
          <w:color w:val="auto"/>
          <w:kern w:val="2"/>
          <w:sz w:val="21"/>
          <w:szCs w:val="24"/>
          <w:lang w:val="en-US" w:eastAsia="zh-CN" w:bidi="ar-SA"/>
        </w:rPr>
        <w:t>3.4-3</w:t>
      </w:r>
      <w:r>
        <w:rPr>
          <w:rFonts w:hint="eastAsia" w:ascii="宋体" w:hAnsi="宋体" w:eastAsia="宋体" w:cs="宋体"/>
          <w:b/>
          <w:bCs/>
          <w:color w:val="auto"/>
          <w:sz w:val="22"/>
          <w:szCs w:val="22"/>
          <w:lang w:val="en-US" w:eastAsia="zh-CN"/>
        </w:rPr>
        <w:t xml:space="preserve"> 现有工程组成一览表</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766"/>
        <w:gridCol w:w="972"/>
        <w:gridCol w:w="4033"/>
        <w:gridCol w:w="1024"/>
        <w:gridCol w:w="990"/>
        <w:gridCol w:w="11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976" w:type="pct"/>
            <w:gridSpan w:val="2"/>
            <w:vMerge w:val="restart"/>
            <w:tcBorders>
              <w:top w:val="single" w:color="auto" w:sz="1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项目组成</w:t>
            </w:r>
          </w:p>
        </w:tc>
        <w:tc>
          <w:tcPr>
            <w:tcW w:w="2266" w:type="pct"/>
            <w:vMerge w:val="restart"/>
            <w:tcBorders>
              <w:top w:val="single" w:color="auto" w:sz="12" w:space="0"/>
              <w:left w:val="single" w:color="auto" w:sz="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主要建设内容</w:t>
            </w:r>
          </w:p>
        </w:tc>
        <w:tc>
          <w:tcPr>
            <w:tcW w:w="1131" w:type="pct"/>
            <w:gridSpan w:val="2"/>
            <w:tcBorders>
              <w:top w:val="single" w:color="auto" w:sz="12"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主要环境问题</w:t>
            </w:r>
          </w:p>
        </w:tc>
        <w:tc>
          <w:tcPr>
            <w:tcW w:w="624" w:type="pct"/>
            <w:vMerge w:val="restart"/>
            <w:tcBorders>
              <w:top w:val="single" w:color="auto" w:sz="12"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b/>
                <w:color w:val="auto"/>
                <w:sz w:val="21"/>
                <w:szCs w:val="21"/>
                <w:lang w:val="en-US" w:eastAsia="zh-CN"/>
              </w:rPr>
            </w:pPr>
            <w:r>
              <w:rPr>
                <w:rFonts w:hint="eastAsia"/>
                <w:b/>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976" w:type="pct"/>
            <w:gridSpan w:val="2"/>
            <w:vMerge w:val="continue"/>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eastAsia="黑体"/>
                <w:color w:val="auto"/>
                <w:sz w:val="21"/>
                <w:szCs w:val="21"/>
              </w:rPr>
            </w:pPr>
          </w:p>
        </w:tc>
        <w:tc>
          <w:tcPr>
            <w:tcW w:w="2266" w:type="pct"/>
            <w:vMerge w:val="continue"/>
            <w:tcBorders>
              <w:left w:val="single" w:color="auto" w:sz="2"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eastAsia="黑体"/>
                <w:color w:val="auto"/>
                <w:sz w:val="21"/>
                <w:szCs w:val="21"/>
              </w:rPr>
            </w:pPr>
          </w:p>
        </w:tc>
        <w:tc>
          <w:tcPr>
            <w:tcW w:w="575" w:type="pct"/>
            <w:tcBorders>
              <w:left w:val="single" w:color="auto" w:sz="2" w:space="0"/>
              <w:bottom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施工期</w:t>
            </w: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r>
              <w:rPr>
                <w:b/>
                <w:color w:val="auto"/>
                <w:sz w:val="21"/>
                <w:szCs w:val="21"/>
              </w:rPr>
              <w:t>营运期</w:t>
            </w:r>
          </w:p>
        </w:tc>
        <w:tc>
          <w:tcPr>
            <w:tcW w:w="624"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主体</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lang w:val="en-US" w:eastAsia="zh-CN"/>
              </w:rPr>
              <w:t>猪</w:t>
            </w:r>
            <w:r>
              <w:rPr>
                <w:color w:val="auto"/>
                <w:sz w:val="21"/>
                <w:szCs w:val="21"/>
              </w:rPr>
              <w:t>舍</w:t>
            </w:r>
          </w:p>
        </w:tc>
        <w:tc>
          <w:tcPr>
            <w:tcW w:w="2266" w:type="pct"/>
            <w:tcBorders>
              <w:left w:val="single" w:color="auto" w:sz="2" w:space="0"/>
              <w:bottom w:val="single" w:color="auto" w:sz="4"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共设</w:t>
            </w:r>
            <w:r>
              <w:rPr>
                <w:rFonts w:hint="eastAsia"/>
                <w:color w:val="auto"/>
                <w:sz w:val="21"/>
                <w:szCs w:val="21"/>
                <w:lang w:val="en-US" w:eastAsia="zh-CN"/>
              </w:rPr>
              <w:t>4</w:t>
            </w:r>
            <w:r>
              <w:rPr>
                <w:rFonts w:hint="eastAsia"/>
                <w:color w:val="auto"/>
                <w:sz w:val="21"/>
                <w:szCs w:val="21"/>
              </w:rPr>
              <w:t>栋</w:t>
            </w:r>
            <w:r>
              <w:rPr>
                <w:rFonts w:hint="eastAsia"/>
                <w:color w:val="auto"/>
                <w:sz w:val="21"/>
                <w:szCs w:val="21"/>
                <w:lang w:eastAsia="zh-CN"/>
              </w:rPr>
              <w:t>（</w:t>
            </w:r>
            <w:r>
              <w:rPr>
                <w:rFonts w:hint="eastAsia"/>
                <w:color w:val="auto"/>
                <w:sz w:val="21"/>
                <w:szCs w:val="21"/>
                <w:lang w:val="en-US" w:eastAsia="zh-CN"/>
              </w:rPr>
              <w:t>编号1#-6#</w:t>
            </w:r>
            <w:r>
              <w:rPr>
                <w:rFonts w:hint="eastAsia"/>
                <w:color w:val="auto"/>
                <w:sz w:val="21"/>
                <w:szCs w:val="21"/>
                <w:lang w:eastAsia="zh-CN"/>
              </w:rPr>
              <w:t>）</w:t>
            </w:r>
            <w:r>
              <w:rPr>
                <w:rFonts w:hint="eastAsia"/>
                <w:color w:val="auto"/>
                <w:sz w:val="21"/>
                <w:szCs w:val="21"/>
              </w:rPr>
              <w:t>，采用砖混+钢结构，每栋猪舍规格为</w:t>
            </w:r>
            <w:r>
              <w:rPr>
                <w:rFonts w:hint="eastAsia"/>
                <w:color w:val="auto"/>
                <w:sz w:val="21"/>
                <w:szCs w:val="21"/>
                <w:lang w:val="en-US" w:eastAsia="zh-CN"/>
              </w:rPr>
              <w:t>68.5</w:t>
            </w:r>
            <w:r>
              <w:rPr>
                <w:rFonts w:hint="eastAsia"/>
                <w:color w:val="auto"/>
                <w:sz w:val="21"/>
                <w:szCs w:val="21"/>
              </w:rPr>
              <w:t>m×</w:t>
            </w:r>
            <w:r>
              <w:rPr>
                <w:rFonts w:hint="eastAsia"/>
                <w:color w:val="auto"/>
                <w:sz w:val="21"/>
                <w:szCs w:val="21"/>
                <w:lang w:val="en-US" w:eastAsia="zh-CN"/>
              </w:rPr>
              <w:t>22</w:t>
            </w:r>
            <w:r>
              <w:rPr>
                <w:rFonts w:hint="eastAsia"/>
                <w:color w:val="auto"/>
                <w:sz w:val="21"/>
                <w:szCs w:val="21"/>
              </w:rPr>
              <w:t>m，猪舍总面积约</w:t>
            </w:r>
            <w:r>
              <w:rPr>
                <w:rFonts w:hint="eastAsia"/>
                <w:color w:val="auto"/>
                <w:sz w:val="21"/>
                <w:szCs w:val="21"/>
                <w:lang w:val="en-US" w:eastAsia="zh-CN"/>
              </w:rPr>
              <w:t>6000</w:t>
            </w:r>
            <w:r>
              <w:rPr>
                <w:rFonts w:hint="eastAsia"/>
                <w:color w:val="auto"/>
                <w:sz w:val="21"/>
                <w:szCs w:val="21"/>
              </w:rPr>
              <w:t>㎡，地面采用漏粪板，下</w:t>
            </w:r>
            <w:r>
              <w:rPr>
                <w:rFonts w:hint="eastAsia"/>
                <w:color w:val="auto"/>
                <w:sz w:val="21"/>
                <w:szCs w:val="21"/>
                <w:lang w:val="en-US" w:eastAsia="zh-CN"/>
              </w:rPr>
              <w:t>为</w:t>
            </w:r>
            <w:r>
              <w:rPr>
                <w:rFonts w:hint="eastAsia"/>
                <w:color w:val="auto"/>
                <w:sz w:val="21"/>
                <w:szCs w:val="21"/>
              </w:rPr>
              <w:t>水泥斜坡，猪舍地坪。猪舍进行封闭，一面墙壁设置风机进行机械通、排风，一面设置水帘降温装置</w:t>
            </w:r>
          </w:p>
        </w:tc>
        <w:tc>
          <w:tcPr>
            <w:tcW w:w="575" w:type="pct"/>
            <w:vMerge w:val="restart"/>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扬尘、噪声、废水、固废、水土流失等</w:t>
            </w: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粪便</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废水</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default" w:eastAsia="宋体"/>
                <w:bCs/>
                <w:color w:val="auto"/>
                <w:sz w:val="21"/>
                <w:szCs w:val="21"/>
                <w:lang w:val="en-US" w:eastAsia="zh-CN"/>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辅助</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消毒中心</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rFonts w:hint="eastAsia"/>
                <w:color w:val="auto"/>
                <w:sz w:val="21"/>
                <w:szCs w:val="21"/>
              </w:rPr>
              <w:t>1 处，位于</w:t>
            </w:r>
            <w:r>
              <w:rPr>
                <w:rFonts w:hint="eastAsia"/>
                <w:color w:val="auto"/>
                <w:sz w:val="21"/>
                <w:szCs w:val="21"/>
                <w:lang w:val="en-US" w:eastAsia="zh-CN"/>
              </w:rPr>
              <w:t>厂</w:t>
            </w:r>
            <w:r>
              <w:rPr>
                <w:rFonts w:hint="eastAsia"/>
                <w:color w:val="auto"/>
                <w:sz w:val="21"/>
                <w:szCs w:val="21"/>
              </w:rPr>
              <w:t>区大门主出入口旁，用于进</w:t>
            </w:r>
          </w:p>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出车辆和人员的消毒</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restar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bCs/>
                <w:color w:val="auto"/>
                <w:sz w:val="21"/>
                <w:szCs w:val="21"/>
              </w:rPr>
              <w:t>废水</w:t>
            </w:r>
          </w:p>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rFonts w:hint="eastAsia"/>
                <w:bCs/>
                <w:color w:val="auto"/>
                <w:sz w:val="21"/>
                <w:szCs w:val="21"/>
              </w:rPr>
              <w:t>固废</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bCs/>
                <w:color w:val="auto"/>
                <w:sz w:val="21"/>
                <w:szCs w:val="21"/>
                <w:lang w:val="en-US" w:eastAsia="zh-CN"/>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ind w:firstLine="0" w:firstLineChars="0"/>
              <w:rPr>
                <w:rFonts w:hint="eastAsia"/>
                <w:color w:val="auto"/>
                <w:sz w:val="21"/>
                <w:szCs w:val="21"/>
              </w:rPr>
            </w:pPr>
            <w:r>
              <w:rPr>
                <w:rFonts w:hint="eastAsia"/>
                <w:color w:val="auto"/>
                <w:sz w:val="21"/>
                <w:szCs w:val="21"/>
              </w:rPr>
              <w:t>办公</w:t>
            </w:r>
            <w:r>
              <w:rPr>
                <w:color w:val="auto"/>
                <w:sz w:val="21"/>
                <w:szCs w:val="21"/>
              </w:rPr>
              <w:t>洗消</w:t>
            </w:r>
            <w:r>
              <w:rPr>
                <w:rFonts w:hint="eastAsia"/>
                <w:color w:val="auto"/>
                <w:sz w:val="21"/>
                <w:szCs w:val="21"/>
              </w:rPr>
              <w:t>房</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ind w:firstLine="0" w:firstLineChars="0"/>
              <w:jc w:val="both"/>
              <w:rPr>
                <w:color w:val="auto"/>
                <w:sz w:val="21"/>
                <w:szCs w:val="21"/>
              </w:rPr>
            </w:pPr>
            <w:r>
              <w:rPr>
                <w:color w:val="auto"/>
                <w:sz w:val="21"/>
                <w:szCs w:val="21"/>
              </w:rPr>
              <w:t>1栋（1F砖混结构，H=</w:t>
            </w:r>
            <w:r>
              <w:rPr>
                <w:rFonts w:hint="eastAsia"/>
                <w:color w:val="auto"/>
                <w:sz w:val="21"/>
                <w:szCs w:val="21"/>
                <w:lang w:val="en-US" w:eastAsia="zh-CN"/>
              </w:rPr>
              <w:t>5</w:t>
            </w:r>
            <w:r>
              <w:rPr>
                <w:color w:val="auto"/>
                <w:sz w:val="21"/>
                <w:szCs w:val="21"/>
              </w:rPr>
              <w:t>m），占地面积</w:t>
            </w:r>
            <w:r>
              <w:rPr>
                <w:rFonts w:hint="eastAsia"/>
                <w:color w:val="auto"/>
                <w:sz w:val="21"/>
                <w:szCs w:val="21"/>
                <w:lang w:val="en-US" w:eastAsia="zh-CN"/>
              </w:rPr>
              <w:t>约120</w:t>
            </w:r>
            <w:r>
              <w:rPr>
                <w:color w:val="auto"/>
                <w:sz w:val="21"/>
                <w:szCs w:val="21"/>
              </w:rPr>
              <w:t>m</w:t>
            </w:r>
            <w:r>
              <w:rPr>
                <w:color w:val="auto"/>
                <w:sz w:val="21"/>
                <w:szCs w:val="21"/>
                <w:vertAlign w:val="superscript"/>
              </w:rPr>
              <w:t>2</w:t>
            </w:r>
            <w:r>
              <w:rPr>
                <w:color w:val="auto"/>
                <w:sz w:val="21"/>
                <w:szCs w:val="21"/>
              </w:rPr>
              <w:t>；位于</w:t>
            </w:r>
            <w:r>
              <w:rPr>
                <w:rFonts w:hint="eastAsia"/>
                <w:color w:val="auto"/>
                <w:sz w:val="21"/>
                <w:szCs w:val="21"/>
              </w:rPr>
              <w:t>南</w:t>
            </w:r>
            <w:r>
              <w:rPr>
                <w:color w:val="auto"/>
                <w:sz w:val="21"/>
                <w:szCs w:val="21"/>
              </w:rPr>
              <w:t>侧</w:t>
            </w:r>
            <w:r>
              <w:rPr>
                <w:rFonts w:hint="eastAsia"/>
                <w:color w:val="auto"/>
                <w:sz w:val="21"/>
                <w:szCs w:val="21"/>
              </w:rPr>
              <w:t>办公</w:t>
            </w:r>
            <w:r>
              <w:rPr>
                <w:color w:val="auto"/>
                <w:sz w:val="21"/>
                <w:szCs w:val="21"/>
              </w:rPr>
              <w:t>生活区，用于人员进出生产区的淋浴消毒和隔离</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45"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停车区</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rFonts w:hint="eastAsia"/>
                <w:color w:val="auto"/>
                <w:sz w:val="21"/>
                <w:szCs w:val="21"/>
              </w:rPr>
              <w:t>由于场内人员较少，不设置集中停车场，</w:t>
            </w:r>
          </w:p>
          <w:p>
            <w:pPr>
              <w:pStyle w:val="274"/>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在场内空坝处停车</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bCs/>
                <w:color w:val="auto"/>
                <w:sz w:val="21"/>
                <w:szCs w:val="21"/>
              </w:rPr>
            </w:pPr>
          </w:p>
        </w:tc>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bCs/>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公用</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供水</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color w:val="auto"/>
                <w:sz w:val="21"/>
                <w:szCs w:val="21"/>
              </w:rPr>
              <w:t>自</w:t>
            </w:r>
            <w:r>
              <w:rPr>
                <w:rFonts w:hint="eastAsia"/>
                <w:color w:val="auto"/>
                <w:sz w:val="21"/>
                <w:szCs w:val="21"/>
              </w:rPr>
              <w:t>备</w:t>
            </w:r>
            <w:r>
              <w:rPr>
                <w:color w:val="auto"/>
                <w:sz w:val="21"/>
                <w:szCs w:val="21"/>
              </w:rPr>
              <w:t>深水井，采用水泵抽至</w:t>
            </w:r>
            <w:r>
              <w:rPr>
                <w:rFonts w:hint="eastAsia"/>
                <w:color w:val="auto"/>
                <w:sz w:val="21"/>
                <w:szCs w:val="21"/>
              </w:rPr>
              <w:t>厂</w:t>
            </w:r>
            <w:r>
              <w:rPr>
                <w:color w:val="auto"/>
                <w:sz w:val="21"/>
                <w:szCs w:val="21"/>
              </w:rPr>
              <w:t>区</w:t>
            </w:r>
            <w:r>
              <w:rPr>
                <w:rFonts w:hint="eastAsia"/>
                <w:color w:val="auto"/>
                <w:sz w:val="21"/>
                <w:szCs w:val="21"/>
                <w:lang w:val="en-US" w:eastAsia="zh-CN"/>
              </w:rPr>
              <w:t>蓄</w:t>
            </w:r>
            <w:r>
              <w:rPr>
                <w:color w:val="auto"/>
                <w:sz w:val="21"/>
                <w:szCs w:val="21"/>
              </w:rPr>
              <w:t>水池存放备用。设</w:t>
            </w:r>
            <w:r>
              <w:rPr>
                <w:rFonts w:hint="eastAsia"/>
                <w:color w:val="auto"/>
                <w:sz w:val="21"/>
                <w:szCs w:val="21"/>
                <w:lang w:val="en-US" w:eastAsia="zh-CN"/>
              </w:rPr>
              <w:t>3</w:t>
            </w:r>
            <w:r>
              <w:rPr>
                <w:color w:val="auto"/>
                <w:sz w:val="21"/>
                <w:szCs w:val="21"/>
              </w:rPr>
              <w:t>00m</w:t>
            </w:r>
            <w:r>
              <w:rPr>
                <w:color w:val="auto"/>
                <w:sz w:val="21"/>
                <w:szCs w:val="21"/>
                <w:vertAlign w:val="superscript"/>
              </w:rPr>
              <w:t>3</w:t>
            </w:r>
            <w:r>
              <w:rPr>
                <w:rFonts w:hint="eastAsia"/>
                <w:color w:val="auto"/>
                <w:sz w:val="21"/>
                <w:szCs w:val="21"/>
                <w:lang w:val="en-US" w:eastAsia="zh-CN"/>
              </w:rPr>
              <w:t>蓄</w:t>
            </w:r>
            <w:r>
              <w:rPr>
                <w:color w:val="auto"/>
                <w:sz w:val="21"/>
                <w:szCs w:val="21"/>
              </w:rPr>
              <w:t>水池</w:t>
            </w:r>
            <w:r>
              <w:rPr>
                <w:rFonts w:hint="eastAsia"/>
                <w:color w:val="auto"/>
                <w:sz w:val="21"/>
                <w:szCs w:val="21"/>
              </w:rPr>
              <w:t>1</w:t>
            </w:r>
            <w:r>
              <w:rPr>
                <w:color w:val="auto"/>
                <w:sz w:val="21"/>
                <w:szCs w:val="21"/>
              </w:rPr>
              <w:t>个</w:t>
            </w:r>
            <w:r>
              <w:rPr>
                <w:color w:val="auto"/>
                <w:sz w:val="21"/>
                <w:szCs w:val="21"/>
                <w:vertAlign w:val="superscript"/>
              </w:rPr>
              <w:t xml:space="preserve"> </w:t>
            </w:r>
          </w:p>
        </w:tc>
        <w:tc>
          <w:tcPr>
            <w:tcW w:w="575" w:type="pct"/>
            <w:vMerge w:val="restart"/>
            <w:tcBorders>
              <w:top w:val="single" w:color="auto" w:sz="4"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扬尘、噪声、废水、固废、水土流失等</w:t>
            </w:r>
          </w:p>
        </w:tc>
        <w:tc>
          <w:tcPr>
            <w:tcW w:w="556"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排水</w:t>
            </w:r>
          </w:p>
        </w:tc>
        <w:tc>
          <w:tcPr>
            <w:tcW w:w="2266" w:type="pct"/>
            <w:tcBorders>
              <w:top w:val="single" w:color="auto" w:sz="4" w:space="0"/>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eastAsia="宋体"/>
                <w:color w:val="auto"/>
                <w:sz w:val="21"/>
                <w:szCs w:val="21"/>
                <w:lang w:val="en-US" w:eastAsia="zh-CN"/>
              </w:rPr>
            </w:pPr>
            <w:r>
              <w:rPr>
                <w:color w:val="auto"/>
                <w:sz w:val="21"/>
                <w:szCs w:val="21"/>
              </w:rPr>
              <w:t>项目排水采取雨污分流</w:t>
            </w:r>
            <w:r>
              <w:rPr>
                <w:rFonts w:hint="eastAsia"/>
                <w:color w:val="auto"/>
                <w:sz w:val="21"/>
                <w:szCs w:val="21"/>
              </w:rPr>
              <w:t>，</w:t>
            </w:r>
            <w:r>
              <w:rPr>
                <w:color w:val="auto"/>
                <w:sz w:val="21"/>
                <w:szCs w:val="21"/>
              </w:rPr>
              <w:t>雨水通过场区雨水管网排至</w:t>
            </w:r>
            <w:r>
              <w:rPr>
                <w:rFonts w:hint="eastAsia"/>
                <w:color w:val="auto"/>
                <w:sz w:val="21"/>
                <w:szCs w:val="21"/>
                <w:lang w:val="en-US" w:eastAsia="zh-CN"/>
              </w:rPr>
              <w:t>厂</w:t>
            </w:r>
            <w:r>
              <w:rPr>
                <w:color w:val="auto"/>
                <w:sz w:val="21"/>
                <w:szCs w:val="21"/>
              </w:rPr>
              <w:t>区外；生活污水、养殖废水</w:t>
            </w:r>
            <w:r>
              <w:rPr>
                <w:rFonts w:hint="eastAsia"/>
                <w:color w:val="auto"/>
                <w:sz w:val="21"/>
                <w:szCs w:val="21"/>
              </w:rPr>
              <w:t>一</w:t>
            </w:r>
            <w:r>
              <w:rPr>
                <w:color w:val="auto"/>
                <w:sz w:val="21"/>
                <w:szCs w:val="21"/>
              </w:rPr>
              <w:t>起</w:t>
            </w:r>
            <w:r>
              <w:rPr>
                <w:rFonts w:hint="eastAsia"/>
                <w:color w:val="auto"/>
                <w:sz w:val="21"/>
                <w:szCs w:val="21"/>
              </w:rPr>
              <w:t>进入污水处理设施处理后，用于周边土地消纳，不外排</w:t>
            </w:r>
          </w:p>
        </w:tc>
        <w:tc>
          <w:tcPr>
            <w:tcW w:w="575" w:type="pct"/>
            <w:vMerge w:val="continue"/>
            <w:tcBorders>
              <w:top w:val="single" w:color="auto" w:sz="4" w:space="0"/>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废水、噪声</w:t>
            </w:r>
          </w:p>
        </w:tc>
        <w:tc>
          <w:tcPr>
            <w:tcW w:w="624" w:type="pct"/>
            <w:tcBorders>
              <w:top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供电</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由当地市政供电电网供给</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eastAsia="宋体"/>
                <w:color w:val="auto"/>
                <w:sz w:val="21"/>
                <w:szCs w:val="21"/>
                <w:lang w:eastAsia="zh-CN"/>
              </w:rPr>
            </w:pPr>
            <w:r>
              <w:rPr>
                <w:rFonts w:hint="eastAsia"/>
                <w:color w:val="auto"/>
                <w:sz w:val="21"/>
                <w:szCs w:val="21"/>
                <w:lang w:val="en-US" w:eastAsia="zh-CN"/>
              </w:rPr>
              <w:t>/</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rFonts w:hint="eastAsia"/>
                <w:color w:val="auto"/>
                <w:sz w:val="21"/>
                <w:szCs w:val="21"/>
              </w:rPr>
            </w:pPr>
            <w:r>
              <w:rPr>
                <w:rFonts w:hint="eastAsia"/>
                <w:color w:val="auto"/>
                <w:sz w:val="21"/>
                <w:szCs w:val="21"/>
              </w:rPr>
              <w:t>供热（冷）</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color w:val="auto"/>
                <w:sz w:val="21"/>
                <w:szCs w:val="21"/>
              </w:rPr>
              <w:t>系统</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rPr>
              <w:t>夏季</w:t>
            </w:r>
            <w:r>
              <w:rPr>
                <w:rFonts w:hint="eastAsia"/>
                <w:color w:val="auto"/>
                <w:sz w:val="21"/>
                <w:szCs w:val="21"/>
                <w:lang w:eastAsia="zh-CN"/>
              </w:rPr>
              <w:t>：</w:t>
            </w:r>
            <w:r>
              <w:rPr>
                <w:color w:val="auto"/>
                <w:sz w:val="21"/>
                <w:szCs w:val="21"/>
              </w:rPr>
              <w:t>猪舍通风主要采用机械通风，夏季采用水帘降温并保持猪舍湿度、温度；</w:t>
            </w:r>
          </w:p>
          <w:p>
            <w:pPr>
              <w:pStyle w:val="274"/>
              <w:keepNext w:val="0"/>
              <w:keepLines w:val="0"/>
              <w:pageBreakBefore w:val="0"/>
              <w:widowControl w:val="0"/>
              <w:kinsoku/>
              <w:overflowPunct/>
              <w:topLinePunct w:val="0"/>
              <w:autoSpaceDE/>
              <w:autoSpaceDN/>
              <w:bidi w:val="0"/>
              <w:snapToGrid/>
              <w:spacing w:line="0" w:lineRule="atLeast"/>
              <w:jc w:val="left"/>
              <w:rPr>
                <w:color w:val="auto"/>
                <w:sz w:val="21"/>
                <w:szCs w:val="21"/>
              </w:rPr>
            </w:pPr>
            <w:r>
              <w:rPr>
                <w:rFonts w:hint="eastAsia"/>
                <w:color w:val="auto"/>
                <w:sz w:val="21"/>
                <w:szCs w:val="21"/>
                <w:lang w:val="en-US" w:eastAsia="zh-CN"/>
              </w:rPr>
              <w:t>冬季：</w:t>
            </w:r>
            <w:r>
              <w:rPr>
                <w:color w:val="auto"/>
                <w:sz w:val="21"/>
                <w:szCs w:val="21"/>
              </w:rPr>
              <w:t>生活管理区冬季取暖采用</w:t>
            </w:r>
            <w:r>
              <w:rPr>
                <w:rFonts w:hint="eastAsia"/>
                <w:color w:val="auto"/>
                <w:sz w:val="21"/>
                <w:szCs w:val="21"/>
              </w:rPr>
              <w:t>分体式</w:t>
            </w:r>
            <w:r>
              <w:rPr>
                <w:color w:val="auto"/>
                <w:sz w:val="21"/>
                <w:szCs w:val="21"/>
              </w:rPr>
              <w:t>空调</w:t>
            </w:r>
            <w:r>
              <w:rPr>
                <w:rFonts w:hint="eastAsia"/>
                <w:color w:val="auto"/>
                <w:sz w:val="21"/>
                <w:szCs w:val="21"/>
                <w:lang w:eastAsia="zh-CN"/>
              </w:rPr>
              <w:t>，</w:t>
            </w:r>
            <w:r>
              <w:rPr>
                <w:rFonts w:hint="eastAsia"/>
                <w:color w:val="auto"/>
                <w:sz w:val="21"/>
                <w:szCs w:val="21"/>
                <w:lang w:val="en-US" w:eastAsia="zh-CN"/>
              </w:rPr>
              <w:t>1#-4#</w:t>
            </w:r>
            <w:r>
              <w:rPr>
                <w:color w:val="auto"/>
                <w:sz w:val="21"/>
                <w:szCs w:val="21"/>
              </w:rPr>
              <w:t>猪舍冬季取暖主要是通过猪舍墙体保温材料与外部断绝热交换、同时采用保温灯</w:t>
            </w:r>
            <w:r>
              <w:rPr>
                <w:rFonts w:hint="eastAsia"/>
                <w:color w:val="auto"/>
                <w:sz w:val="21"/>
                <w:szCs w:val="21"/>
              </w:rPr>
              <w:t>、加热板</w:t>
            </w:r>
            <w:r>
              <w:rPr>
                <w:color w:val="auto"/>
                <w:sz w:val="21"/>
                <w:szCs w:val="21"/>
              </w:rPr>
              <w:t>供暖</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办公及生活设施</w:t>
            </w: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办公生活区</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color w:val="auto"/>
                <w:sz w:val="21"/>
                <w:szCs w:val="21"/>
              </w:rPr>
            </w:pPr>
            <w:r>
              <w:rPr>
                <w:color w:val="auto"/>
                <w:sz w:val="21"/>
                <w:szCs w:val="21"/>
              </w:rPr>
              <w:t>宿舍1栋</w:t>
            </w:r>
            <w:r>
              <w:rPr>
                <w:rFonts w:hint="eastAsia"/>
                <w:color w:val="auto"/>
                <w:sz w:val="21"/>
                <w:szCs w:val="21"/>
                <w:lang w:eastAsia="zh-CN"/>
              </w:rPr>
              <w:t>，</w:t>
            </w:r>
            <w:r>
              <w:rPr>
                <w:color w:val="auto"/>
                <w:sz w:val="21"/>
                <w:szCs w:val="21"/>
              </w:rPr>
              <w:t>砖混结构，总建筑面积</w:t>
            </w:r>
            <w:r>
              <w:rPr>
                <w:rFonts w:hint="eastAsia"/>
                <w:color w:val="auto"/>
                <w:sz w:val="21"/>
                <w:szCs w:val="21"/>
                <w:lang w:val="en-US" w:eastAsia="zh-CN"/>
              </w:rPr>
              <w:t>约160</w:t>
            </w:r>
            <w:r>
              <w:rPr>
                <w:color w:val="auto"/>
                <w:sz w:val="21"/>
                <w:szCs w:val="21"/>
              </w:rPr>
              <w:t>m</w:t>
            </w:r>
            <w:r>
              <w:rPr>
                <w:color w:val="auto"/>
                <w:sz w:val="21"/>
                <w:szCs w:val="21"/>
                <w:vertAlign w:val="superscript"/>
              </w:rPr>
              <w:t>2</w:t>
            </w:r>
            <w:r>
              <w:rPr>
                <w:color w:val="auto"/>
                <w:sz w:val="21"/>
                <w:szCs w:val="21"/>
              </w:rPr>
              <w:t>；位于厂区内</w:t>
            </w:r>
            <w:r>
              <w:rPr>
                <w:rFonts w:hint="eastAsia"/>
                <w:color w:val="auto"/>
                <w:sz w:val="21"/>
                <w:szCs w:val="21"/>
              </w:rPr>
              <w:t>南角</w:t>
            </w:r>
            <w:r>
              <w:rPr>
                <w:color w:val="auto"/>
                <w:sz w:val="21"/>
                <w:szCs w:val="21"/>
              </w:rPr>
              <w:t>，用于员工办公及住宿</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生活垃圾</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生活污水</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食堂油烟</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食堂废水</w:t>
            </w:r>
          </w:p>
        </w:tc>
        <w:tc>
          <w:tcPr>
            <w:tcW w:w="624"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rFonts w:hint="eastAsia"/>
                <w:bCs/>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环保</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工程</w:t>
            </w:r>
          </w:p>
        </w:tc>
        <w:tc>
          <w:tcPr>
            <w:tcW w:w="54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废水治理</w:t>
            </w: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hint="eastAsia" w:eastAsia="宋体"/>
                <w:color w:val="auto"/>
                <w:sz w:val="21"/>
                <w:szCs w:val="21"/>
                <w:lang w:eastAsia="zh-CN"/>
              </w:rPr>
            </w:pPr>
            <w:r>
              <w:rPr>
                <w:rFonts w:hint="eastAsia"/>
                <w:color w:val="auto"/>
                <w:sz w:val="21"/>
                <w:szCs w:val="21"/>
              </w:rPr>
              <w:t>污水处理站</w:t>
            </w:r>
            <w:r>
              <w:rPr>
                <w:rFonts w:hint="eastAsia"/>
                <w:color w:val="auto"/>
                <w:sz w:val="21"/>
                <w:szCs w:val="21"/>
                <w:lang w:eastAsia="zh-CN"/>
              </w:rPr>
              <w:t>：</w:t>
            </w:r>
            <w:r>
              <w:rPr>
                <w:rFonts w:hint="default" w:ascii="Times New Roman" w:hAnsi="Times New Roman" w:cs="Times New Roman"/>
                <w:color w:val="auto"/>
                <w:sz w:val="21"/>
                <w:szCs w:val="21"/>
              </w:rPr>
              <w:t>集污池1座</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黑膜沼气池1座</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沼液</w:t>
            </w:r>
            <w:r>
              <w:rPr>
                <w:rFonts w:hint="default" w:ascii="Times New Roman" w:hAnsi="Times New Roman" w:cs="Times New Roman"/>
                <w:color w:val="auto"/>
                <w:sz w:val="21"/>
                <w:szCs w:val="21"/>
              </w:rPr>
              <w:t>储存池</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座</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restar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恶臭</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粪便</w:t>
            </w:r>
          </w:p>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废水</w:t>
            </w: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eastAsia="宋体"/>
                <w:color w:val="auto"/>
                <w:sz w:val="21"/>
                <w:szCs w:val="21"/>
                <w:lang w:eastAsia="zh-CN"/>
              </w:rPr>
            </w:pPr>
            <w:r>
              <w:rPr>
                <w:rFonts w:hint="eastAsia"/>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rFonts w:hint="eastAsia"/>
                <w:color w:val="auto"/>
                <w:sz w:val="21"/>
                <w:szCs w:val="21"/>
              </w:rPr>
              <w:t xml:space="preserve">生活废水处理系统：设隔油池一座，容积 </w:t>
            </w:r>
            <w:r>
              <w:rPr>
                <w:rFonts w:hint="eastAsia"/>
                <w:color w:val="auto"/>
                <w:sz w:val="21"/>
                <w:szCs w:val="21"/>
                <w:lang w:val="en-US" w:eastAsia="zh-CN"/>
              </w:rPr>
              <w:t>1</w:t>
            </w:r>
            <w:r>
              <w:rPr>
                <w:rFonts w:hint="eastAsia"/>
                <w:color w:val="auto"/>
                <w:sz w:val="21"/>
                <w:szCs w:val="21"/>
              </w:rPr>
              <w:t>m</w:t>
            </w:r>
            <w:r>
              <w:rPr>
                <w:rFonts w:hint="eastAsia"/>
                <w:color w:val="auto"/>
                <w:sz w:val="21"/>
                <w:szCs w:val="21"/>
                <w:vertAlign w:val="superscript"/>
              </w:rPr>
              <w:t>3</w:t>
            </w:r>
            <w:r>
              <w:rPr>
                <w:rFonts w:hint="eastAsia"/>
                <w:color w:val="auto"/>
                <w:sz w:val="21"/>
                <w:szCs w:val="21"/>
              </w:rPr>
              <w:t>，食堂废水经隔油池处理后与其它生活污水一并进入污水处理站处理</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废气治理</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猪舍恶臭：</w:t>
            </w:r>
          </w:p>
          <w:p>
            <w:pPr>
              <w:pStyle w:val="274"/>
              <w:keepNext w:val="0"/>
              <w:keepLines w:val="0"/>
              <w:pageBreakBefore w:val="0"/>
              <w:widowControl w:val="0"/>
              <w:kinsoku/>
              <w:overflowPunct/>
              <w:topLinePunct w:val="0"/>
              <w:autoSpaceDE/>
              <w:autoSpaceDN/>
              <w:bidi w:val="0"/>
              <w:snapToGrid/>
              <w:spacing w:line="0" w:lineRule="atLeast"/>
              <w:jc w:val="left"/>
              <w:rPr>
                <w:rFonts w:hint="eastAsia"/>
                <w:color w:val="auto"/>
                <w:sz w:val="21"/>
                <w:szCs w:val="21"/>
              </w:rPr>
            </w:pPr>
            <w:r>
              <w:rPr>
                <w:rFonts w:hint="eastAsia"/>
                <w:color w:val="auto"/>
                <w:sz w:val="21"/>
                <w:szCs w:val="21"/>
              </w:rPr>
              <w:t>设置负压抽风系统，</w:t>
            </w:r>
            <w:r>
              <w:rPr>
                <w:color w:val="auto"/>
                <w:sz w:val="21"/>
                <w:szCs w:val="21"/>
              </w:rPr>
              <w:t>安装负压通风机，加强舍内通风</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噪声治理</w:t>
            </w:r>
          </w:p>
        </w:tc>
        <w:tc>
          <w:tcPr>
            <w:tcW w:w="2266" w:type="pct"/>
            <w:tcBorders>
              <w:bottom w:val="single" w:color="auto" w:sz="4" w:space="0"/>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color w:val="auto"/>
                <w:sz w:val="21"/>
                <w:szCs w:val="21"/>
              </w:rPr>
            </w:pPr>
            <w:r>
              <w:rPr>
                <w:color w:val="auto"/>
                <w:sz w:val="21"/>
                <w:szCs w:val="21"/>
              </w:rPr>
              <w:t>选用低噪声设备、采取隔声、减震等降噪措施，合理布置高噪设备，车间厂房隔声，距离衰减</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tcBorders>
              <w:bottom w:val="single" w:color="auto" w:sz="4"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color w:val="auto"/>
                <w:sz w:val="21"/>
                <w:szCs w:val="21"/>
              </w:rPr>
            </w:pPr>
            <w:r>
              <w:rPr>
                <w:rFonts w:hint="eastAsia"/>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固废处置</w:t>
            </w:r>
          </w:p>
        </w:tc>
        <w:tc>
          <w:tcPr>
            <w:tcW w:w="2266" w:type="pct"/>
            <w:tcBorders>
              <w:righ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jc w:val="both"/>
              <w:rPr>
                <w:rFonts w:hint="eastAsia" w:eastAsia="宋体"/>
                <w:color w:val="auto"/>
                <w:sz w:val="21"/>
                <w:szCs w:val="21"/>
                <w:lang w:eastAsia="zh-CN"/>
              </w:rPr>
            </w:pPr>
            <w:r>
              <w:rPr>
                <w:rFonts w:hint="eastAsia"/>
                <w:color w:val="auto"/>
                <w:sz w:val="21"/>
                <w:szCs w:val="21"/>
                <w:lang w:val="en-US" w:eastAsia="zh-CN"/>
              </w:rPr>
              <w:t>/</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eastAsia="宋体"/>
                <w:color w:val="auto"/>
                <w:sz w:val="21"/>
                <w:szCs w:val="21"/>
                <w:lang w:eastAsia="zh-CN"/>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430" w:type="pct"/>
            <w:vMerge w:val="continue"/>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46" w:type="pct"/>
            <w:noWrap w:val="0"/>
            <w:vAlign w:val="center"/>
          </w:tcPr>
          <w:p>
            <w:pPr>
              <w:pStyle w:val="274"/>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地下水</w:t>
            </w:r>
          </w:p>
          <w:p>
            <w:pPr>
              <w:pStyle w:val="274"/>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污染防治</w:t>
            </w:r>
          </w:p>
        </w:tc>
        <w:tc>
          <w:tcPr>
            <w:tcW w:w="2266" w:type="pct"/>
            <w:tcBorders>
              <w:right w:val="single" w:color="auto" w:sz="2" w:space="0"/>
            </w:tcBorders>
            <w:noWrap w:val="0"/>
            <w:vAlign w:val="center"/>
          </w:tcPr>
          <w:p>
            <w:pPr>
              <w:pStyle w:val="274"/>
              <w:keepNext w:val="0"/>
              <w:keepLines w:val="0"/>
              <w:pageBreakBefore w:val="0"/>
              <w:widowControl w:val="0"/>
              <w:kinsoku/>
              <w:overflowPunct/>
              <w:topLinePunct w:val="0"/>
              <w:autoSpaceDE/>
              <w:autoSpaceDN/>
              <w:bidi w:val="0"/>
              <w:snapToGrid/>
              <w:spacing w:line="0" w:lineRule="atLeast"/>
              <w:jc w:val="both"/>
              <w:rPr>
                <w:rFonts w:hint="eastAsia" w:eastAsia="宋体"/>
                <w:color w:val="auto"/>
                <w:sz w:val="21"/>
                <w:szCs w:val="21"/>
                <w:lang w:eastAsia="zh-CN"/>
              </w:rPr>
            </w:pPr>
            <w:r>
              <w:rPr>
                <w:rFonts w:hint="eastAsia"/>
                <w:color w:val="auto"/>
                <w:sz w:val="21"/>
                <w:szCs w:val="21"/>
                <w:lang w:val="en-US" w:eastAsia="zh-CN"/>
              </w:rPr>
              <w:t>/</w:t>
            </w:r>
          </w:p>
        </w:tc>
        <w:tc>
          <w:tcPr>
            <w:tcW w:w="575" w:type="pct"/>
            <w:vMerge w:val="continue"/>
            <w:tcBorders>
              <w:left w:val="single" w:color="auto" w:sz="2" w:space="0"/>
            </w:tcBorders>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p>
        </w:tc>
        <w:tc>
          <w:tcPr>
            <w:tcW w:w="556" w:type="pct"/>
            <w:noWrap w:val="0"/>
            <w:vAlign w:val="center"/>
          </w:tcPr>
          <w:p>
            <w:pPr>
              <w:pStyle w:val="110"/>
              <w:keepNext w:val="0"/>
              <w:keepLines w:val="0"/>
              <w:pageBreakBefore w:val="0"/>
              <w:widowControl w:val="0"/>
              <w:kinsoku/>
              <w:overflowPunct/>
              <w:topLinePunct w:val="0"/>
              <w:autoSpaceDE/>
              <w:autoSpaceDN/>
              <w:bidi w:val="0"/>
              <w:snapToGrid/>
              <w:spacing w:line="0" w:lineRule="atLeast"/>
              <w:rPr>
                <w:color w:val="auto"/>
                <w:sz w:val="21"/>
                <w:szCs w:val="21"/>
              </w:rPr>
            </w:pPr>
            <w:r>
              <w:rPr>
                <w:color w:val="auto"/>
                <w:sz w:val="21"/>
                <w:szCs w:val="21"/>
              </w:rPr>
              <w:t>/</w:t>
            </w:r>
          </w:p>
        </w:tc>
        <w:tc>
          <w:tcPr>
            <w:tcW w:w="624" w:type="pct"/>
            <w:noWrap w:val="0"/>
            <w:vAlign w:val="center"/>
          </w:tcPr>
          <w:p>
            <w:pPr>
              <w:keepNext w:val="0"/>
              <w:keepLines w:val="0"/>
              <w:pageBreakBefore w:val="0"/>
              <w:widowControl w:val="0"/>
              <w:kinsoku/>
              <w:overflowPunct/>
              <w:topLinePunct w:val="0"/>
              <w:autoSpaceDE/>
              <w:autoSpaceDN/>
              <w:bidi w:val="0"/>
              <w:snapToGrid/>
              <w:spacing w:line="0" w:lineRule="atLeast"/>
              <w:ind w:firstLine="420" w:firstLineChars="200"/>
              <w:rPr>
                <w:rFonts w:hint="eastAsia" w:eastAsia="宋体"/>
                <w:color w:val="auto"/>
                <w:sz w:val="21"/>
                <w:szCs w:val="21"/>
                <w:lang w:eastAsia="zh-CN"/>
              </w:rPr>
            </w:pPr>
            <w:r>
              <w:rPr>
                <w:rFonts w:hint="eastAsia"/>
                <w:color w:val="auto"/>
                <w:sz w:val="21"/>
                <w:szCs w:val="21"/>
                <w:lang w:val="en-US" w:eastAsia="zh-CN"/>
              </w:rPr>
              <w:t>/</w:t>
            </w:r>
          </w:p>
        </w:tc>
      </w:tr>
    </w:tbl>
    <w:p>
      <w:pPr>
        <w:pStyle w:val="16"/>
        <w:spacing w:line="440" w:lineRule="exact"/>
        <w:ind w:left="0" w:leftChars="0" w:firstLine="0" w:firstLineChars="0"/>
        <w:rPr>
          <w:rFonts w:hint="eastAsia" w:ascii="黑体" w:hAnsi="黑体" w:eastAsia="黑体" w:cs="黑体"/>
          <w:b/>
          <w:bCs/>
          <w:color w:val="auto"/>
          <w:sz w:val="28"/>
          <w:szCs w:val="28"/>
          <w:lang w:val="en-US" w:eastAsia="zh-CN"/>
        </w:rPr>
      </w:pPr>
      <w:r>
        <w:rPr>
          <w:rFonts w:hint="eastAsia" w:ascii="黑体" w:hAnsi="黑体" w:eastAsia="黑体" w:cs="黑体"/>
          <w:b/>
          <w:bCs/>
          <w:color w:val="auto"/>
          <w:sz w:val="28"/>
          <w:szCs w:val="28"/>
          <w:lang w:val="en-US" w:eastAsia="zh-CN"/>
        </w:rPr>
        <w:t>3.4.3现有工程原辅材料</w:t>
      </w:r>
    </w:p>
    <w:p>
      <w:pPr>
        <w:pStyle w:val="16"/>
        <w:spacing w:line="440" w:lineRule="exact"/>
        <w:ind w:left="0" w:leftChars="0" w:firstLine="480" w:firstLineChars="200"/>
        <w:rPr>
          <w:rFonts w:hint="eastAsia"/>
          <w:color w:val="auto"/>
          <w:lang w:val="en-US" w:eastAsia="zh-CN"/>
        </w:rPr>
      </w:pPr>
      <w:r>
        <w:rPr>
          <w:rFonts w:hint="eastAsia"/>
          <w:color w:val="auto"/>
          <w:lang w:val="en-US" w:eastAsia="zh-CN"/>
        </w:rPr>
        <w:t>目前原有项目尚未运行，拟定原有项目主要原辅材料及能耗见下表。</w:t>
      </w:r>
    </w:p>
    <w:p>
      <w:pPr>
        <w:pStyle w:val="16"/>
        <w:spacing w:line="440" w:lineRule="exact"/>
        <w:ind w:left="0" w:leftChars="0" w:firstLine="422" w:firstLineChars="200"/>
        <w:jc w:val="center"/>
        <w:rPr>
          <w:rFonts w:hint="eastAsia"/>
          <w:b/>
          <w:bCs/>
          <w:color w:val="auto"/>
          <w:sz w:val="21"/>
          <w:szCs w:val="16"/>
          <w:lang w:val="en-US" w:eastAsia="zh-CN"/>
        </w:rPr>
      </w:pPr>
      <w:r>
        <w:rPr>
          <w:rFonts w:hint="eastAsia"/>
          <w:b/>
          <w:bCs/>
          <w:color w:val="auto"/>
          <w:sz w:val="21"/>
          <w:szCs w:val="16"/>
          <w:lang w:val="en-US" w:eastAsia="zh-CN"/>
        </w:rPr>
        <w:t>表</w:t>
      </w:r>
      <w:r>
        <w:rPr>
          <w:rFonts w:hint="eastAsia" w:ascii="Times New Roman" w:hAnsi="Times New Roman" w:eastAsia="宋体" w:cs="Times New Roman"/>
          <w:b/>
          <w:color w:val="auto"/>
          <w:kern w:val="2"/>
          <w:sz w:val="21"/>
          <w:szCs w:val="24"/>
          <w:lang w:val="en-US" w:eastAsia="zh-CN" w:bidi="ar-SA"/>
        </w:rPr>
        <w:t>3.4-4</w:t>
      </w:r>
      <w:r>
        <w:rPr>
          <w:rFonts w:hint="eastAsia"/>
          <w:b/>
          <w:bCs/>
          <w:color w:val="auto"/>
          <w:sz w:val="21"/>
          <w:szCs w:val="16"/>
          <w:lang w:val="en-US" w:eastAsia="zh-CN"/>
        </w:rPr>
        <w:t xml:space="preserve"> 现有项目原辅材料及能耗一览表</w:t>
      </w:r>
    </w:p>
    <w:tbl>
      <w:tblPr>
        <w:tblStyle w:val="52"/>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500"/>
        <w:gridCol w:w="1501"/>
        <w:gridCol w:w="1501"/>
        <w:gridCol w:w="1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类别</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名称</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消耗量</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用途</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来源</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主要成分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原辅材料</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猪饲料</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lang w:val="en-US" w:eastAsia="zh-CN"/>
              </w:rPr>
              <w:t>800</w:t>
            </w:r>
            <w:r>
              <w:rPr>
                <w:rFonts w:hint="eastAsia"/>
                <w:color w:val="auto"/>
                <w:sz w:val="21"/>
                <w:szCs w:val="21"/>
                <w:vertAlign w:val="baseline"/>
              </w:rPr>
              <w:t>t/a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喂养生猪</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rPr>
              <w:t>外购</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颗粒饲料、玉米等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饲料添加剂</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lang w:val="en-US" w:eastAsia="zh-CN"/>
              </w:rPr>
              <w:t>0.5</w:t>
            </w:r>
            <w:r>
              <w:rPr>
                <w:rFonts w:hint="eastAsia"/>
                <w:color w:val="auto"/>
                <w:sz w:val="21"/>
                <w:szCs w:val="21"/>
                <w:vertAlign w:val="baseline"/>
              </w:rPr>
              <w:t>t/a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防治恶臭</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rPr>
              <w:t>外购</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rPr>
            </w:pPr>
            <w:r>
              <w:rPr>
                <w:rFonts w:hint="eastAsia"/>
                <w:color w:val="auto"/>
                <w:sz w:val="21"/>
                <w:szCs w:val="21"/>
                <w:vertAlign w:val="baseline"/>
              </w:rPr>
              <w:t>亚罗康菌</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药品</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0.2t/a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疾病防治</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rPr>
              <w:t>外购</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rPr>
            </w:pPr>
            <w:r>
              <w:rPr>
                <w:rFonts w:hint="eastAsia"/>
                <w:color w:val="auto"/>
                <w:sz w:val="21"/>
                <w:szCs w:val="21"/>
                <w:vertAlign w:val="baseline"/>
              </w:rPr>
              <w:t>吉霉素类、链霉素类</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消毒液</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6000L</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养殖区及相关器械的消毒</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rPr>
              <w:t>外购</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vertAlign w:val="baseline"/>
              </w:rPr>
            </w:pPr>
            <w:r>
              <w:rPr>
                <w:rFonts w:hint="eastAsia"/>
                <w:color w:val="auto"/>
                <w:sz w:val="21"/>
                <w:szCs w:val="21"/>
                <w:vertAlign w:val="baseline"/>
              </w:rPr>
              <w:t>福尔马林等</w:t>
            </w:r>
          </w:p>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能源消耗</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水</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9200t/a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生活生产</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lang w:val="en-US" w:eastAsia="zh-CN"/>
              </w:rPr>
              <w:t>自备水井</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电</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1 万 kwh/a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供电</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1"/>
                <w:szCs w:val="21"/>
                <w:vertAlign w:val="baseline"/>
                <w:lang w:val="en-US" w:eastAsia="zh-CN"/>
              </w:rPr>
            </w:pPr>
            <w:r>
              <w:rPr>
                <w:rFonts w:hint="eastAsia" w:eastAsia="宋体"/>
                <w:color w:val="auto"/>
                <w:sz w:val="21"/>
                <w:szCs w:val="21"/>
                <w:vertAlign w:val="baseline"/>
                <w:lang w:val="en-US" w:eastAsia="zh-CN"/>
              </w:rPr>
              <w:t>当地电网</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420" w:firstLineChars="200"/>
              <w:jc w:val="center"/>
              <w:textAlignment w:val="auto"/>
              <w:rPr>
                <w:color w:val="auto"/>
                <w:sz w:val="21"/>
                <w:szCs w:val="21"/>
                <w:vertAlign w:val="baseline"/>
              </w:rPr>
            </w:pPr>
            <w:r>
              <w:rPr>
                <w:rFonts w:hint="eastAsia"/>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沼气</w:t>
            </w:r>
          </w:p>
        </w:tc>
        <w:tc>
          <w:tcPr>
            <w:tcW w:w="1500"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lang w:val="en-US" w:eastAsia="zh-CN"/>
              </w:rPr>
              <w:t>8</w:t>
            </w:r>
            <w:r>
              <w:rPr>
                <w:rFonts w:hint="eastAsia"/>
                <w:color w:val="auto"/>
                <w:sz w:val="21"/>
                <w:szCs w:val="21"/>
                <w:vertAlign w:val="baseline"/>
              </w:rPr>
              <w:t>00m</w:t>
            </w:r>
            <w:r>
              <w:rPr>
                <w:rFonts w:hint="eastAsia"/>
                <w:color w:val="auto"/>
                <w:sz w:val="21"/>
                <w:szCs w:val="21"/>
                <w:vertAlign w:val="superscript"/>
              </w:rPr>
              <w:t>3</w:t>
            </w:r>
            <w:r>
              <w:rPr>
                <w:rFonts w:hint="eastAsia"/>
                <w:color w:val="auto"/>
                <w:sz w:val="21"/>
                <w:szCs w:val="21"/>
                <w:vertAlign w:val="baseline"/>
              </w:rPr>
              <w:t>/a</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r>
              <w:rPr>
                <w:rFonts w:hint="eastAsia"/>
                <w:color w:val="auto"/>
                <w:sz w:val="21"/>
                <w:szCs w:val="21"/>
                <w:vertAlign w:val="baseline"/>
              </w:rPr>
              <w:t>食堂</w:t>
            </w: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1"/>
                <w:szCs w:val="21"/>
                <w:vertAlign w:val="baseline"/>
              </w:rPr>
            </w:pPr>
          </w:p>
        </w:tc>
        <w:tc>
          <w:tcPr>
            <w:tcW w:w="150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420" w:firstLineChars="200"/>
              <w:jc w:val="center"/>
              <w:textAlignment w:val="auto"/>
              <w:rPr>
                <w:color w:val="auto"/>
                <w:sz w:val="21"/>
                <w:szCs w:val="21"/>
                <w:vertAlign w:val="baseline"/>
              </w:rPr>
            </w:pPr>
            <w:r>
              <w:rPr>
                <w:rFonts w:hint="eastAsia"/>
                <w:color w:val="auto"/>
                <w:sz w:val="21"/>
                <w:szCs w:val="21"/>
                <w:vertAlign w:val="baseline"/>
                <w:lang w:val="en-US" w:eastAsia="zh-CN"/>
              </w:rPr>
              <w:t>/</w:t>
            </w:r>
          </w:p>
        </w:tc>
      </w:tr>
    </w:tbl>
    <w:p>
      <w:pPr>
        <w:pStyle w:val="16"/>
        <w:spacing w:line="360" w:lineRule="auto"/>
        <w:ind w:left="0" w:leftChars="0" w:firstLine="0" w:firstLineChars="0"/>
        <w:rPr>
          <w:rFonts w:hint="eastAsia" w:ascii="黑体" w:hAnsi="黑体" w:eastAsia="黑体" w:cs="黑体"/>
          <w:b/>
          <w:bCs/>
          <w:color w:val="auto"/>
          <w:sz w:val="28"/>
          <w:szCs w:val="21"/>
          <w:lang w:val="en-US" w:eastAsia="zh-CN"/>
        </w:rPr>
      </w:pPr>
      <w:r>
        <w:rPr>
          <w:rFonts w:hint="eastAsia" w:ascii="黑体" w:hAnsi="黑体" w:eastAsia="黑体" w:cs="黑体"/>
          <w:b/>
          <w:bCs/>
          <w:color w:val="auto"/>
          <w:sz w:val="28"/>
          <w:szCs w:val="21"/>
          <w:lang w:val="en-US" w:eastAsia="zh-CN"/>
        </w:rPr>
        <w:t>3.4.4现有工程生产设备</w:t>
      </w:r>
    </w:p>
    <w:p>
      <w:pPr>
        <w:pStyle w:val="16"/>
        <w:spacing w:line="360" w:lineRule="auto"/>
        <w:ind w:left="0" w:leftChars="0" w:firstLine="480" w:firstLineChars="200"/>
        <w:rPr>
          <w:rFonts w:hint="eastAsia"/>
          <w:color w:val="auto"/>
          <w:lang w:val="en-US" w:eastAsia="zh-CN"/>
        </w:rPr>
      </w:pPr>
      <w:r>
        <w:rPr>
          <w:rFonts w:hint="eastAsia"/>
          <w:color w:val="auto"/>
          <w:lang w:val="en-US" w:eastAsia="zh-CN"/>
        </w:rPr>
        <w:t>目前原有项目尚未运行，拟定原有项目主要生产设备如下表。</w:t>
      </w:r>
    </w:p>
    <w:p>
      <w:pPr>
        <w:pStyle w:val="166"/>
        <w:spacing w:before="0" w:beforeLines="0" w:line="240" w:lineRule="auto"/>
        <w:rPr>
          <w:rFonts w:hint="eastAsia"/>
          <w:color w:val="auto"/>
          <w:lang w:val="en-US" w:eastAsia="zh-CN"/>
        </w:rPr>
      </w:pPr>
      <w:r>
        <w:rPr>
          <w:color w:val="auto"/>
        </w:rPr>
        <w:t>表</w:t>
      </w:r>
      <w:r>
        <w:rPr>
          <w:rFonts w:hint="eastAsia" w:ascii="Times New Roman" w:hAnsi="Times New Roman" w:eastAsia="宋体" w:cs="Times New Roman"/>
          <w:b/>
          <w:color w:val="auto"/>
          <w:kern w:val="2"/>
          <w:sz w:val="21"/>
          <w:szCs w:val="24"/>
          <w:lang w:val="en-US" w:eastAsia="zh-CN" w:bidi="ar-SA"/>
        </w:rPr>
        <w:t xml:space="preserve">3.4-5 </w:t>
      </w:r>
      <w:r>
        <w:rPr>
          <w:color w:val="auto"/>
        </w:rPr>
        <w:t>主要生产设备一览表</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1723"/>
        <w:gridCol w:w="2424"/>
        <w:gridCol w:w="1720"/>
        <w:gridCol w:w="1052"/>
        <w:gridCol w:w="14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43" w:type="pct"/>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序号</w:t>
            </w:r>
          </w:p>
        </w:tc>
        <w:tc>
          <w:tcPr>
            <w:tcW w:w="2303" w:type="pct"/>
            <w:gridSpan w:val="2"/>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名称</w:t>
            </w:r>
          </w:p>
        </w:tc>
        <w:tc>
          <w:tcPr>
            <w:tcW w:w="955" w:type="pct"/>
            <w:noWrap w:val="0"/>
            <w:vAlign w:val="center"/>
          </w:tcPr>
          <w:p>
            <w:pPr>
              <w:adjustRightInd w:val="0"/>
              <w:snapToGrid w:val="0"/>
              <w:spacing w:line="240" w:lineRule="auto"/>
              <w:ind w:firstLine="0" w:firstLineChars="0"/>
              <w:jc w:val="center"/>
              <w:rPr>
                <w:rFonts w:hint="eastAsia" w:eastAsia="宋体"/>
                <w:b/>
                <w:bCs/>
                <w:color w:val="auto"/>
                <w:sz w:val="21"/>
                <w:szCs w:val="21"/>
                <w:lang w:val="en-US" w:eastAsia="zh-CN"/>
              </w:rPr>
            </w:pPr>
            <w:r>
              <w:rPr>
                <w:b/>
                <w:bCs/>
                <w:color w:val="auto"/>
                <w:sz w:val="21"/>
                <w:szCs w:val="21"/>
              </w:rPr>
              <w:t>规模/型号</w:t>
            </w:r>
          </w:p>
        </w:tc>
        <w:tc>
          <w:tcPr>
            <w:tcW w:w="584" w:type="pct"/>
            <w:noWrap w:val="0"/>
            <w:vAlign w:val="center"/>
          </w:tcPr>
          <w:p>
            <w:pPr>
              <w:adjustRightInd w:val="0"/>
              <w:snapToGrid w:val="0"/>
              <w:spacing w:line="240" w:lineRule="auto"/>
              <w:ind w:firstLine="0" w:firstLineChars="0"/>
              <w:jc w:val="center"/>
              <w:rPr>
                <w:b/>
                <w:bCs/>
                <w:color w:val="auto"/>
                <w:sz w:val="21"/>
                <w:szCs w:val="21"/>
              </w:rPr>
            </w:pPr>
            <w:r>
              <w:rPr>
                <w:b/>
                <w:bCs/>
                <w:color w:val="auto"/>
                <w:sz w:val="21"/>
                <w:szCs w:val="21"/>
              </w:rPr>
              <w:t>数量</w:t>
            </w:r>
          </w:p>
        </w:tc>
        <w:tc>
          <w:tcPr>
            <w:tcW w:w="812" w:type="pct"/>
            <w:noWrap w:val="0"/>
            <w:vAlign w:val="center"/>
          </w:tcPr>
          <w:p>
            <w:pPr>
              <w:adjustRightInd w:val="0"/>
              <w:snapToGrid w:val="0"/>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restar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vMerge w:val="restart"/>
            <w:noWrap w:val="0"/>
            <w:vAlign w:val="center"/>
          </w:tcPr>
          <w:p>
            <w:pPr>
              <w:pStyle w:val="274"/>
              <w:snapToGrid w:val="0"/>
              <w:spacing w:line="240" w:lineRule="auto"/>
              <w:rPr>
                <w:color w:val="auto"/>
                <w:sz w:val="21"/>
                <w:szCs w:val="21"/>
              </w:rPr>
            </w:pPr>
            <w:r>
              <w:rPr>
                <w:rFonts w:hint="eastAsia"/>
                <w:color w:val="auto"/>
                <w:sz w:val="21"/>
                <w:szCs w:val="21"/>
              </w:rPr>
              <w:t>育肥</w:t>
            </w:r>
            <w:r>
              <w:rPr>
                <w:rFonts w:hint="eastAsia"/>
                <w:color w:val="auto"/>
                <w:sz w:val="21"/>
                <w:szCs w:val="21"/>
                <w:lang w:val="en-US" w:eastAsia="zh-CN"/>
              </w:rPr>
              <w:t>猪</w:t>
            </w:r>
            <w:r>
              <w:rPr>
                <w:rFonts w:hint="eastAsia"/>
                <w:color w:val="auto"/>
                <w:sz w:val="21"/>
                <w:szCs w:val="21"/>
              </w:rPr>
              <w:t>舍设备</w:t>
            </w:r>
          </w:p>
        </w:tc>
        <w:tc>
          <w:tcPr>
            <w:tcW w:w="1346" w:type="pct"/>
            <w:noWrap w:val="0"/>
            <w:vAlign w:val="center"/>
          </w:tcPr>
          <w:p>
            <w:pPr>
              <w:adjustRightInd w:val="0"/>
              <w:snapToGrid w:val="0"/>
              <w:spacing w:line="240" w:lineRule="auto"/>
              <w:ind w:firstLine="0" w:firstLineChars="0"/>
              <w:jc w:val="center"/>
              <w:rPr>
                <w:color w:val="auto"/>
                <w:sz w:val="21"/>
                <w:szCs w:val="21"/>
              </w:rPr>
            </w:pPr>
            <w:r>
              <w:rPr>
                <w:rFonts w:hint="eastAsia" w:cs="宋体"/>
                <w:color w:val="auto"/>
                <w:sz w:val="21"/>
                <w:szCs w:val="21"/>
              </w:rPr>
              <w:t xml:space="preserve">栏位系统、环控系统、喂料系统、清粪系统等 </w:t>
            </w:r>
          </w:p>
        </w:tc>
        <w:tc>
          <w:tcPr>
            <w:tcW w:w="955" w:type="pct"/>
            <w:noWrap w:val="0"/>
            <w:vAlign w:val="center"/>
          </w:tcPr>
          <w:p>
            <w:pPr>
              <w:adjustRightInd w:val="0"/>
              <w:snapToGrid w:val="0"/>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w:t>
            </w:r>
          </w:p>
        </w:tc>
        <w:tc>
          <w:tcPr>
            <w:tcW w:w="584" w:type="pct"/>
            <w:noWrap w:val="0"/>
            <w:vAlign w:val="center"/>
          </w:tcPr>
          <w:p>
            <w:pPr>
              <w:adjustRightInd w:val="0"/>
              <w:snapToGrid w:val="0"/>
              <w:spacing w:line="240" w:lineRule="auto"/>
              <w:ind w:firstLine="0" w:firstLineChars="0"/>
              <w:jc w:val="center"/>
              <w:rPr>
                <w:rFonts w:hint="default" w:eastAsia="宋体" w:cs="宋体"/>
                <w:color w:val="auto"/>
                <w:sz w:val="21"/>
                <w:szCs w:val="21"/>
                <w:lang w:val="en-US" w:eastAsia="zh-CN"/>
              </w:rPr>
            </w:pPr>
            <w:r>
              <w:rPr>
                <w:rFonts w:hint="eastAsia" w:cs="宋体"/>
                <w:color w:val="auto"/>
                <w:sz w:val="21"/>
                <w:szCs w:val="21"/>
                <w:lang w:val="en-US" w:eastAsia="zh-CN"/>
              </w:rPr>
              <w:t>4套</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val="en-US" w:eastAsia="zh-CN"/>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continue"/>
            <w:noWrap w:val="0"/>
            <w:vAlign w:val="center"/>
          </w:tcPr>
          <w:p>
            <w:pPr>
              <w:adjustRightInd w:val="0"/>
              <w:snapToGrid w:val="0"/>
              <w:spacing w:line="240" w:lineRule="auto"/>
              <w:ind w:firstLine="0" w:firstLineChars="0"/>
              <w:jc w:val="center"/>
              <w:rPr>
                <w:color w:val="auto"/>
                <w:sz w:val="21"/>
                <w:szCs w:val="21"/>
              </w:rPr>
            </w:pPr>
          </w:p>
        </w:tc>
        <w:tc>
          <w:tcPr>
            <w:tcW w:w="957" w:type="pct"/>
            <w:vMerge w:val="continue"/>
            <w:noWrap w:val="0"/>
            <w:vAlign w:val="center"/>
          </w:tcPr>
          <w:p>
            <w:pPr>
              <w:pStyle w:val="274"/>
              <w:snapToGrid w:val="0"/>
              <w:spacing w:line="240" w:lineRule="auto"/>
              <w:rPr>
                <w:color w:val="auto"/>
                <w:sz w:val="21"/>
                <w:szCs w:val="21"/>
              </w:rPr>
            </w:pPr>
          </w:p>
        </w:tc>
        <w:tc>
          <w:tcPr>
            <w:tcW w:w="1346" w:type="pct"/>
            <w:noWrap w:val="0"/>
            <w:vAlign w:val="center"/>
          </w:tcPr>
          <w:p>
            <w:pPr>
              <w:adjustRightInd w:val="0"/>
              <w:snapToGrid w:val="0"/>
              <w:spacing w:line="240" w:lineRule="auto"/>
              <w:ind w:firstLine="0" w:firstLineChars="0"/>
              <w:jc w:val="center"/>
              <w:rPr>
                <w:color w:val="auto"/>
                <w:sz w:val="21"/>
                <w:szCs w:val="21"/>
              </w:rPr>
            </w:pPr>
            <w:r>
              <w:rPr>
                <w:rFonts w:cs="宋体"/>
                <w:bCs/>
                <w:color w:val="auto"/>
                <w:sz w:val="21"/>
                <w:szCs w:val="21"/>
              </w:rPr>
              <w:t>水帘降温系统</w:t>
            </w:r>
          </w:p>
        </w:tc>
        <w:tc>
          <w:tcPr>
            <w:tcW w:w="955" w:type="pct"/>
            <w:noWrap w:val="0"/>
            <w:vAlign w:val="center"/>
          </w:tcPr>
          <w:p>
            <w:pPr>
              <w:adjustRightInd w:val="0"/>
              <w:snapToGrid w:val="0"/>
              <w:spacing w:line="240" w:lineRule="auto"/>
              <w:ind w:firstLine="0" w:firstLineChars="0"/>
              <w:jc w:val="center"/>
              <w:rPr>
                <w:rFonts w:hint="eastAsia" w:eastAsia="宋体" w:cs="宋体"/>
                <w:color w:val="auto"/>
                <w:sz w:val="21"/>
                <w:szCs w:val="21"/>
                <w:lang w:val="en-US" w:eastAsia="zh-CN"/>
              </w:rPr>
            </w:pPr>
            <w:r>
              <w:rPr>
                <w:rFonts w:hint="eastAsia" w:cs="宋体"/>
                <w:color w:val="auto"/>
                <w:sz w:val="21"/>
                <w:szCs w:val="21"/>
                <w:lang w:val="en-US" w:eastAsia="zh-CN"/>
              </w:rPr>
              <w:t>/</w:t>
            </w:r>
          </w:p>
        </w:tc>
        <w:tc>
          <w:tcPr>
            <w:tcW w:w="584" w:type="pct"/>
            <w:noWrap w:val="0"/>
            <w:vAlign w:val="center"/>
          </w:tcPr>
          <w:p>
            <w:pPr>
              <w:adjustRightInd w:val="0"/>
              <w:snapToGrid w:val="0"/>
              <w:spacing w:line="240" w:lineRule="auto"/>
              <w:ind w:firstLine="0" w:firstLineChars="0"/>
              <w:jc w:val="center"/>
              <w:rPr>
                <w:rFonts w:hint="eastAsia" w:cs="宋体"/>
                <w:color w:val="auto"/>
                <w:sz w:val="21"/>
                <w:szCs w:val="21"/>
                <w:lang w:val="en-US" w:eastAsia="zh-CN"/>
              </w:rPr>
            </w:pPr>
            <w:r>
              <w:rPr>
                <w:rFonts w:hint="eastAsia" w:cs="宋体"/>
                <w:color w:val="auto"/>
                <w:sz w:val="21"/>
                <w:szCs w:val="21"/>
                <w:lang w:val="en-US" w:eastAsia="zh-CN"/>
              </w:rPr>
              <w:t>4套</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restar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vMerge w:val="restar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污水处理系统</w:t>
            </w:r>
          </w:p>
        </w:tc>
        <w:tc>
          <w:tcPr>
            <w:tcW w:w="134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固液分离机</w:t>
            </w:r>
          </w:p>
        </w:tc>
        <w:tc>
          <w:tcPr>
            <w:tcW w:w="955"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584"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eastAsia="宋体"/>
                <w:color w:val="auto"/>
                <w:sz w:val="21"/>
                <w:szCs w:val="21"/>
                <w:lang w:val="en-US" w:eastAsia="zh-CN"/>
              </w:rPr>
              <w:t>2个</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yellow"/>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continue"/>
            <w:noWrap w:val="0"/>
            <w:vAlign w:val="center"/>
          </w:tcPr>
          <w:p>
            <w:pPr>
              <w:adjustRightInd w:val="0"/>
              <w:snapToGrid w:val="0"/>
              <w:spacing w:line="240" w:lineRule="auto"/>
              <w:ind w:firstLine="0" w:firstLineChars="0"/>
              <w:jc w:val="center"/>
              <w:rPr>
                <w:color w:val="auto"/>
                <w:sz w:val="21"/>
                <w:szCs w:val="21"/>
              </w:rPr>
            </w:pPr>
          </w:p>
        </w:tc>
        <w:tc>
          <w:tcPr>
            <w:tcW w:w="957" w:type="pct"/>
            <w:vMerge w:val="continue"/>
            <w:noWrap w:val="0"/>
            <w:vAlign w:val="center"/>
          </w:tcPr>
          <w:p>
            <w:pPr>
              <w:adjustRightInd w:val="0"/>
              <w:snapToGrid w:val="0"/>
              <w:spacing w:line="240" w:lineRule="auto"/>
              <w:ind w:firstLine="0" w:firstLineChars="0"/>
              <w:jc w:val="center"/>
              <w:rPr>
                <w:color w:val="auto"/>
                <w:sz w:val="21"/>
                <w:szCs w:val="21"/>
              </w:rPr>
            </w:pPr>
          </w:p>
        </w:tc>
        <w:tc>
          <w:tcPr>
            <w:tcW w:w="134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收集池</w:t>
            </w:r>
          </w:p>
        </w:tc>
        <w:tc>
          <w:tcPr>
            <w:tcW w:w="955"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容积约565m</w:t>
            </w:r>
            <w:r>
              <w:rPr>
                <w:rFonts w:hint="eastAsia"/>
                <w:color w:val="auto"/>
                <w:sz w:val="21"/>
                <w:szCs w:val="21"/>
                <w:vertAlign w:val="superscript"/>
                <w:lang w:val="en-US" w:eastAsia="zh-CN"/>
              </w:rPr>
              <w:t>3</w:t>
            </w:r>
            <w:r>
              <w:rPr>
                <w:rFonts w:hint="eastAsia"/>
                <w:color w:val="auto"/>
                <w:sz w:val="21"/>
                <w:szCs w:val="21"/>
                <w:lang w:val="en-US" w:eastAsia="zh-CN"/>
              </w:rPr>
              <w:t>/个，R=6m，H=5m</w:t>
            </w:r>
          </w:p>
        </w:tc>
        <w:tc>
          <w:tcPr>
            <w:tcW w:w="584"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2个</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yellow"/>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continue"/>
            <w:noWrap w:val="0"/>
            <w:vAlign w:val="center"/>
          </w:tcPr>
          <w:p>
            <w:pPr>
              <w:adjustRightInd w:val="0"/>
              <w:snapToGrid w:val="0"/>
              <w:spacing w:line="240" w:lineRule="auto"/>
              <w:ind w:firstLine="0" w:firstLineChars="0"/>
              <w:jc w:val="center"/>
              <w:rPr>
                <w:color w:val="auto"/>
                <w:sz w:val="21"/>
                <w:szCs w:val="21"/>
              </w:rPr>
            </w:pPr>
          </w:p>
        </w:tc>
        <w:tc>
          <w:tcPr>
            <w:tcW w:w="957" w:type="pct"/>
            <w:vMerge w:val="continue"/>
            <w:noWrap w:val="0"/>
            <w:vAlign w:val="center"/>
          </w:tcPr>
          <w:p>
            <w:pPr>
              <w:adjustRightInd w:val="0"/>
              <w:snapToGrid w:val="0"/>
              <w:spacing w:line="240" w:lineRule="auto"/>
              <w:ind w:firstLine="0" w:firstLineChars="0"/>
              <w:jc w:val="center"/>
              <w:rPr>
                <w:color w:val="auto"/>
                <w:sz w:val="21"/>
                <w:szCs w:val="21"/>
              </w:rPr>
            </w:pPr>
          </w:p>
        </w:tc>
        <w:tc>
          <w:tcPr>
            <w:tcW w:w="134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黑</w:t>
            </w:r>
            <w:r>
              <w:rPr>
                <w:color w:val="auto"/>
                <w:sz w:val="21"/>
                <w:szCs w:val="21"/>
              </w:rPr>
              <w:t>膜沼气池</w:t>
            </w:r>
          </w:p>
        </w:tc>
        <w:tc>
          <w:tcPr>
            <w:tcW w:w="955"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容积1500m</w:t>
            </w:r>
            <w:r>
              <w:rPr>
                <w:rFonts w:hint="eastAsia"/>
                <w:color w:val="auto"/>
                <w:sz w:val="21"/>
                <w:szCs w:val="21"/>
                <w:vertAlign w:val="superscript"/>
                <w:lang w:val="en-US" w:eastAsia="zh-CN"/>
              </w:rPr>
              <w:t>3</w:t>
            </w:r>
          </w:p>
        </w:tc>
        <w:tc>
          <w:tcPr>
            <w:tcW w:w="584"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1个</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yellow"/>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vMerge w:val="continue"/>
            <w:noWrap w:val="0"/>
            <w:vAlign w:val="center"/>
          </w:tcPr>
          <w:p>
            <w:pPr>
              <w:adjustRightInd w:val="0"/>
              <w:snapToGrid w:val="0"/>
              <w:spacing w:line="240" w:lineRule="auto"/>
              <w:ind w:firstLine="0" w:firstLineChars="0"/>
              <w:jc w:val="center"/>
              <w:rPr>
                <w:color w:val="auto"/>
                <w:sz w:val="21"/>
                <w:szCs w:val="21"/>
              </w:rPr>
            </w:pPr>
          </w:p>
        </w:tc>
        <w:tc>
          <w:tcPr>
            <w:tcW w:w="957" w:type="pct"/>
            <w:vMerge w:val="continue"/>
            <w:noWrap w:val="0"/>
            <w:vAlign w:val="center"/>
          </w:tcPr>
          <w:p>
            <w:pPr>
              <w:adjustRightInd w:val="0"/>
              <w:snapToGrid w:val="0"/>
              <w:spacing w:line="240" w:lineRule="auto"/>
              <w:ind w:firstLine="0" w:firstLineChars="0"/>
              <w:jc w:val="center"/>
              <w:rPr>
                <w:color w:val="auto"/>
                <w:sz w:val="21"/>
                <w:szCs w:val="21"/>
              </w:rPr>
            </w:pPr>
          </w:p>
        </w:tc>
        <w:tc>
          <w:tcPr>
            <w:tcW w:w="1346"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沼液暂存池</w:t>
            </w:r>
          </w:p>
        </w:tc>
        <w:tc>
          <w:tcPr>
            <w:tcW w:w="955" w:type="pct"/>
            <w:noWrap w:val="0"/>
            <w:vAlign w:val="center"/>
          </w:tcPr>
          <w:p>
            <w:pPr>
              <w:adjustRightInd w:val="0"/>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65m*25m*4m</w:t>
            </w:r>
          </w:p>
          <w:p>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容积6500m</w:t>
            </w:r>
            <w:r>
              <w:rPr>
                <w:rFonts w:hint="eastAsia"/>
                <w:color w:val="auto"/>
                <w:sz w:val="21"/>
                <w:szCs w:val="21"/>
                <w:vertAlign w:val="superscript"/>
                <w:lang w:val="en-US" w:eastAsia="zh-CN"/>
              </w:rPr>
              <w:t>3</w:t>
            </w:r>
          </w:p>
        </w:tc>
        <w:tc>
          <w:tcPr>
            <w:tcW w:w="584" w:type="pct"/>
            <w:noWrap w:val="0"/>
            <w:vAlign w:val="center"/>
          </w:tcPr>
          <w:p>
            <w:pPr>
              <w:adjustRightInd w:val="0"/>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1个</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yellow"/>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消毒设备</w:t>
            </w:r>
          </w:p>
        </w:tc>
        <w:tc>
          <w:tcPr>
            <w:tcW w:w="1346" w:type="pct"/>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超声波雾化机、高压冲洗机、消毒设备等</w:t>
            </w:r>
          </w:p>
        </w:tc>
        <w:tc>
          <w:tcPr>
            <w:tcW w:w="955" w:type="pc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w:t>
            </w:r>
          </w:p>
        </w:tc>
        <w:tc>
          <w:tcPr>
            <w:tcW w:w="584" w:type="pct"/>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2套</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vMerge w:val="restart"/>
            <w:noWrap w:val="0"/>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其他</w:t>
            </w:r>
          </w:p>
        </w:tc>
        <w:tc>
          <w:tcPr>
            <w:tcW w:w="1346" w:type="pct"/>
            <w:noWrap w:val="0"/>
            <w:vAlign w:val="center"/>
          </w:tcPr>
          <w:p>
            <w:pPr>
              <w:adjustRightInd w:val="0"/>
              <w:snapToGrid w:val="0"/>
              <w:spacing w:line="240" w:lineRule="auto"/>
              <w:ind w:firstLine="0" w:firstLineChars="0"/>
              <w:jc w:val="center"/>
              <w:rPr>
                <w:color w:val="auto"/>
                <w:sz w:val="21"/>
                <w:szCs w:val="21"/>
              </w:rPr>
            </w:pPr>
            <w:r>
              <w:rPr>
                <w:rFonts w:hint="eastAsia"/>
                <w:color w:val="auto"/>
                <w:sz w:val="21"/>
                <w:szCs w:val="21"/>
              </w:rPr>
              <w:t>蓄水池</w:t>
            </w:r>
          </w:p>
        </w:tc>
        <w:tc>
          <w:tcPr>
            <w:tcW w:w="955"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lang w:val="en-US" w:eastAsia="zh-CN"/>
              </w:rPr>
              <w:t>3</w:t>
            </w:r>
            <w:r>
              <w:rPr>
                <w:color w:val="auto"/>
                <w:sz w:val="21"/>
                <w:szCs w:val="21"/>
              </w:rPr>
              <w:t>00</w:t>
            </w:r>
            <w:r>
              <w:rPr>
                <w:rFonts w:hint="eastAsia"/>
                <w:color w:val="auto"/>
                <w:sz w:val="21"/>
                <w:szCs w:val="21"/>
              </w:rPr>
              <w:t>m</w:t>
            </w:r>
            <w:r>
              <w:rPr>
                <w:color w:val="auto"/>
                <w:sz w:val="21"/>
                <w:szCs w:val="21"/>
                <w:vertAlign w:val="superscript"/>
              </w:rPr>
              <w:t>3</w:t>
            </w:r>
          </w:p>
        </w:tc>
        <w:tc>
          <w:tcPr>
            <w:tcW w:w="584"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1</w:t>
            </w:r>
            <w:r>
              <w:rPr>
                <w:rFonts w:hint="eastAsia"/>
                <w:color w:val="auto"/>
                <w:sz w:val="21"/>
                <w:szCs w:val="21"/>
                <w:lang w:val="en-US" w:eastAsia="zh-CN"/>
              </w:rPr>
              <w:t>个</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val="en-US" w:eastAsia="zh-CN"/>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vMerge w:val="continue"/>
            <w:noWrap w:val="0"/>
            <w:vAlign w:val="center"/>
          </w:tcPr>
          <w:p>
            <w:pPr>
              <w:adjustRightInd w:val="0"/>
              <w:snapToGrid w:val="0"/>
              <w:spacing w:line="240" w:lineRule="auto"/>
              <w:ind w:firstLine="0" w:firstLineChars="0"/>
              <w:jc w:val="center"/>
              <w:rPr>
                <w:rFonts w:hint="eastAsia"/>
                <w:color w:val="auto"/>
                <w:sz w:val="21"/>
                <w:szCs w:val="21"/>
                <w:lang w:val="en-US" w:eastAsia="zh-CN"/>
              </w:rPr>
            </w:pPr>
          </w:p>
        </w:tc>
        <w:tc>
          <w:tcPr>
            <w:tcW w:w="1346" w:type="pct"/>
            <w:noWrap w:val="0"/>
            <w:vAlign w:val="center"/>
          </w:tcPr>
          <w:p>
            <w:pPr>
              <w:adjustRightInd w:val="0"/>
              <w:snapToGrid w:val="0"/>
              <w:spacing w:line="240" w:lineRule="auto"/>
              <w:ind w:firstLine="0" w:firstLineChars="0"/>
              <w:jc w:val="center"/>
              <w:rPr>
                <w:rFonts w:hint="eastAsia"/>
                <w:color w:val="auto"/>
                <w:sz w:val="21"/>
                <w:szCs w:val="21"/>
              </w:rPr>
            </w:pPr>
            <w:r>
              <w:rPr>
                <w:rFonts w:cs="宋体"/>
                <w:color w:val="auto"/>
                <w:sz w:val="21"/>
                <w:szCs w:val="21"/>
              </w:rPr>
              <w:t>料塔</w:t>
            </w:r>
          </w:p>
        </w:tc>
        <w:tc>
          <w:tcPr>
            <w:tcW w:w="955"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s="宋体"/>
                <w:color w:val="auto"/>
                <w:sz w:val="21"/>
                <w:szCs w:val="21"/>
                <w:lang w:val="en-US" w:eastAsia="zh-CN"/>
              </w:rPr>
              <w:t>20t/个</w:t>
            </w:r>
          </w:p>
        </w:tc>
        <w:tc>
          <w:tcPr>
            <w:tcW w:w="584" w:type="pct"/>
            <w:noWrap w:val="0"/>
            <w:vAlign w:val="center"/>
          </w:tcPr>
          <w:p>
            <w:pPr>
              <w:adjustRightInd w:val="0"/>
              <w:snapToGrid w:val="0"/>
              <w:spacing w:line="240" w:lineRule="auto"/>
              <w:ind w:firstLine="0" w:firstLineChars="0"/>
              <w:jc w:val="center"/>
              <w:rPr>
                <w:rFonts w:hint="eastAsia"/>
                <w:color w:val="auto"/>
                <w:sz w:val="21"/>
                <w:szCs w:val="21"/>
              </w:rPr>
            </w:pPr>
            <w:r>
              <w:rPr>
                <w:rFonts w:hint="eastAsia" w:cs="宋体"/>
                <w:color w:val="auto"/>
                <w:sz w:val="21"/>
                <w:szCs w:val="21"/>
                <w:lang w:val="en-US" w:eastAsia="zh-CN"/>
              </w:rPr>
              <w:t>5套</w:t>
            </w:r>
          </w:p>
        </w:tc>
        <w:tc>
          <w:tcPr>
            <w:tcW w:w="8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val="en-US" w:eastAsia="zh-CN"/>
              </w:rPr>
            </w:pPr>
            <w:r>
              <w:rPr>
                <w:rFonts w:hint="eastAsia" w:cs="宋体"/>
                <w:color w:val="auto"/>
                <w:sz w:val="21"/>
                <w:szCs w:val="21"/>
                <w:lang w:val="en-US" w:eastAsia="zh-CN"/>
              </w:rPr>
              <w:t>已建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3" w:type="pct"/>
            <w:noWrap w:val="0"/>
            <w:vAlign w:val="center"/>
          </w:tcPr>
          <w:p>
            <w:pPr>
              <w:numPr>
                <w:ilvl w:val="0"/>
                <w:numId w:val="4"/>
              </w:numPr>
              <w:adjustRightInd w:val="0"/>
              <w:snapToGrid w:val="0"/>
              <w:spacing w:line="240" w:lineRule="auto"/>
              <w:ind w:left="425" w:leftChars="0" w:hanging="425" w:firstLineChars="0"/>
              <w:jc w:val="center"/>
              <w:rPr>
                <w:color w:val="auto"/>
                <w:sz w:val="21"/>
                <w:szCs w:val="21"/>
              </w:rPr>
            </w:pPr>
          </w:p>
        </w:tc>
        <w:tc>
          <w:tcPr>
            <w:tcW w:w="957" w:type="pct"/>
            <w:vMerge w:val="continue"/>
            <w:noWrap w:val="0"/>
            <w:vAlign w:val="center"/>
          </w:tcPr>
          <w:p>
            <w:pPr>
              <w:adjustRightInd w:val="0"/>
              <w:snapToGrid w:val="0"/>
              <w:spacing w:line="240" w:lineRule="auto"/>
              <w:ind w:firstLine="0" w:firstLineChars="0"/>
              <w:jc w:val="center"/>
              <w:rPr>
                <w:rFonts w:hint="eastAsia"/>
                <w:color w:val="auto"/>
                <w:sz w:val="21"/>
                <w:szCs w:val="21"/>
                <w:lang w:val="en-US" w:eastAsia="zh-CN"/>
              </w:rPr>
            </w:pPr>
          </w:p>
        </w:tc>
        <w:tc>
          <w:tcPr>
            <w:tcW w:w="1346" w:type="pct"/>
            <w:noWrap w:val="0"/>
            <w:vAlign w:val="center"/>
          </w:tcPr>
          <w:p>
            <w:pPr>
              <w:adjustRightInd w:val="0"/>
              <w:snapToGrid w:val="0"/>
              <w:spacing w:line="240" w:lineRule="auto"/>
              <w:ind w:firstLine="0" w:firstLineChars="0"/>
              <w:jc w:val="center"/>
              <w:rPr>
                <w:rFonts w:cs="宋体"/>
                <w:color w:val="auto"/>
                <w:sz w:val="21"/>
                <w:szCs w:val="21"/>
              </w:rPr>
            </w:pPr>
            <w:r>
              <w:rPr>
                <w:rFonts w:hint="eastAsia" w:cs="宋体"/>
                <w:color w:val="auto"/>
                <w:sz w:val="21"/>
                <w:szCs w:val="21"/>
              </w:rPr>
              <w:t>地暖设施</w:t>
            </w:r>
          </w:p>
        </w:tc>
        <w:tc>
          <w:tcPr>
            <w:tcW w:w="955" w:type="pct"/>
            <w:noWrap w:val="0"/>
            <w:vAlign w:val="center"/>
          </w:tcPr>
          <w:p>
            <w:pPr>
              <w:adjustRightInd w:val="0"/>
              <w:snapToGrid w:val="0"/>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w:t>
            </w:r>
          </w:p>
        </w:tc>
        <w:tc>
          <w:tcPr>
            <w:tcW w:w="584" w:type="pct"/>
            <w:noWrap w:val="0"/>
            <w:vAlign w:val="center"/>
          </w:tcPr>
          <w:p>
            <w:pPr>
              <w:adjustRightInd w:val="0"/>
              <w:snapToGrid w:val="0"/>
              <w:spacing w:line="240" w:lineRule="auto"/>
              <w:ind w:firstLine="0" w:firstLineChars="0"/>
              <w:jc w:val="center"/>
              <w:rPr>
                <w:rFonts w:hint="default" w:cs="宋体"/>
                <w:color w:val="auto"/>
                <w:sz w:val="21"/>
                <w:szCs w:val="21"/>
                <w:lang w:val="en-US" w:eastAsia="zh-CN"/>
              </w:rPr>
            </w:pPr>
            <w:r>
              <w:rPr>
                <w:rFonts w:hint="eastAsia" w:cs="宋体"/>
                <w:color w:val="auto"/>
                <w:sz w:val="21"/>
                <w:szCs w:val="21"/>
                <w:lang w:val="en-US" w:eastAsia="zh-CN"/>
              </w:rPr>
              <w:t>4套</w:t>
            </w:r>
          </w:p>
        </w:tc>
        <w:tc>
          <w:tcPr>
            <w:tcW w:w="812" w:type="pct"/>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eastAsia="宋体"/>
                <w:color w:val="auto"/>
                <w:sz w:val="21"/>
                <w:szCs w:val="21"/>
                <w:lang w:val="en-US" w:eastAsia="zh-CN"/>
              </w:rPr>
            </w:pPr>
            <w:r>
              <w:rPr>
                <w:rFonts w:hint="eastAsia" w:cs="宋体"/>
                <w:color w:val="auto"/>
                <w:sz w:val="21"/>
                <w:szCs w:val="21"/>
                <w:lang w:val="en-US" w:eastAsia="zh-CN"/>
              </w:rPr>
              <w:t>已建</w:t>
            </w:r>
          </w:p>
        </w:tc>
      </w:tr>
    </w:tbl>
    <w:p>
      <w:pPr>
        <w:pStyle w:val="16"/>
        <w:spacing w:line="360" w:lineRule="auto"/>
        <w:ind w:left="0" w:leftChars="0" w:firstLine="0" w:firstLineChars="0"/>
        <w:rPr>
          <w:rFonts w:hint="eastAsia" w:ascii="黑体" w:hAnsi="黑体" w:eastAsia="黑体" w:cs="黑体"/>
          <w:b/>
          <w:bCs/>
          <w:color w:val="auto"/>
          <w:sz w:val="28"/>
          <w:szCs w:val="21"/>
          <w:lang w:val="en-US" w:eastAsia="zh-CN"/>
        </w:rPr>
      </w:pPr>
      <w:r>
        <w:rPr>
          <w:rFonts w:hint="eastAsia" w:ascii="黑体" w:hAnsi="黑体" w:eastAsia="黑体" w:cs="黑体"/>
          <w:b/>
          <w:bCs/>
          <w:color w:val="auto"/>
          <w:sz w:val="28"/>
          <w:szCs w:val="21"/>
          <w:lang w:val="en-US" w:eastAsia="zh-CN"/>
        </w:rPr>
        <w:t>3.4.5现有工程生产设备</w:t>
      </w:r>
    </w:p>
    <w:p>
      <w:pPr>
        <w:pStyle w:val="16"/>
        <w:spacing w:line="360" w:lineRule="auto"/>
        <w:ind w:left="0" w:leftChars="0" w:firstLine="0" w:firstLineChars="0"/>
        <w:rPr>
          <w:rFonts w:hint="eastAsia" w:ascii="黑体" w:hAnsi="黑体" w:eastAsia="黑体" w:cs="黑体"/>
          <w:b/>
          <w:bCs/>
          <w:color w:val="auto"/>
          <w:sz w:val="28"/>
          <w:szCs w:val="21"/>
          <w:lang w:val="en-US" w:eastAsia="zh-CN"/>
        </w:rPr>
      </w:pPr>
      <w:r>
        <w:rPr>
          <w:rFonts w:hint="eastAsia" w:ascii="宋体" w:hAnsi="宋体" w:eastAsia="宋体" w:cs="宋体"/>
          <w:b/>
          <w:bCs/>
          <w:color w:val="auto"/>
          <w:sz w:val="24"/>
          <w:szCs w:val="20"/>
          <w:lang w:val="en-US" w:eastAsia="zh-CN"/>
        </w:rPr>
        <w:t>生猪养殖工艺及产污情况见下图。</w:t>
      </w:r>
    </w:p>
    <w:p>
      <w:pPr>
        <w:pStyle w:val="16"/>
        <w:spacing w:line="360" w:lineRule="auto"/>
        <w:ind w:left="0" w:leftChars="0" w:firstLine="0" w:firstLineChars="0"/>
        <w:jc w:val="center"/>
        <w:rPr>
          <w:rFonts w:hint="default"/>
          <w:color w:val="auto"/>
          <w:lang w:val="en-US" w:eastAsia="zh-CN"/>
        </w:rPr>
      </w:pPr>
      <w:r>
        <w:rPr>
          <w:rFonts w:hint="default"/>
          <w:color w:val="auto"/>
          <w:lang w:val="en-US" w:eastAsia="zh-CN"/>
        </w:rPr>
        <w:drawing>
          <wp:inline distT="0" distB="0" distL="114300" distR="114300">
            <wp:extent cx="3949065" cy="3286125"/>
            <wp:effectExtent l="0" t="0" r="13335" b="9525"/>
            <wp:docPr id="15" name="图片 66" descr="AND4RP7C{K89}EL5BH_H(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6" descr="AND4RP7C{K89}EL5BH_H(YE"/>
                    <pic:cNvPicPr>
                      <a:picLocks noChangeAspect="1"/>
                    </pic:cNvPicPr>
                  </pic:nvPicPr>
                  <pic:blipFill>
                    <a:blip r:embed="rId30"/>
                    <a:stretch>
                      <a:fillRect/>
                    </a:stretch>
                  </pic:blipFill>
                  <pic:spPr>
                    <a:xfrm>
                      <a:off x="0" y="0"/>
                      <a:ext cx="3949065" cy="3286125"/>
                    </a:xfrm>
                    <a:prstGeom prst="rect">
                      <a:avLst/>
                    </a:prstGeom>
                    <a:noFill/>
                    <a:ln>
                      <a:noFill/>
                    </a:ln>
                  </pic:spPr>
                </pic:pic>
              </a:graphicData>
            </a:graphic>
          </wp:inline>
        </w:drawing>
      </w:r>
    </w:p>
    <w:p>
      <w:pPr>
        <w:pStyle w:val="16"/>
        <w:spacing w:line="360" w:lineRule="auto"/>
        <w:ind w:left="0" w:leftChars="0" w:firstLine="0" w:firstLineChars="0"/>
        <w:jc w:val="center"/>
        <w:rPr>
          <w:rFonts w:hint="default"/>
          <w:b/>
          <w:bCs/>
          <w:color w:val="auto"/>
          <w:sz w:val="21"/>
          <w:szCs w:val="16"/>
          <w:lang w:val="en-US" w:eastAsia="zh-CN"/>
        </w:rPr>
      </w:pPr>
      <w:r>
        <w:rPr>
          <w:rFonts w:hint="default"/>
          <w:b/>
          <w:bCs/>
          <w:color w:val="auto"/>
          <w:sz w:val="21"/>
          <w:szCs w:val="16"/>
          <w:lang w:val="en-US" w:eastAsia="zh-CN"/>
        </w:rPr>
        <w:t>图</w:t>
      </w:r>
      <w:r>
        <w:rPr>
          <w:rFonts w:hint="eastAsia"/>
          <w:b/>
          <w:bCs/>
          <w:color w:val="auto"/>
          <w:sz w:val="21"/>
          <w:szCs w:val="16"/>
          <w:lang w:val="en-US" w:eastAsia="zh-CN"/>
        </w:rPr>
        <w:t>3.4</w:t>
      </w:r>
      <w:r>
        <w:rPr>
          <w:rFonts w:hint="default"/>
          <w:b/>
          <w:bCs/>
          <w:color w:val="auto"/>
          <w:sz w:val="21"/>
          <w:szCs w:val="16"/>
          <w:lang w:val="en-US" w:eastAsia="zh-CN"/>
        </w:rPr>
        <w:t>-1</w:t>
      </w:r>
      <w:r>
        <w:rPr>
          <w:rFonts w:hint="eastAsia"/>
          <w:b/>
          <w:bCs/>
          <w:color w:val="auto"/>
          <w:sz w:val="21"/>
          <w:szCs w:val="16"/>
          <w:lang w:val="en-US" w:eastAsia="zh-CN"/>
        </w:rPr>
        <w:t xml:space="preserve"> </w:t>
      </w:r>
      <w:r>
        <w:rPr>
          <w:rFonts w:hint="default"/>
          <w:b/>
          <w:bCs/>
          <w:color w:val="auto"/>
          <w:sz w:val="21"/>
          <w:szCs w:val="16"/>
          <w:lang w:val="en-US" w:eastAsia="zh-CN"/>
        </w:rPr>
        <w:t>养殖工艺流程及产污位置图</w:t>
      </w:r>
      <w:r>
        <w:rPr>
          <w:rFonts w:hint="default" w:ascii="Times New Roman" w:hAnsi="Times New Roman" w:eastAsia="宋体" w:cs="Times New Roman"/>
          <w:i w:val="0"/>
          <w:caps w:val="0"/>
          <w:color w:val="auto"/>
          <w:spacing w:val="0"/>
          <w:sz w:val="24"/>
          <w:szCs w:val="24"/>
          <w:shd w:val="clear" w:color="auto" w:fill="FFFFFF"/>
        </w:rPr>
        <w:br w:type="textWrapping"/>
      </w:r>
      <w:r>
        <w:rPr>
          <w:rFonts w:hint="eastAsia" w:ascii="Times New Roman" w:hAnsi="Times New Roman" w:eastAsia="宋体" w:cs="Times New Roman"/>
          <w:i w:val="0"/>
          <w:caps w:val="0"/>
          <w:color w:val="auto"/>
          <w:spacing w:val="0"/>
          <w:sz w:val="24"/>
          <w:szCs w:val="24"/>
          <w:shd w:val="clear" w:color="auto" w:fill="FFFFFF"/>
          <w:lang w:val="en-US" w:eastAsia="zh-CN"/>
        </w:rPr>
        <w:t xml:space="preserve">    </w:t>
      </w:r>
      <w:r>
        <w:rPr>
          <w:rFonts w:hint="default" w:ascii="Times New Roman" w:hAnsi="Times New Roman" w:eastAsia="宋体" w:cs="Times New Roman"/>
          <w:i w:val="0"/>
          <w:caps w:val="0"/>
          <w:color w:val="auto"/>
          <w:spacing w:val="0"/>
          <w:sz w:val="24"/>
          <w:szCs w:val="24"/>
          <w:shd w:val="clear" w:color="auto" w:fill="FFFFFF"/>
        </w:rPr>
        <w:t>饲养工艺流程顺序依次为：配种→妊娠→分娩→保育→育肥→出售，项目采用集约化养猪工艺，集约化养猪的目的是要摆脱分散的、传统的季节性的生产方式，建立工厂化、程序化、常年均衡的养猪生产体系，从而达到生产的高水平和经营的高效益。</w:t>
      </w:r>
    </w:p>
    <w:p>
      <w:pPr>
        <w:pStyle w:val="16"/>
        <w:spacing w:line="360" w:lineRule="auto"/>
        <w:ind w:left="0" w:leftChars="0" w:firstLine="0" w:firstLineChars="0"/>
        <w:rPr>
          <w:rFonts w:hint="eastAsia" w:ascii="黑体" w:hAnsi="黑体" w:eastAsia="黑体" w:cs="黑体"/>
          <w:b/>
          <w:bCs/>
          <w:color w:val="auto"/>
          <w:sz w:val="28"/>
          <w:szCs w:val="21"/>
          <w:lang w:val="en-US" w:eastAsia="zh-CN"/>
        </w:rPr>
      </w:pPr>
      <w:r>
        <w:rPr>
          <w:rFonts w:hint="eastAsia" w:ascii="黑体" w:hAnsi="黑体" w:eastAsia="黑体" w:cs="黑体"/>
          <w:b/>
          <w:bCs/>
          <w:color w:val="auto"/>
          <w:sz w:val="28"/>
          <w:szCs w:val="21"/>
          <w:lang w:val="en-US" w:eastAsia="zh-CN"/>
        </w:rPr>
        <w:t>3.4.6现有工程污染物产生及排放量</w:t>
      </w:r>
    </w:p>
    <w:p>
      <w:pPr>
        <w:pStyle w:val="16"/>
        <w:spacing w:line="360" w:lineRule="auto"/>
        <w:ind w:left="0" w:leftChars="0" w:firstLine="0" w:firstLineChars="0"/>
        <w:rPr>
          <w:rFonts w:hint="default"/>
          <w:color w:val="auto"/>
          <w:lang w:val="en-US" w:eastAsia="zh-CN"/>
        </w:rPr>
      </w:pPr>
      <w:r>
        <w:rPr>
          <w:rFonts w:hint="eastAsia"/>
          <w:color w:val="auto"/>
          <w:lang w:val="en-US" w:eastAsia="zh-CN"/>
        </w:rPr>
        <w:t xml:space="preserve">    目前原有项目尚未运行，尚无污染物产生及排放，原项目已建成4栋猪舍及污水处理系统、蓄水池等部分辅助设施，本项目依托原项目项目建设的猪舍及公辅设施，经现场勘查 ，无环境遗留问题。</w:t>
      </w:r>
    </w:p>
    <w:p>
      <w:pPr>
        <w:pStyle w:val="7"/>
        <w:numPr>
          <w:ilvl w:val="0"/>
          <w:numId w:val="0"/>
        </w:numPr>
        <w:bidi w:val="0"/>
        <w:ind w:leftChars="0"/>
        <w:rPr>
          <w:color w:val="auto"/>
        </w:rPr>
      </w:pPr>
      <w:bookmarkStart w:id="75" w:name="_Toc436035675"/>
      <w:bookmarkStart w:id="76" w:name="_Toc16259"/>
      <w:r>
        <w:rPr>
          <w:rFonts w:hint="eastAsia"/>
          <w:color w:val="auto"/>
          <w:lang w:val="en-US" w:eastAsia="zh-CN"/>
        </w:rPr>
        <w:t>3.5</w:t>
      </w:r>
      <w:r>
        <w:rPr>
          <w:color w:val="auto"/>
        </w:rPr>
        <w:t>施工期工程分析</w:t>
      </w:r>
      <w:bookmarkEnd w:id="75"/>
      <w:bookmarkEnd w:id="76"/>
    </w:p>
    <w:p>
      <w:pPr>
        <w:ind w:firstLine="480"/>
        <w:rPr>
          <w:color w:val="auto"/>
        </w:rPr>
      </w:pPr>
      <w:r>
        <w:rPr>
          <w:rFonts w:hint="eastAsia"/>
          <w:b w:val="0"/>
          <w:bCs w:val="0"/>
          <w:color w:val="auto"/>
          <w:lang w:val="en-US" w:eastAsia="zh-CN"/>
        </w:rPr>
        <w:t>目前，项目已建成4栋猪舍及污水处理系统、蓄水池等部分辅助设施，项目计划共建设</w:t>
      </w:r>
      <w:r>
        <w:rPr>
          <w:rFonts w:hint="eastAsia"/>
          <w:b w:val="0"/>
          <w:bCs w:val="0"/>
          <w:color w:val="auto"/>
          <w:lang w:eastAsia="zh-CN"/>
        </w:rPr>
        <w:t>育肥栏舍</w:t>
      </w:r>
      <w:r>
        <w:rPr>
          <w:rFonts w:hint="eastAsia"/>
          <w:b w:val="0"/>
          <w:bCs w:val="0"/>
          <w:color w:val="auto"/>
          <w:lang w:val="en-US" w:eastAsia="zh-CN"/>
        </w:rPr>
        <w:t>6</w:t>
      </w:r>
      <w:r>
        <w:rPr>
          <w:rFonts w:hint="eastAsia"/>
          <w:b w:val="0"/>
          <w:bCs w:val="0"/>
          <w:color w:val="auto"/>
          <w:lang w:eastAsia="zh-CN"/>
        </w:rPr>
        <w:t>栋，并配套建设供电、供水等公用和辅助工程以及污粪处理等环保设施，</w:t>
      </w:r>
      <w:r>
        <w:rPr>
          <w:rFonts w:hint="eastAsia"/>
          <w:b w:val="0"/>
          <w:bCs w:val="0"/>
          <w:color w:val="auto"/>
          <w:lang w:val="en-US" w:eastAsia="zh-CN"/>
        </w:rPr>
        <w:t>因此，项目建设包含施工期</w:t>
      </w:r>
      <w:r>
        <w:rPr>
          <w:rFonts w:hint="eastAsia"/>
          <w:b w:val="0"/>
          <w:bCs w:val="0"/>
          <w:color w:val="auto"/>
          <w:lang w:eastAsia="zh-CN"/>
        </w:rPr>
        <w:t>。</w:t>
      </w:r>
      <w:r>
        <w:rPr>
          <w:b w:val="0"/>
          <w:bCs w:val="0"/>
          <w:color w:val="auto"/>
        </w:rPr>
        <w:t>本</w:t>
      </w:r>
      <w:r>
        <w:rPr>
          <w:color w:val="auto"/>
        </w:rPr>
        <w:t>项目施工期主要包括基础工程、主体工程、装饰工程、设备安装等工程建设。项目预计202</w:t>
      </w:r>
      <w:r>
        <w:rPr>
          <w:rFonts w:hint="eastAsia"/>
          <w:color w:val="auto"/>
          <w:lang w:val="en-US" w:eastAsia="zh-CN"/>
        </w:rPr>
        <w:t>1</w:t>
      </w:r>
      <w:r>
        <w:rPr>
          <w:color w:val="auto"/>
        </w:rPr>
        <w:t>年</w:t>
      </w:r>
      <w:r>
        <w:rPr>
          <w:rFonts w:hint="eastAsia"/>
          <w:color w:val="auto"/>
          <w:lang w:val="en-US" w:eastAsia="zh-CN"/>
        </w:rPr>
        <w:t>6</w:t>
      </w:r>
      <w:r>
        <w:rPr>
          <w:color w:val="auto"/>
        </w:rPr>
        <w:t>月开工建设，2021年</w:t>
      </w:r>
      <w:r>
        <w:rPr>
          <w:rFonts w:hint="eastAsia"/>
          <w:color w:val="auto"/>
          <w:lang w:val="en-US" w:eastAsia="zh-CN"/>
        </w:rPr>
        <w:t>12</w:t>
      </w:r>
      <w:r>
        <w:rPr>
          <w:color w:val="auto"/>
        </w:rPr>
        <w:t>月建成，施工期约</w:t>
      </w:r>
      <w:r>
        <w:rPr>
          <w:rFonts w:hint="eastAsia"/>
          <w:color w:val="auto"/>
          <w:lang w:val="en-US" w:eastAsia="zh-CN"/>
        </w:rPr>
        <w:t>6</w:t>
      </w:r>
      <w:r>
        <w:rPr>
          <w:color w:val="auto"/>
        </w:rPr>
        <w:t>个月。</w:t>
      </w:r>
    </w:p>
    <w:p>
      <w:pPr>
        <w:pStyle w:val="8"/>
        <w:numPr>
          <w:ilvl w:val="0"/>
          <w:numId w:val="0"/>
        </w:numPr>
        <w:bidi w:val="0"/>
        <w:ind w:leftChars="0"/>
        <w:rPr>
          <w:color w:val="auto"/>
        </w:rPr>
      </w:pPr>
      <w:bookmarkStart w:id="77" w:name="_Toc170544194"/>
      <w:bookmarkStart w:id="78" w:name="_Toc360634811"/>
      <w:bookmarkStart w:id="79" w:name="_Toc110935812"/>
      <w:bookmarkStart w:id="80" w:name="_Toc110935444"/>
      <w:bookmarkStart w:id="81" w:name="_Toc111453585"/>
      <w:bookmarkStart w:id="82" w:name="_Toc387831646"/>
      <w:bookmarkStart w:id="83" w:name="_Toc170707097"/>
      <w:bookmarkStart w:id="84" w:name="_Toc111022441"/>
      <w:r>
        <w:rPr>
          <w:rFonts w:hint="eastAsia"/>
          <w:color w:val="auto"/>
          <w:lang w:val="en-US" w:eastAsia="zh-CN"/>
        </w:rPr>
        <w:t>3.5.1</w:t>
      </w:r>
      <w:r>
        <w:rPr>
          <w:color w:val="auto"/>
        </w:rPr>
        <w:t>施工期工艺流程</w:t>
      </w:r>
      <w:bookmarkEnd w:id="77"/>
      <w:bookmarkEnd w:id="78"/>
      <w:bookmarkEnd w:id="79"/>
      <w:bookmarkEnd w:id="80"/>
      <w:bookmarkEnd w:id="81"/>
      <w:bookmarkEnd w:id="82"/>
      <w:bookmarkEnd w:id="83"/>
      <w:bookmarkEnd w:id="84"/>
    </w:p>
    <w:p>
      <w:pPr>
        <w:ind w:firstLine="480"/>
        <w:rPr>
          <w:color w:val="auto"/>
        </w:rPr>
      </w:pPr>
      <w:r>
        <w:rPr>
          <w:color w:val="auto"/>
        </w:rPr>
        <w:t>本项目施工按照基础工程——主体工程——装饰工程——设备安装的次序安排施工方案，施工过程中所用到的主要施工方法有：基础构造柱和圈梁、施工材料的装运等。采用的施工机械主要有：推土机、挖掘机、载重汽车、振捣器、打桩机、塔吊等。工程施工期间对环境的影响主要表现在基础工程、主体工程、装饰工程、设备安装等建设工序将产生噪声、扬尘、固体废弃物、少量污水和废气等污染物，其排放量随工期和施工强度不同而有所变化。施工期工艺流程及产污环节见图3.</w:t>
      </w:r>
      <w:r>
        <w:rPr>
          <w:rFonts w:hint="eastAsia"/>
          <w:color w:val="auto"/>
          <w:lang w:val="en-US" w:eastAsia="zh-CN"/>
        </w:rPr>
        <w:t>5</w:t>
      </w:r>
      <w:r>
        <w:rPr>
          <w:color w:val="auto"/>
        </w:rPr>
        <w:t>-1。</w:t>
      </w:r>
    </w:p>
    <w:p>
      <w:pPr>
        <w:adjustRightInd w:val="0"/>
        <w:snapToGrid w:val="0"/>
        <w:spacing w:before="120" w:beforeLines="50" w:after="120" w:afterLines="50"/>
        <w:ind w:firstLine="0" w:firstLineChars="0"/>
        <w:jc w:val="center"/>
        <w:rPr>
          <w:color w:val="auto"/>
          <w:spacing w:val="-4"/>
          <w:sz w:val="26"/>
          <w:szCs w:val="26"/>
        </w:rPr>
      </w:pPr>
      <w:r>
        <w:rPr>
          <w:color w:val="auto"/>
          <w:position w:val="-51"/>
          <w:sz w:val="20"/>
          <w:szCs w:val="20"/>
        </w:rPr>
        <w:drawing>
          <wp:inline distT="0" distB="0" distL="114300" distR="114300">
            <wp:extent cx="5539740" cy="1482090"/>
            <wp:effectExtent l="0" t="0" r="3810" b="381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31"/>
                    <a:stretch>
                      <a:fillRect/>
                    </a:stretch>
                  </pic:blipFill>
                  <pic:spPr>
                    <a:xfrm>
                      <a:off x="0" y="0"/>
                      <a:ext cx="5539740" cy="1482090"/>
                    </a:xfrm>
                    <a:prstGeom prst="rect">
                      <a:avLst/>
                    </a:prstGeom>
                    <a:noFill/>
                    <a:ln>
                      <a:noFill/>
                    </a:ln>
                  </pic:spPr>
                </pic:pic>
              </a:graphicData>
            </a:graphic>
          </wp:inline>
        </w:drawing>
      </w:r>
    </w:p>
    <w:p>
      <w:pPr>
        <w:pStyle w:val="166"/>
        <w:spacing w:before="120" w:beforeLines="0" w:line="360" w:lineRule="auto"/>
        <w:rPr>
          <w:color w:val="auto"/>
          <w:szCs w:val="21"/>
        </w:rPr>
      </w:pPr>
      <w:r>
        <w:rPr>
          <w:color w:val="auto"/>
        </w:rPr>
        <w:t>图3.</w:t>
      </w:r>
      <w:r>
        <w:rPr>
          <w:rFonts w:hint="eastAsia"/>
          <w:color w:val="auto"/>
          <w:lang w:val="en-US" w:eastAsia="zh-CN"/>
        </w:rPr>
        <w:t>5</w:t>
      </w:r>
      <w:r>
        <w:rPr>
          <w:color w:val="auto"/>
        </w:rPr>
        <w:t>-</w:t>
      </w:r>
      <w:r>
        <w:rPr>
          <w:rFonts w:hint="eastAsia"/>
          <w:color w:val="auto"/>
          <w:lang w:val="en-US" w:eastAsia="zh-CN"/>
        </w:rPr>
        <w:t xml:space="preserve">1 </w:t>
      </w:r>
      <w:r>
        <w:rPr>
          <w:color w:val="auto"/>
        </w:rPr>
        <w:t>施工期工艺流程及产污环节示意图</w:t>
      </w:r>
    </w:p>
    <w:p>
      <w:pPr>
        <w:pStyle w:val="8"/>
        <w:numPr>
          <w:ilvl w:val="0"/>
          <w:numId w:val="0"/>
        </w:numPr>
        <w:bidi w:val="0"/>
        <w:ind w:leftChars="0"/>
        <w:rPr>
          <w:color w:val="auto"/>
        </w:rPr>
      </w:pPr>
      <w:r>
        <w:rPr>
          <w:rFonts w:hint="eastAsia"/>
          <w:color w:val="auto"/>
          <w:lang w:val="en-US" w:eastAsia="zh-CN"/>
        </w:rPr>
        <w:t>3.5.2</w:t>
      </w:r>
      <w:r>
        <w:rPr>
          <w:color w:val="auto"/>
        </w:rPr>
        <w:t>施工期主要污染工序</w:t>
      </w:r>
    </w:p>
    <w:p>
      <w:pPr>
        <w:pStyle w:val="9"/>
        <w:numPr>
          <w:ilvl w:val="0"/>
          <w:numId w:val="0"/>
        </w:numPr>
        <w:ind w:leftChars="0"/>
        <w:rPr>
          <w:rFonts w:ascii="Times New Roman" w:hAnsi="Times New Roman"/>
          <w:color w:val="auto"/>
        </w:rPr>
      </w:pPr>
      <w:r>
        <w:rPr>
          <w:rFonts w:hint="eastAsia"/>
          <w:color w:val="auto"/>
          <w:lang w:val="en-US" w:eastAsia="zh-CN"/>
        </w:rPr>
        <w:t>3.5.2.1</w:t>
      </w:r>
      <w:r>
        <w:rPr>
          <w:color w:val="auto"/>
        </w:rPr>
        <w:t>主要污染工序</w:t>
      </w:r>
      <w:r>
        <w:rPr>
          <w:rFonts w:ascii="Times New Roman" w:hAnsi="Times New Roman"/>
          <w:color w:val="auto"/>
        </w:rPr>
        <w:t>程建设施工期对环境的影响主要表现为：声环境、环境空气、地表水环境等的影响。在施工过程中，由于土方的挖掘、运输、堆积等，原材料运输等都带来扬尘、噪声等环境污染。挖方过程中产生的弃土在不利气象条件下易造成水土流失。施工期的主要污染工序简析如下：</w:t>
      </w:r>
    </w:p>
    <w:p>
      <w:pPr>
        <w:pStyle w:val="16"/>
        <w:spacing w:line="360" w:lineRule="auto"/>
        <w:ind w:firstLine="482"/>
        <w:rPr>
          <w:rFonts w:ascii="Times New Roman" w:hAnsi="Times New Roman"/>
          <w:b/>
          <w:color w:val="auto"/>
        </w:rPr>
      </w:pPr>
      <w:r>
        <w:rPr>
          <w:rFonts w:ascii="Times New Roman" w:hAnsi="Times New Roman"/>
          <w:b/>
          <w:color w:val="auto"/>
        </w:rPr>
        <w:t>1、基础工程</w:t>
      </w:r>
    </w:p>
    <w:p>
      <w:pPr>
        <w:pStyle w:val="16"/>
        <w:spacing w:line="360" w:lineRule="auto"/>
        <w:ind w:firstLine="480"/>
        <w:rPr>
          <w:rFonts w:ascii="Times New Roman" w:hAnsi="Times New Roman"/>
          <w:color w:val="auto"/>
        </w:rPr>
      </w:pPr>
      <w:r>
        <w:rPr>
          <w:rFonts w:ascii="Times New Roman" w:hAnsi="Times New Roman"/>
          <w:color w:val="auto"/>
        </w:rPr>
        <w:t>项目建设基础土方（挖方、填方）、地基处理（岩土工程）与基础施工时，由打桩机、挖土机、运土卡车等运行时，将主要产生噪声；同时产生扬尘和工人施工生活废水；基础工程挖土方基本用于厂地绿化或进行回填，外运弃土量较小。</w:t>
      </w:r>
    </w:p>
    <w:p>
      <w:pPr>
        <w:pStyle w:val="16"/>
        <w:spacing w:line="360" w:lineRule="auto"/>
        <w:ind w:firstLine="482"/>
        <w:rPr>
          <w:rFonts w:ascii="Times New Roman" w:hAnsi="Times New Roman"/>
          <w:b/>
          <w:color w:val="auto"/>
        </w:rPr>
      </w:pPr>
      <w:r>
        <w:rPr>
          <w:rFonts w:ascii="Times New Roman" w:hAnsi="Times New Roman"/>
          <w:b/>
          <w:color w:val="auto"/>
        </w:rPr>
        <w:t>2、主体工程</w:t>
      </w:r>
    </w:p>
    <w:p>
      <w:pPr>
        <w:pStyle w:val="16"/>
        <w:spacing w:line="360" w:lineRule="auto"/>
        <w:ind w:firstLine="480"/>
        <w:rPr>
          <w:rFonts w:ascii="Times New Roman" w:hAnsi="Times New Roman"/>
          <w:color w:val="auto"/>
        </w:rPr>
      </w:pPr>
      <w:r>
        <w:rPr>
          <w:rFonts w:ascii="Times New Roman" w:hAnsi="Times New Roman"/>
          <w:color w:val="auto"/>
        </w:rPr>
        <w:t>由混凝土振捣棒、卷扬机、钢筋切割机等施工机械运行产生噪声，挖土、堆场、汽车运输等工程产生扬尘，原材料废弃料及生产和生活污水。</w:t>
      </w:r>
    </w:p>
    <w:p>
      <w:pPr>
        <w:pStyle w:val="16"/>
        <w:spacing w:line="360" w:lineRule="auto"/>
        <w:ind w:firstLine="482"/>
        <w:rPr>
          <w:rFonts w:ascii="Times New Roman" w:hAnsi="Times New Roman"/>
          <w:b/>
          <w:color w:val="auto"/>
        </w:rPr>
      </w:pPr>
      <w:r>
        <w:rPr>
          <w:rFonts w:ascii="Times New Roman" w:hAnsi="Times New Roman"/>
          <w:b/>
          <w:color w:val="auto"/>
        </w:rPr>
        <w:t>3、装饰、绿化工程</w:t>
      </w:r>
    </w:p>
    <w:p>
      <w:pPr>
        <w:pStyle w:val="16"/>
        <w:spacing w:line="360" w:lineRule="auto"/>
        <w:ind w:firstLine="480"/>
        <w:rPr>
          <w:rFonts w:ascii="Times New Roman" w:hAnsi="Times New Roman"/>
          <w:color w:val="auto"/>
        </w:rPr>
      </w:pPr>
      <w:r>
        <w:rPr>
          <w:rFonts w:ascii="Times New Roman" w:hAnsi="Times New Roman"/>
          <w:color w:val="auto"/>
        </w:rPr>
        <w:t>对构筑物室内外进行装修时（如表面粉刷、油漆、喷涂、裱糊等），钻机、电锤、切割机等产生噪声，油漆和喷涂产生废气，废弃物料及生活污水。</w:t>
      </w:r>
    </w:p>
    <w:p>
      <w:pPr>
        <w:pStyle w:val="16"/>
        <w:spacing w:line="360" w:lineRule="auto"/>
        <w:ind w:firstLine="480"/>
        <w:rPr>
          <w:rFonts w:ascii="Times New Roman" w:hAnsi="Times New Roman"/>
          <w:color w:val="auto"/>
        </w:rPr>
      </w:pPr>
      <w:r>
        <w:rPr>
          <w:rFonts w:ascii="Times New Roman" w:hAnsi="Times New Roman"/>
          <w:color w:val="auto"/>
        </w:rPr>
        <w:t>总体来讲，工程在施工期以施工噪声、废弃物料（废渣）和废水为主要污染物，但这些污染物随着施工的结束而消除。</w:t>
      </w:r>
    </w:p>
    <w:p>
      <w:pPr>
        <w:pStyle w:val="9"/>
        <w:numPr>
          <w:ilvl w:val="0"/>
          <w:numId w:val="0"/>
        </w:numPr>
        <w:ind w:leftChars="0"/>
        <w:rPr>
          <w:color w:val="auto"/>
        </w:rPr>
      </w:pPr>
      <w:r>
        <w:rPr>
          <w:rFonts w:hint="eastAsia"/>
          <w:color w:val="auto"/>
          <w:lang w:val="en-US" w:eastAsia="zh-CN"/>
        </w:rPr>
        <w:t>3.5.2.2</w:t>
      </w:r>
      <w:r>
        <w:rPr>
          <w:color w:val="auto"/>
        </w:rPr>
        <w:t>主要污染因素</w:t>
      </w:r>
    </w:p>
    <w:p>
      <w:pPr>
        <w:pStyle w:val="16"/>
        <w:spacing w:line="360" w:lineRule="auto"/>
        <w:ind w:firstLine="480"/>
        <w:rPr>
          <w:rFonts w:ascii="Times New Roman" w:hAnsi="Times New Roman"/>
          <w:color w:val="auto"/>
        </w:rPr>
      </w:pPr>
      <w:r>
        <w:rPr>
          <w:rFonts w:ascii="Times New Roman" w:hAnsi="Times New Roman"/>
          <w:color w:val="auto"/>
        </w:rPr>
        <w:t>施工期污染因素主要为圈舍、厂房修建产生的建筑废渣、建筑噪声、扬尘、施工人员的生活污水。</w:t>
      </w:r>
    </w:p>
    <w:p>
      <w:pPr>
        <w:pStyle w:val="16"/>
        <w:spacing w:line="360" w:lineRule="auto"/>
        <w:ind w:firstLine="480"/>
        <w:rPr>
          <w:rFonts w:ascii="Times New Roman" w:hAnsi="Times New Roman"/>
          <w:color w:val="auto"/>
        </w:rPr>
      </w:pPr>
      <w:r>
        <w:rPr>
          <w:rFonts w:ascii="Times New Roman" w:hAnsi="Times New Roman"/>
          <w:color w:val="auto"/>
        </w:rPr>
        <w:t>1、废气：各类燃油动力机械施工作业时会排出各类燃油废气，排放的主要污染物为CO、NOx、SO</w:t>
      </w:r>
      <w:r>
        <w:rPr>
          <w:rFonts w:ascii="Times New Roman" w:hAnsi="Times New Roman"/>
          <w:color w:val="auto"/>
          <w:vertAlign w:val="subscript"/>
        </w:rPr>
        <w:t>2</w:t>
      </w:r>
      <w:r>
        <w:rPr>
          <w:rFonts w:ascii="Times New Roman" w:hAnsi="Times New Roman"/>
          <w:color w:val="auto"/>
        </w:rPr>
        <w:t>、烟尘。土石方装卸、运输时产生的扬尘，排放的主要污染物为TSP。</w:t>
      </w:r>
    </w:p>
    <w:p>
      <w:pPr>
        <w:pStyle w:val="16"/>
        <w:spacing w:line="360" w:lineRule="auto"/>
        <w:ind w:firstLine="480"/>
        <w:rPr>
          <w:rFonts w:ascii="Times New Roman" w:hAnsi="Times New Roman"/>
          <w:color w:val="auto"/>
        </w:rPr>
      </w:pPr>
      <w:r>
        <w:rPr>
          <w:rFonts w:ascii="Times New Roman" w:hAnsi="Times New Roman"/>
          <w:color w:val="auto"/>
        </w:rPr>
        <w:t>2、废水：施工人员产生的生活污水，主要污染物为BOD</w:t>
      </w:r>
      <w:r>
        <w:rPr>
          <w:rFonts w:ascii="Times New Roman" w:hAnsi="Times New Roman"/>
          <w:color w:val="auto"/>
          <w:vertAlign w:val="subscript"/>
        </w:rPr>
        <w:t>5</w:t>
      </w:r>
      <w:r>
        <w:rPr>
          <w:rFonts w:ascii="Times New Roman" w:hAnsi="Times New Roman"/>
          <w:color w:val="auto"/>
        </w:rPr>
        <w:t>、COD、NH</w:t>
      </w:r>
      <w:r>
        <w:rPr>
          <w:rFonts w:ascii="Times New Roman" w:hAnsi="Times New Roman"/>
          <w:color w:val="auto"/>
          <w:vertAlign w:val="subscript"/>
        </w:rPr>
        <w:t>3</w:t>
      </w:r>
      <w:r>
        <w:rPr>
          <w:rFonts w:ascii="Times New Roman" w:hAnsi="Times New Roman"/>
          <w:color w:val="auto"/>
        </w:rPr>
        <w:t>-N、SS。运输车辆冲洗水、混凝土工程的灰浆，主要污染物为SS、石油类等。</w:t>
      </w:r>
    </w:p>
    <w:p>
      <w:pPr>
        <w:pStyle w:val="16"/>
        <w:spacing w:line="360" w:lineRule="auto"/>
        <w:ind w:firstLine="480"/>
        <w:rPr>
          <w:rFonts w:ascii="Times New Roman" w:hAnsi="Times New Roman"/>
          <w:color w:val="auto"/>
        </w:rPr>
      </w:pPr>
      <w:r>
        <w:rPr>
          <w:rFonts w:ascii="Times New Roman" w:hAnsi="Times New Roman"/>
          <w:color w:val="auto"/>
        </w:rPr>
        <w:t>3、噪声：各类施工机械和运输车辆等施工作业时产生的设备噪声。</w:t>
      </w:r>
    </w:p>
    <w:p>
      <w:pPr>
        <w:pStyle w:val="16"/>
        <w:spacing w:line="360" w:lineRule="auto"/>
        <w:ind w:firstLine="480"/>
        <w:rPr>
          <w:rFonts w:ascii="Times New Roman" w:hAnsi="Times New Roman"/>
          <w:color w:val="auto"/>
        </w:rPr>
      </w:pPr>
      <w:r>
        <w:rPr>
          <w:rFonts w:ascii="Times New Roman" w:hAnsi="Times New Roman"/>
          <w:color w:val="auto"/>
        </w:rPr>
        <w:t>4、固废：基础工程施工时产生挖掘的土方和建筑垃圾等。</w:t>
      </w:r>
    </w:p>
    <w:p>
      <w:pPr>
        <w:pStyle w:val="8"/>
        <w:numPr>
          <w:ilvl w:val="0"/>
          <w:numId w:val="0"/>
        </w:numPr>
        <w:tabs>
          <w:tab w:val="clear" w:pos="0"/>
        </w:tabs>
        <w:ind w:leftChars="0"/>
        <w:rPr>
          <w:rFonts w:eastAsia="黑体"/>
          <w:color w:val="auto"/>
          <w:sz w:val="28"/>
          <w:szCs w:val="28"/>
        </w:rPr>
      </w:pPr>
      <w:bookmarkStart w:id="85" w:name="_Toc110935445"/>
      <w:bookmarkStart w:id="86" w:name="_Toc111453586"/>
      <w:bookmarkStart w:id="87" w:name="_Toc111022442"/>
      <w:bookmarkStart w:id="88" w:name="_Toc110935813"/>
      <w:bookmarkStart w:id="89" w:name="_Toc360634812"/>
      <w:bookmarkStart w:id="90" w:name="_Toc387831647"/>
      <w:bookmarkStart w:id="91" w:name="_Toc170707098"/>
      <w:bookmarkStart w:id="92" w:name="_Toc170544195"/>
      <w:r>
        <w:rPr>
          <w:rFonts w:hint="eastAsia" w:eastAsia="黑体"/>
          <w:color w:val="auto"/>
          <w:sz w:val="28"/>
          <w:szCs w:val="28"/>
          <w:lang w:val="en-US" w:eastAsia="zh-CN"/>
        </w:rPr>
        <w:t>3.5.3</w:t>
      </w:r>
      <w:r>
        <w:rPr>
          <w:rFonts w:eastAsia="黑体"/>
          <w:color w:val="auto"/>
          <w:sz w:val="28"/>
          <w:szCs w:val="28"/>
        </w:rPr>
        <w:t>施工期主要污染物排放</w:t>
      </w:r>
      <w:bookmarkEnd w:id="85"/>
      <w:bookmarkEnd w:id="86"/>
      <w:bookmarkEnd w:id="87"/>
      <w:bookmarkEnd w:id="88"/>
      <w:r>
        <w:rPr>
          <w:rFonts w:eastAsia="黑体"/>
          <w:color w:val="auto"/>
          <w:sz w:val="28"/>
          <w:szCs w:val="28"/>
        </w:rPr>
        <w:t>及治理</w:t>
      </w:r>
      <w:bookmarkEnd w:id="89"/>
      <w:bookmarkEnd w:id="90"/>
      <w:bookmarkEnd w:id="91"/>
      <w:bookmarkEnd w:id="92"/>
      <w:r>
        <w:rPr>
          <w:rFonts w:eastAsia="黑体"/>
          <w:color w:val="auto"/>
          <w:sz w:val="28"/>
          <w:szCs w:val="28"/>
        </w:rPr>
        <w:t>措施</w:t>
      </w:r>
    </w:p>
    <w:p>
      <w:pPr>
        <w:pStyle w:val="9"/>
        <w:numPr>
          <w:ilvl w:val="0"/>
          <w:numId w:val="0"/>
        </w:numPr>
        <w:ind w:leftChars="0"/>
        <w:rPr>
          <w:color w:val="auto"/>
        </w:rPr>
      </w:pPr>
      <w:r>
        <w:rPr>
          <w:rFonts w:hint="eastAsia"/>
          <w:color w:val="auto"/>
          <w:lang w:val="en-US" w:eastAsia="zh-CN"/>
        </w:rPr>
        <w:t>3.5.3.1</w:t>
      </w:r>
      <w:r>
        <w:rPr>
          <w:color w:val="auto"/>
        </w:rPr>
        <w:t>施工期废水的产生及治理</w:t>
      </w:r>
    </w:p>
    <w:p>
      <w:pPr>
        <w:ind w:firstLine="480"/>
        <w:rPr>
          <w:color w:val="auto"/>
        </w:rPr>
      </w:pPr>
      <w:r>
        <w:rPr>
          <w:color w:val="auto"/>
        </w:rPr>
        <w:t>施工期产生的废水包括施工人员生活污水、施工作业废水和暴雨径流初期雨水。</w:t>
      </w:r>
    </w:p>
    <w:p>
      <w:pPr>
        <w:ind w:firstLine="482"/>
        <w:rPr>
          <w:b/>
          <w:color w:val="auto"/>
        </w:rPr>
      </w:pPr>
      <w:r>
        <w:rPr>
          <w:b/>
          <w:color w:val="auto"/>
        </w:rPr>
        <w:t>1、生活污水</w:t>
      </w:r>
    </w:p>
    <w:p>
      <w:pPr>
        <w:ind w:firstLine="480"/>
        <w:rPr>
          <w:color w:val="auto"/>
        </w:rPr>
      </w:pPr>
      <w:r>
        <w:rPr>
          <w:color w:val="auto"/>
        </w:rPr>
        <w:t>本项目施工期不在场地内设施工营地，施工人员依托周边居民房屋食宿，仅在施工场地设临时简易化粪池。施工高峰期施工人员约100人，施工人员生活用水以50L/（人·d）计，用水量为5.0m</w:t>
      </w:r>
      <w:r>
        <w:rPr>
          <w:color w:val="auto"/>
          <w:vertAlign w:val="superscript"/>
        </w:rPr>
        <w:t>3</w:t>
      </w:r>
      <w:r>
        <w:rPr>
          <w:color w:val="auto"/>
        </w:rPr>
        <w:t>/d，污水产生量约占用水量的80%，即4.0m</w:t>
      </w:r>
      <w:r>
        <w:rPr>
          <w:color w:val="auto"/>
          <w:vertAlign w:val="superscript"/>
        </w:rPr>
        <w:t>3</w:t>
      </w:r>
      <w:r>
        <w:rPr>
          <w:color w:val="auto"/>
        </w:rPr>
        <w:t>/d。根据同类工程调查，施工生活污水主要污染物的产生浓度为：COD：350mg/L、NH</w:t>
      </w:r>
      <w:r>
        <w:rPr>
          <w:color w:val="auto"/>
          <w:vertAlign w:val="subscript"/>
        </w:rPr>
        <w:t>3</w:t>
      </w:r>
      <w:r>
        <w:rPr>
          <w:color w:val="auto"/>
        </w:rPr>
        <w:t>-N：35mg/L。</w:t>
      </w:r>
    </w:p>
    <w:p>
      <w:pPr>
        <w:ind w:firstLine="482"/>
        <w:rPr>
          <w:color w:val="auto"/>
        </w:rPr>
      </w:pPr>
      <w:r>
        <w:rPr>
          <w:b/>
          <w:color w:val="auto"/>
        </w:rPr>
        <w:t>防治措施：</w:t>
      </w:r>
      <w:r>
        <w:rPr>
          <w:color w:val="auto"/>
        </w:rPr>
        <w:t>施工人员生活污水进入</w:t>
      </w:r>
      <w:r>
        <w:rPr>
          <w:rFonts w:hint="eastAsia"/>
          <w:color w:val="auto"/>
          <w:lang w:val="en-US" w:eastAsia="zh-CN"/>
        </w:rPr>
        <w:t>厂区污水处理站</w:t>
      </w:r>
      <w:r>
        <w:rPr>
          <w:color w:val="auto"/>
        </w:rPr>
        <w:t>，经收集处理后</w:t>
      </w:r>
      <w:r>
        <w:rPr>
          <w:rFonts w:hint="eastAsia"/>
          <w:color w:val="auto"/>
          <w:lang w:eastAsia="zh-CN"/>
        </w:rPr>
        <w:t>回用于农田</w:t>
      </w:r>
      <w:r>
        <w:rPr>
          <w:rFonts w:hint="eastAsia"/>
          <w:color w:val="auto"/>
          <w:lang w:val="en-US" w:eastAsia="zh-CN"/>
        </w:rPr>
        <w:t>施肥</w:t>
      </w:r>
      <w:r>
        <w:rPr>
          <w:color w:val="auto"/>
        </w:rPr>
        <w:t>。</w:t>
      </w:r>
    </w:p>
    <w:p>
      <w:pPr>
        <w:ind w:firstLine="482"/>
        <w:rPr>
          <w:b/>
          <w:color w:val="auto"/>
        </w:rPr>
      </w:pPr>
      <w:r>
        <w:rPr>
          <w:b/>
          <w:color w:val="auto"/>
        </w:rPr>
        <w:t>2、施工作业废水</w:t>
      </w:r>
    </w:p>
    <w:p>
      <w:pPr>
        <w:ind w:firstLine="480"/>
        <w:rPr>
          <w:color w:val="auto"/>
        </w:rPr>
      </w:pPr>
      <w:r>
        <w:rPr>
          <w:color w:val="auto"/>
        </w:rPr>
        <w:t>施工作业主要采用商品混凝土，</w:t>
      </w:r>
      <w:r>
        <w:rPr>
          <w:rFonts w:hint="eastAsia"/>
          <w:color w:val="auto"/>
        </w:rPr>
        <w:t>施工废水主要包括结构阶段混凝土养护排水、各种车辆冲洗水等，其中主要是</w:t>
      </w:r>
      <w:r>
        <w:rPr>
          <w:color w:val="auto"/>
        </w:rPr>
        <w:t>施工机械、车辆冲洗废水，产生量约3m</w:t>
      </w:r>
      <w:r>
        <w:rPr>
          <w:color w:val="auto"/>
          <w:vertAlign w:val="superscript"/>
        </w:rPr>
        <w:t>3</w:t>
      </w:r>
      <w:r>
        <w:rPr>
          <w:color w:val="auto"/>
        </w:rPr>
        <w:t>/d，主要污染物是悬浮物、石油类等。</w:t>
      </w:r>
    </w:p>
    <w:p>
      <w:pPr>
        <w:ind w:firstLine="482"/>
        <w:rPr>
          <w:color w:val="auto"/>
        </w:rPr>
      </w:pPr>
      <w:r>
        <w:rPr>
          <w:b/>
          <w:color w:val="auto"/>
        </w:rPr>
        <w:t>防治措施：</w:t>
      </w:r>
      <w:r>
        <w:rPr>
          <w:color w:val="auto"/>
        </w:rPr>
        <w:t>施工场地修建1个临时隔油池1m</w:t>
      </w:r>
      <w:r>
        <w:rPr>
          <w:color w:val="auto"/>
          <w:vertAlign w:val="superscript"/>
        </w:rPr>
        <w:t>3</w:t>
      </w:r>
      <w:r>
        <w:rPr>
          <w:color w:val="auto"/>
        </w:rPr>
        <w:t>、1个临时沉淀池5m</w:t>
      </w:r>
      <w:r>
        <w:rPr>
          <w:color w:val="auto"/>
          <w:vertAlign w:val="superscript"/>
        </w:rPr>
        <w:t>3</w:t>
      </w:r>
      <w:r>
        <w:rPr>
          <w:color w:val="auto"/>
        </w:rPr>
        <w:t>，含SS、石油类的施工废水排入隔油池、沉淀池进行处理后回用于场地洒水降尘。</w:t>
      </w:r>
    </w:p>
    <w:p>
      <w:pPr>
        <w:pStyle w:val="166"/>
        <w:spacing w:before="0" w:beforeLines="0" w:line="240" w:lineRule="auto"/>
        <w:rPr>
          <w:color w:val="auto"/>
        </w:rPr>
      </w:pPr>
      <w:r>
        <w:rPr>
          <w:color w:val="auto"/>
        </w:rPr>
        <w:t>表3.</w:t>
      </w:r>
      <w:r>
        <w:rPr>
          <w:rFonts w:hint="eastAsia"/>
          <w:color w:val="auto"/>
          <w:lang w:val="en-US" w:eastAsia="zh-CN"/>
        </w:rPr>
        <w:t>5</w:t>
      </w:r>
      <w:r>
        <w:rPr>
          <w:color w:val="auto"/>
        </w:rPr>
        <w:t>-1</w:t>
      </w:r>
      <w:r>
        <w:rPr>
          <w:rFonts w:hint="eastAsia"/>
          <w:color w:val="auto"/>
          <w:lang w:val="en-US" w:eastAsia="zh-CN"/>
        </w:rPr>
        <w:t xml:space="preserve"> </w:t>
      </w:r>
      <w:r>
        <w:rPr>
          <w:color w:val="auto"/>
        </w:rPr>
        <w:t>施工期废水产生及排放情况</w:t>
      </w:r>
    </w:p>
    <w:tbl>
      <w:tblPr>
        <w:tblStyle w:val="51"/>
        <w:tblW w:w="0" w:type="auto"/>
        <w:jc w:val="center"/>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858"/>
        <w:gridCol w:w="1916"/>
        <w:gridCol w:w="1988"/>
        <w:gridCol w:w="1170"/>
        <w:gridCol w:w="1541"/>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blHeader/>
          <w:jc w:val="center"/>
        </w:trPr>
        <w:tc>
          <w:tcPr>
            <w:tcW w:w="2172" w:type="dxa"/>
            <w:gridSpan w:val="2"/>
            <w:noWrap w:val="0"/>
            <w:vAlign w:val="center"/>
          </w:tcPr>
          <w:p>
            <w:pPr>
              <w:pStyle w:val="332"/>
              <w:kinsoku w:val="0"/>
              <w:overflowPunct w:val="0"/>
              <w:jc w:val="center"/>
              <w:rPr>
                <w:color w:val="auto"/>
                <w:sz w:val="20"/>
                <w:szCs w:val="20"/>
              </w:rPr>
            </w:pPr>
            <w:r>
              <w:rPr>
                <w:b/>
                <w:bCs/>
                <w:color w:val="auto"/>
                <w:sz w:val="20"/>
                <w:szCs w:val="20"/>
              </w:rPr>
              <w:t>污染物名称</w:t>
            </w:r>
          </w:p>
        </w:tc>
        <w:tc>
          <w:tcPr>
            <w:tcW w:w="1916" w:type="dxa"/>
            <w:noWrap w:val="0"/>
            <w:vAlign w:val="center"/>
          </w:tcPr>
          <w:p>
            <w:pPr>
              <w:pStyle w:val="332"/>
              <w:kinsoku w:val="0"/>
              <w:overflowPunct w:val="0"/>
              <w:jc w:val="center"/>
              <w:rPr>
                <w:color w:val="auto"/>
                <w:sz w:val="20"/>
                <w:szCs w:val="20"/>
              </w:rPr>
            </w:pPr>
            <w:r>
              <w:rPr>
                <w:b/>
                <w:bCs/>
                <w:color w:val="auto"/>
                <w:sz w:val="20"/>
                <w:szCs w:val="20"/>
              </w:rPr>
              <w:t>产生浓度及产生量</w:t>
            </w:r>
          </w:p>
        </w:tc>
        <w:tc>
          <w:tcPr>
            <w:tcW w:w="1988" w:type="dxa"/>
            <w:noWrap w:val="0"/>
            <w:vAlign w:val="center"/>
          </w:tcPr>
          <w:p>
            <w:pPr>
              <w:pStyle w:val="332"/>
              <w:kinsoku w:val="0"/>
              <w:overflowPunct w:val="0"/>
              <w:jc w:val="center"/>
              <w:rPr>
                <w:color w:val="auto"/>
                <w:sz w:val="20"/>
                <w:szCs w:val="20"/>
              </w:rPr>
            </w:pPr>
            <w:r>
              <w:rPr>
                <w:b/>
                <w:bCs/>
                <w:color w:val="auto"/>
                <w:sz w:val="20"/>
                <w:szCs w:val="20"/>
              </w:rPr>
              <w:t>处理措施</w:t>
            </w:r>
          </w:p>
        </w:tc>
        <w:tc>
          <w:tcPr>
            <w:tcW w:w="1170" w:type="dxa"/>
            <w:noWrap w:val="0"/>
            <w:vAlign w:val="center"/>
          </w:tcPr>
          <w:p>
            <w:pPr>
              <w:pStyle w:val="332"/>
              <w:kinsoku w:val="0"/>
              <w:overflowPunct w:val="0"/>
              <w:ind w:right="180"/>
              <w:jc w:val="center"/>
              <w:rPr>
                <w:color w:val="auto"/>
                <w:sz w:val="20"/>
                <w:szCs w:val="20"/>
              </w:rPr>
            </w:pPr>
            <w:r>
              <w:rPr>
                <w:b/>
                <w:bCs/>
                <w:color w:val="auto"/>
                <w:sz w:val="20"/>
                <w:szCs w:val="20"/>
              </w:rPr>
              <w:t>排放浓度</w:t>
            </w:r>
            <w:r>
              <w:rPr>
                <w:b/>
                <w:bCs/>
                <w:color w:val="auto"/>
                <w:w w:val="99"/>
                <w:sz w:val="20"/>
                <w:szCs w:val="20"/>
              </w:rPr>
              <w:t xml:space="preserve"> </w:t>
            </w:r>
            <w:r>
              <w:rPr>
                <w:b/>
                <w:bCs/>
                <w:color w:val="auto"/>
                <w:sz w:val="20"/>
                <w:szCs w:val="20"/>
              </w:rPr>
              <w:t>及排放量</w:t>
            </w:r>
          </w:p>
        </w:tc>
        <w:tc>
          <w:tcPr>
            <w:tcW w:w="1541" w:type="dxa"/>
            <w:noWrap w:val="0"/>
            <w:vAlign w:val="center"/>
          </w:tcPr>
          <w:p>
            <w:pPr>
              <w:pStyle w:val="332"/>
              <w:kinsoku w:val="0"/>
              <w:overflowPunct w:val="0"/>
              <w:ind w:right="5"/>
              <w:jc w:val="center"/>
              <w:rPr>
                <w:color w:val="auto"/>
                <w:sz w:val="20"/>
                <w:szCs w:val="20"/>
              </w:rPr>
            </w:pPr>
            <w:r>
              <w:rPr>
                <w:b/>
                <w:bCs/>
                <w:color w:val="auto"/>
                <w:sz w:val="20"/>
                <w:szCs w:val="20"/>
              </w:rPr>
              <w:t>去向</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4" w:type="dxa"/>
            <w:vMerge w:val="restart"/>
            <w:noWrap w:val="0"/>
            <w:vAlign w:val="center"/>
          </w:tcPr>
          <w:p>
            <w:pPr>
              <w:pStyle w:val="332"/>
              <w:kinsoku w:val="0"/>
              <w:overflowPunct w:val="0"/>
              <w:jc w:val="center"/>
              <w:rPr>
                <w:color w:val="auto"/>
                <w:sz w:val="20"/>
                <w:szCs w:val="20"/>
              </w:rPr>
            </w:pPr>
            <w:r>
              <w:rPr>
                <w:color w:val="auto"/>
                <w:sz w:val="20"/>
                <w:szCs w:val="20"/>
              </w:rPr>
              <w:t>生活污水</w:t>
            </w:r>
          </w:p>
          <w:p>
            <w:pPr>
              <w:pStyle w:val="332"/>
              <w:kinsoku w:val="0"/>
              <w:overflowPunct w:val="0"/>
              <w:jc w:val="center"/>
              <w:rPr>
                <w:color w:val="auto"/>
                <w:sz w:val="20"/>
                <w:szCs w:val="20"/>
              </w:rPr>
            </w:pPr>
            <w:r>
              <w:rPr>
                <w:color w:val="auto"/>
                <w:sz w:val="20"/>
                <w:szCs w:val="20"/>
              </w:rPr>
              <w:t>（4.0m</w:t>
            </w:r>
            <w:r>
              <w:rPr>
                <w:color w:val="auto"/>
                <w:sz w:val="20"/>
                <w:szCs w:val="20"/>
                <w:vertAlign w:val="superscript"/>
              </w:rPr>
              <w:t>3</w:t>
            </w:r>
            <w:r>
              <w:rPr>
                <w:color w:val="auto"/>
                <w:sz w:val="20"/>
                <w:szCs w:val="20"/>
              </w:rPr>
              <w:t>/d）</w:t>
            </w:r>
          </w:p>
        </w:tc>
        <w:tc>
          <w:tcPr>
            <w:tcW w:w="858" w:type="dxa"/>
            <w:noWrap w:val="0"/>
            <w:vAlign w:val="center"/>
          </w:tcPr>
          <w:p>
            <w:pPr>
              <w:pStyle w:val="332"/>
              <w:kinsoku w:val="0"/>
              <w:overflowPunct w:val="0"/>
              <w:jc w:val="center"/>
              <w:rPr>
                <w:color w:val="auto"/>
                <w:sz w:val="20"/>
                <w:szCs w:val="20"/>
              </w:rPr>
            </w:pPr>
            <w:r>
              <w:rPr>
                <w:color w:val="auto"/>
                <w:position w:val="2"/>
                <w:sz w:val="20"/>
                <w:szCs w:val="20"/>
              </w:rPr>
              <w:t>COD</w:t>
            </w:r>
          </w:p>
        </w:tc>
        <w:tc>
          <w:tcPr>
            <w:tcW w:w="1916" w:type="dxa"/>
            <w:noWrap w:val="0"/>
            <w:vAlign w:val="center"/>
          </w:tcPr>
          <w:p>
            <w:pPr>
              <w:pStyle w:val="332"/>
              <w:kinsoku w:val="0"/>
              <w:overflowPunct w:val="0"/>
              <w:jc w:val="center"/>
              <w:rPr>
                <w:color w:val="auto"/>
                <w:sz w:val="20"/>
                <w:szCs w:val="20"/>
              </w:rPr>
            </w:pPr>
            <w:r>
              <w:rPr>
                <w:color w:val="auto"/>
                <w:sz w:val="20"/>
                <w:szCs w:val="20"/>
              </w:rPr>
              <w:t>350mg/L，1.40kg/d</w:t>
            </w:r>
          </w:p>
        </w:tc>
        <w:tc>
          <w:tcPr>
            <w:tcW w:w="1988" w:type="dxa"/>
            <w:vMerge w:val="restart"/>
            <w:noWrap w:val="0"/>
            <w:vAlign w:val="center"/>
          </w:tcPr>
          <w:p>
            <w:pPr>
              <w:pStyle w:val="332"/>
              <w:kinsoku w:val="0"/>
              <w:overflowPunct w:val="0"/>
              <w:jc w:val="center"/>
              <w:rPr>
                <w:color w:val="auto"/>
                <w:sz w:val="20"/>
                <w:szCs w:val="20"/>
              </w:rPr>
            </w:pPr>
            <w:r>
              <w:rPr>
                <w:rFonts w:hint="eastAsia"/>
                <w:color w:val="auto"/>
                <w:sz w:val="20"/>
                <w:szCs w:val="20"/>
                <w:lang w:val="en-US" w:eastAsia="zh-CN"/>
              </w:rPr>
              <w:t>厂区污水处理站</w:t>
            </w:r>
            <w:r>
              <w:rPr>
                <w:color w:val="auto"/>
                <w:sz w:val="20"/>
                <w:szCs w:val="20"/>
              </w:rPr>
              <w:t>收集处理后</w:t>
            </w:r>
            <w:r>
              <w:rPr>
                <w:rFonts w:hint="eastAsia"/>
                <w:color w:val="auto"/>
                <w:sz w:val="20"/>
                <w:szCs w:val="20"/>
                <w:lang w:eastAsia="zh-CN"/>
              </w:rPr>
              <w:t>回用于农田</w:t>
            </w:r>
            <w:r>
              <w:rPr>
                <w:rFonts w:hint="eastAsia"/>
                <w:color w:val="auto"/>
                <w:sz w:val="20"/>
                <w:szCs w:val="20"/>
                <w:lang w:val="en-US" w:eastAsia="zh-CN"/>
              </w:rPr>
              <w:t>施肥</w:t>
            </w:r>
          </w:p>
        </w:tc>
        <w:tc>
          <w:tcPr>
            <w:tcW w:w="1170" w:type="dxa"/>
            <w:noWrap w:val="0"/>
            <w:vAlign w:val="center"/>
          </w:tcPr>
          <w:p>
            <w:pPr>
              <w:pStyle w:val="332"/>
              <w:kinsoku w:val="0"/>
              <w:overflowPunct w:val="0"/>
              <w:jc w:val="center"/>
              <w:rPr>
                <w:color w:val="auto"/>
                <w:sz w:val="20"/>
                <w:szCs w:val="20"/>
              </w:rPr>
            </w:pPr>
            <w:r>
              <w:rPr>
                <w:color w:val="auto"/>
                <w:w w:val="99"/>
                <w:sz w:val="20"/>
                <w:szCs w:val="20"/>
              </w:rPr>
              <w:t>0</w:t>
            </w:r>
          </w:p>
        </w:tc>
        <w:tc>
          <w:tcPr>
            <w:tcW w:w="1541" w:type="dxa"/>
            <w:vMerge w:val="restart"/>
            <w:noWrap w:val="0"/>
            <w:vAlign w:val="center"/>
          </w:tcPr>
          <w:p>
            <w:pPr>
              <w:pStyle w:val="332"/>
              <w:kinsoku w:val="0"/>
              <w:overflowPunct w:val="0"/>
              <w:jc w:val="center"/>
              <w:rPr>
                <w:color w:val="auto"/>
                <w:sz w:val="20"/>
                <w:szCs w:val="20"/>
              </w:rPr>
            </w:pPr>
            <w:r>
              <w:rPr>
                <w:color w:val="auto"/>
                <w:sz w:val="20"/>
                <w:szCs w:val="20"/>
              </w:rPr>
              <w:t>周边耕地施肥</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4" w:type="dxa"/>
            <w:vMerge w:val="continue"/>
            <w:noWrap w:val="0"/>
            <w:vAlign w:val="center"/>
          </w:tcPr>
          <w:p>
            <w:pPr>
              <w:pStyle w:val="332"/>
              <w:kinsoku w:val="0"/>
              <w:overflowPunct w:val="0"/>
              <w:ind w:left="167"/>
              <w:jc w:val="center"/>
              <w:rPr>
                <w:color w:val="auto"/>
                <w:sz w:val="20"/>
                <w:szCs w:val="20"/>
              </w:rPr>
            </w:pPr>
          </w:p>
        </w:tc>
        <w:tc>
          <w:tcPr>
            <w:tcW w:w="858" w:type="dxa"/>
            <w:noWrap w:val="0"/>
            <w:vAlign w:val="center"/>
          </w:tcPr>
          <w:p>
            <w:pPr>
              <w:pStyle w:val="332"/>
              <w:kinsoku w:val="0"/>
              <w:overflowPunct w:val="0"/>
              <w:jc w:val="center"/>
              <w:rPr>
                <w:color w:val="auto"/>
                <w:sz w:val="20"/>
                <w:szCs w:val="20"/>
              </w:rPr>
            </w:pPr>
            <w:r>
              <w:rPr>
                <w:color w:val="auto"/>
                <w:position w:val="2"/>
                <w:sz w:val="20"/>
                <w:szCs w:val="20"/>
              </w:rPr>
              <w:t>NH</w:t>
            </w:r>
            <w:r>
              <w:rPr>
                <w:color w:val="auto"/>
                <w:sz w:val="20"/>
                <w:szCs w:val="20"/>
                <w:vertAlign w:val="subscript"/>
              </w:rPr>
              <w:t>3</w:t>
            </w:r>
            <w:r>
              <w:rPr>
                <w:color w:val="auto"/>
                <w:position w:val="2"/>
                <w:sz w:val="20"/>
                <w:szCs w:val="20"/>
              </w:rPr>
              <w:t>-N</w:t>
            </w:r>
          </w:p>
        </w:tc>
        <w:tc>
          <w:tcPr>
            <w:tcW w:w="1916" w:type="dxa"/>
            <w:noWrap w:val="0"/>
            <w:vAlign w:val="center"/>
          </w:tcPr>
          <w:p>
            <w:pPr>
              <w:pStyle w:val="332"/>
              <w:kinsoku w:val="0"/>
              <w:overflowPunct w:val="0"/>
              <w:jc w:val="center"/>
              <w:rPr>
                <w:color w:val="auto"/>
                <w:sz w:val="20"/>
                <w:szCs w:val="20"/>
              </w:rPr>
            </w:pPr>
            <w:r>
              <w:rPr>
                <w:color w:val="auto"/>
                <w:sz w:val="20"/>
                <w:szCs w:val="20"/>
              </w:rPr>
              <w:t>35mg/L，0.14kg/d</w:t>
            </w:r>
          </w:p>
        </w:tc>
        <w:tc>
          <w:tcPr>
            <w:tcW w:w="1988" w:type="dxa"/>
            <w:vMerge w:val="continue"/>
            <w:noWrap w:val="0"/>
            <w:vAlign w:val="center"/>
          </w:tcPr>
          <w:p>
            <w:pPr>
              <w:pStyle w:val="332"/>
              <w:kinsoku w:val="0"/>
              <w:overflowPunct w:val="0"/>
              <w:ind w:left="186"/>
              <w:jc w:val="center"/>
              <w:rPr>
                <w:color w:val="auto"/>
                <w:sz w:val="20"/>
                <w:szCs w:val="20"/>
              </w:rPr>
            </w:pPr>
          </w:p>
        </w:tc>
        <w:tc>
          <w:tcPr>
            <w:tcW w:w="1170" w:type="dxa"/>
            <w:noWrap w:val="0"/>
            <w:vAlign w:val="center"/>
          </w:tcPr>
          <w:p>
            <w:pPr>
              <w:pStyle w:val="332"/>
              <w:kinsoku w:val="0"/>
              <w:overflowPunct w:val="0"/>
              <w:jc w:val="center"/>
              <w:rPr>
                <w:color w:val="auto"/>
                <w:sz w:val="20"/>
                <w:szCs w:val="20"/>
              </w:rPr>
            </w:pPr>
            <w:r>
              <w:rPr>
                <w:color w:val="auto"/>
                <w:w w:val="99"/>
                <w:sz w:val="20"/>
                <w:szCs w:val="20"/>
              </w:rPr>
              <w:t>0</w:t>
            </w:r>
          </w:p>
        </w:tc>
        <w:tc>
          <w:tcPr>
            <w:tcW w:w="1541" w:type="dxa"/>
            <w:vMerge w:val="continue"/>
            <w:noWrap w:val="0"/>
            <w:vAlign w:val="center"/>
          </w:tcPr>
          <w:p>
            <w:pPr>
              <w:pStyle w:val="332"/>
              <w:kinsoku w:val="0"/>
              <w:overflowPunct w:val="0"/>
              <w:ind w:left="1"/>
              <w:jc w:val="center"/>
              <w:rPr>
                <w:color w:val="auto"/>
                <w:sz w:val="20"/>
                <w:szCs w:val="20"/>
              </w:rPr>
            </w:pP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64" w:hRule="atLeast"/>
          <w:jc w:val="center"/>
        </w:trPr>
        <w:tc>
          <w:tcPr>
            <w:tcW w:w="2172" w:type="dxa"/>
            <w:gridSpan w:val="2"/>
            <w:noWrap w:val="0"/>
            <w:vAlign w:val="center"/>
          </w:tcPr>
          <w:p>
            <w:pPr>
              <w:pStyle w:val="332"/>
              <w:kinsoku w:val="0"/>
              <w:overflowPunct w:val="0"/>
              <w:jc w:val="center"/>
              <w:rPr>
                <w:color w:val="auto"/>
                <w:sz w:val="20"/>
                <w:szCs w:val="20"/>
              </w:rPr>
            </w:pPr>
            <w:r>
              <w:rPr>
                <w:rFonts w:hint="eastAsia"/>
                <w:color w:val="auto"/>
                <w:sz w:val="20"/>
                <w:szCs w:val="20"/>
              </w:rPr>
              <w:t>施工作业废水</w:t>
            </w:r>
          </w:p>
        </w:tc>
        <w:tc>
          <w:tcPr>
            <w:tcW w:w="1916" w:type="dxa"/>
            <w:noWrap w:val="0"/>
            <w:vAlign w:val="center"/>
          </w:tcPr>
          <w:p>
            <w:pPr>
              <w:pStyle w:val="332"/>
              <w:kinsoku w:val="0"/>
              <w:overflowPunct w:val="0"/>
              <w:ind w:right="1"/>
              <w:jc w:val="center"/>
              <w:rPr>
                <w:color w:val="auto"/>
                <w:sz w:val="20"/>
                <w:szCs w:val="20"/>
              </w:rPr>
            </w:pPr>
            <w:r>
              <w:rPr>
                <w:color w:val="auto"/>
                <w:sz w:val="20"/>
                <w:szCs w:val="20"/>
              </w:rPr>
              <w:t>3m</w:t>
            </w:r>
            <w:r>
              <w:rPr>
                <w:color w:val="auto"/>
                <w:sz w:val="20"/>
                <w:szCs w:val="20"/>
                <w:vertAlign w:val="superscript"/>
              </w:rPr>
              <w:t>3</w:t>
            </w:r>
            <w:r>
              <w:rPr>
                <w:color w:val="auto"/>
                <w:sz w:val="20"/>
                <w:szCs w:val="20"/>
              </w:rPr>
              <w:t>/d</w:t>
            </w:r>
          </w:p>
        </w:tc>
        <w:tc>
          <w:tcPr>
            <w:tcW w:w="1988" w:type="dxa"/>
            <w:noWrap w:val="0"/>
            <w:vAlign w:val="center"/>
          </w:tcPr>
          <w:p>
            <w:pPr>
              <w:pStyle w:val="332"/>
              <w:kinsoku w:val="0"/>
              <w:overflowPunct w:val="0"/>
              <w:ind w:right="102"/>
              <w:jc w:val="center"/>
              <w:rPr>
                <w:color w:val="auto"/>
                <w:sz w:val="20"/>
                <w:szCs w:val="20"/>
              </w:rPr>
            </w:pPr>
            <w:r>
              <w:rPr>
                <w:color w:val="auto"/>
                <w:sz w:val="20"/>
                <w:szCs w:val="20"/>
              </w:rPr>
              <w:t>隔油池（1m</w:t>
            </w:r>
            <w:r>
              <w:rPr>
                <w:color w:val="auto"/>
                <w:sz w:val="20"/>
                <w:szCs w:val="20"/>
                <w:vertAlign w:val="superscript"/>
              </w:rPr>
              <w:t>3</w:t>
            </w:r>
            <w:r>
              <w:rPr>
                <w:color w:val="auto"/>
                <w:sz w:val="20"/>
                <w:szCs w:val="20"/>
              </w:rPr>
              <w:t>）、沉淀池（5m</w:t>
            </w:r>
            <w:r>
              <w:rPr>
                <w:color w:val="auto"/>
                <w:sz w:val="20"/>
                <w:szCs w:val="20"/>
                <w:vertAlign w:val="superscript"/>
              </w:rPr>
              <w:t>3</w:t>
            </w:r>
            <w:r>
              <w:rPr>
                <w:color w:val="auto"/>
                <w:sz w:val="20"/>
                <w:szCs w:val="20"/>
              </w:rPr>
              <w:t>）</w:t>
            </w:r>
          </w:p>
        </w:tc>
        <w:tc>
          <w:tcPr>
            <w:tcW w:w="1170" w:type="dxa"/>
            <w:noWrap w:val="0"/>
            <w:vAlign w:val="center"/>
          </w:tcPr>
          <w:p>
            <w:pPr>
              <w:pStyle w:val="332"/>
              <w:kinsoku w:val="0"/>
              <w:overflowPunct w:val="0"/>
              <w:jc w:val="center"/>
              <w:rPr>
                <w:color w:val="auto"/>
                <w:sz w:val="20"/>
                <w:szCs w:val="20"/>
              </w:rPr>
            </w:pPr>
            <w:r>
              <w:rPr>
                <w:color w:val="auto"/>
                <w:w w:val="99"/>
                <w:sz w:val="20"/>
                <w:szCs w:val="20"/>
              </w:rPr>
              <w:t>0</w:t>
            </w:r>
          </w:p>
        </w:tc>
        <w:tc>
          <w:tcPr>
            <w:tcW w:w="1541" w:type="dxa"/>
            <w:noWrap w:val="0"/>
            <w:vAlign w:val="center"/>
          </w:tcPr>
          <w:p>
            <w:pPr>
              <w:pStyle w:val="332"/>
              <w:kinsoku w:val="0"/>
              <w:overflowPunct w:val="0"/>
              <w:jc w:val="center"/>
              <w:rPr>
                <w:color w:val="auto"/>
                <w:sz w:val="20"/>
                <w:szCs w:val="20"/>
              </w:rPr>
            </w:pPr>
            <w:r>
              <w:rPr>
                <w:color w:val="auto"/>
                <w:sz w:val="20"/>
                <w:szCs w:val="20"/>
              </w:rPr>
              <w:t>场地洒水降尘</w:t>
            </w:r>
          </w:p>
        </w:tc>
      </w:tr>
    </w:tbl>
    <w:p>
      <w:pPr>
        <w:pStyle w:val="9"/>
        <w:numPr>
          <w:ilvl w:val="0"/>
          <w:numId w:val="0"/>
        </w:numPr>
        <w:spacing w:before="120" w:beforeLines="50"/>
        <w:ind w:leftChars="0"/>
        <w:rPr>
          <w:color w:val="auto"/>
        </w:rPr>
      </w:pPr>
      <w:r>
        <w:rPr>
          <w:rFonts w:hint="eastAsia"/>
          <w:color w:val="auto"/>
          <w:lang w:val="en-US" w:eastAsia="zh-CN"/>
        </w:rPr>
        <w:t>3.5.3.2</w:t>
      </w:r>
      <w:r>
        <w:rPr>
          <w:color w:val="auto"/>
        </w:rPr>
        <w:t>施工期废气的产生及治理</w:t>
      </w:r>
    </w:p>
    <w:p>
      <w:pPr>
        <w:ind w:firstLine="480"/>
        <w:rPr>
          <w:color w:val="auto"/>
        </w:rPr>
      </w:pPr>
      <w:r>
        <w:rPr>
          <w:color w:val="auto"/>
        </w:rPr>
        <w:t>本项目施工期的大气污染物主要是</w:t>
      </w:r>
      <w:r>
        <w:rPr>
          <w:rFonts w:hint="eastAsia"/>
          <w:color w:val="auto"/>
          <w:lang w:val="en-US" w:eastAsia="zh-CN"/>
        </w:rPr>
        <w:t>机械废气和</w:t>
      </w:r>
      <w:r>
        <w:rPr>
          <w:color w:val="auto"/>
        </w:rPr>
        <w:t>扬尘，扬尘一般由土地平整、土方填挖、物料装卸和车辆运输造成的。</w:t>
      </w:r>
    </w:p>
    <w:p>
      <w:pPr>
        <w:ind w:firstLine="482"/>
        <w:rPr>
          <w:b/>
          <w:color w:val="auto"/>
        </w:rPr>
      </w:pPr>
      <w:r>
        <w:rPr>
          <w:b/>
          <w:color w:val="auto"/>
        </w:rPr>
        <w:t>1、施工车辆扬尘</w:t>
      </w:r>
    </w:p>
    <w:p>
      <w:pPr>
        <w:ind w:firstLine="480"/>
        <w:rPr>
          <w:color w:val="auto"/>
        </w:rPr>
      </w:pPr>
      <w:r>
        <w:rPr>
          <w:color w:val="auto"/>
        </w:rPr>
        <w:t>车辆行驶产生的扬尘，在完全干燥情况下，按下列经验公式计算：</w:t>
      </w:r>
    </w:p>
    <w:p>
      <w:pPr>
        <w:spacing w:line="240" w:lineRule="auto"/>
        <w:ind w:firstLine="0" w:firstLineChars="0"/>
        <w:jc w:val="center"/>
        <w:rPr>
          <w:color w:val="auto"/>
        </w:rPr>
      </w:pPr>
      <w:r>
        <w:rPr>
          <w:color w:val="auto"/>
        </w:rPr>
        <w:object>
          <v:shape id="_x0000_i1029" o:spt="75" type="#_x0000_t75" style="height:29.25pt;width:161.65pt;" o:ole="t" filled="f" o:preferrelative="t" stroked="f" coordsize="21600,21600">
            <v:path/>
            <v:fill on="f" focussize="0,0"/>
            <v:stroke on="f"/>
            <v:imagedata r:id="rId33" o:title=""/>
            <o:lock v:ext="edit" grouping="f" rotation="f" text="f" aspectratio="t"/>
            <w10:wrap type="none"/>
            <w10:anchorlock/>
          </v:shape>
          <o:OLEObject Type="Embed" ProgID="Equation.3" ShapeID="_x0000_i1029" DrawAspect="Content" ObjectID="_1468075726" r:id="rId32">
            <o:LockedField>false</o:LockedField>
          </o:OLEObject>
        </w:object>
      </w:r>
    </w:p>
    <w:p>
      <w:pPr>
        <w:ind w:firstLine="480"/>
        <w:rPr>
          <w:color w:val="auto"/>
        </w:rPr>
      </w:pPr>
      <w:r>
        <w:rPr>
          <w:color w:val="auto"/>
        </w:rPr>
        <w:t>式中：Q——汽车行驶的扬尘，kg/km·辆；</w:t>
      </w:r>
    </w:p>
    <w:p>
      <w:pPr>
        <w:ind w:firstLine="1200" w:firstLineChars="500"/>
        <w:rPr>
          <w:color w:val="auto"/>
        </w:rPr>
      </w:pPr>
      <w:r>
        <w:rPr>
          <w:color w:val="auto"/>
        </w:rPr>
        <w:t>V——汽车速度，km/hr；</w:t>
      </w:r>
    </w:p>
    <w:p>
      <w:pPr>
        <w:ind w:firstLine="1200" w:firstLineChars="500"/>
        <w:rPr>
          <w:color w:val="auto"/>
        </w:rPr>
      </w:pPr>
      <w:r>
        <w:rPr>
          <w:color w:val="auto"/>
        </w:rPr>
        <w:t>W——汽车载重量，吨；</w:t>
      </w:r>
    </w:p>
    <w:p>
      <w:pPr>
        <w:ind w:firstLine="1200" w:firstLineChars="500"/>
        <w:rPr>
          <w:color w:val="auto"/>
        </w:rPr>
      </w:pPr>
      <w:r>
        <w:rPr>
          <w:color w:val="auto"/>
        </w:rPr>
        <w:t>P——道路表面粉尘量，kg/m</w:t>
      </w:r>
      <w:r>
        <w:rPr>
          <w:color w:val="auto"/>
          <w:position w:val="8"/>
          <w:sz w:val="15"/>
          <w:szCs w:val="15"/>
        </w:rPr>
        <w:t>2</w:t>
      </w:r>
      <w:r>
        <w:rPr>
          <w:color w:val="auto"/>
        </w:rPr>
        <w:t>。</w:t>
      </w:r>
    </w:p>
    <w:p>
      <w:pPr>
        <w:ind w:firstLine="480"/>
        <w:rPr>
          <w:color w:val="auto"/>
        </w:rPr>
      </w:pPr>
      <w:r>
        <w:rPr>
          <w:color w:val="auto"/>
        </w:rPr>
        <w:t>表3.</w:t>
      </w:r>
      <w:r>
        <w:rPr>
          <w:rFonts w:hint="eastAsia"/>
          <w:color w:val="auto"/>
          <w:lang w:val="en-US" w:eastAsia="zh-CN"/>
        </w:rPr>
        <w:t>5</w:t>
      </w:r>
      <w:r>
        <w:rPr>
          <w:color w:val="auto"/>
        </w:rPr>
        <w:t>-2为一辆10吨卡车，通过一段长度为1km的路面时，不同路面清洁程度，不同行驶速度情况下产生的扬尘量。</w:t>
      </w:r>
    </w:p>
    <w:p>
      <w:pPr>
        <w:pStyle w:val="166"/>
        <w:spacing w:before="0" w:beforeLines="0" w:line="240" w:lineRule="auto"/>
        <w:rPr>
          <w:color w:val="auto"/>
        </w:rPr>
      </w:pPr>
      <w:r>
        <w:rPr>
          <w:color w:val="auto"/>
        </w:rPr>
        <w:t>表3.</w:t>
      </w:r>
      <w:r>
        <w:rPr>
          <w:rFonts w:hint="eastAsia"/>
          <w:color w:val="auto"/>
          <w:lang w:val="en-US" w:eastAsia="zh-CN"/>
        </w:rPr>
        <w:t>5</w:t>
      </w:r>
      <w:r>
        <w:rPr>
          <w:color w:val="auto"/>
        </w:rPr>
        <w:t>-2</w:t>
      </w:r>
      <w:r>
        <w:rPr>
          <w:rFonts w:hint="eastAsia"/>
          <w:color w:val="auto"/>
          <w:lang w:val="en-US" w:eastAsia="zh-CN"/>
        </w:rPr>
        <w:t xml:space="preserve"> </w:t>
      </w:r>
      <w:r>
        <w:rPr>
          <w:color w:val="auto"/>
        </w:rPr>
        <w:t>在不同车速和地面清洁程度的汽车扬尘</w:t>
      </w:r>
      <w:r>
        <w:rPr>
          <w:color w:val="auto"/>
        </w:rPr>
        <w:tab/>
      </w:r>
      <w:r>
        <w:rPr>
          <w:color w:val="auto"/>
        </w:rPr>
        <w:t>单位：kg/辆·km</w:t>
      </w:r>
    </w:p>
    <w:tbl>
      <w:tblPr>
        <w:tblStyle w:val="51"/>
        <w:tblW w:w="0" w:type="auto"/>
        <w:tblInd w:w="0" w:type="dxa"/>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19"/>
        <w:gridCol w:w="1245"/>
        <w:gridCol w:w="1245"/>
        <w:gridCol w:w="1245"/>
        <w:gridCol w:w="1245"/>
        <w:gridCol w:w="1244"/>
        <w:gridCol w:w="1244"/>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1319" w:type="dxa"/>
            <w:noWrap w:val="0"/>
            <w:vAlign w:val="center"/>
          </w:tcPr>
          <w:p>
            <w:pPr>
              <w:pStyle w:val="332"/>
              <w:kinsoku w:val="0"/>
              <w:overflowPunct w:val="0"/>
              <w:jc w:val="center"/>
              <w:rPr>
                <w:color w:val="auto"/>
                <w:sz w:val="20"/>
                <w:szCs w:val="20"/>
              </w:rPr>
            </w:pPr>
            <w:r>
              <w:rPr>
                <w:b/>
                <w:bCs/>
                <w:color w:val="auto"/>
                <w:sz w:val="20"/>
                <w:szCs w:val="20"/>
              </w:rPr>
              <w:t>P车速</w:t>
            </w:r>
          </w:p>
        </w:tc>
        <w:tc>
          <w:tcPr>
            <w:tcW w:w="1245" w:type="dxa"/>
            <w:noWrap w:val="0"/>
            <w:vAlign w:val="center"/>
          </w:tcPr>
          <w:p>
            <w:pPr>
              <w:pStyle w:val="332"/>
              <w:kinsoku w:val="0"/>
              <w:overflowPunct w:val="0"/>
              <w:jc w:val="center"/>
              <w:rPr>
                <w:color w:val="auto"/>
                <w:sz w:val="20"/>
                <w:szCs w:val="20"/>
              </w:rPr>
            </w:pPr>
            <w:r>
              <w:rPr>
                <w:b/>
                <w:bCs/>
                <w:color w:val="auto"/>
                <w:sz w:val="20"/>
                <w:szCs w:val="20"/>
              </w:rPr>
              <w:t>0.1(kg/m</w:t>
            </w:r>
            <w:r>
              <w:rPr>
                <w:b/>
                <w:bCs/>
                <w:color w:val="auto"/>
                <w:sz w:val="20"/>
                <w:szCs w:val="20"/>
                <w:vertAlign w:val="superscript"/>
              </w:rPr>
              <w:t>2</w:t>
            </w:r>
            <w:r>
              <w:rPr>
                <w:b/>
                <w:bCs/>
                <w:color w:val="auto"/>
                <w:sz w:val="20"/>
                <w:szCs w:val="20"/>
              </w:rPr>
              <w:t>)</w:t>
            </w:r>
          </w:p>
        </w:tc>
        <w:tc>
          <w:tcPr>
            <w:tcW w:w="1245" w:type="dxa"/>
            <w:noWrap w:val="0"/>
            <w:vAlign w:val="center"/>
          </w:tcPr>
          <w:p>
            <w:pPr>
              <w:pStyle w:val="332"/>
              <w:kinsoku w:val="0"/>
              <w:overflowPunct w:val="0"/>
              <w:jc w:val="center"/>
              <w:rPr>
                <w:color w:val="auto"/>
                <w:sz w:val="20"/>
                <w:szCs w:val="20"/>
              </w:rPr>
            </w:pPr>
            <w:r>
              <w:rPr>
                <w:b/>
                <w:bCs/>
                <w:color w:val="auto"/>
                <w:sz w:val="20"/>
                <w:szCs w:val="20"/>
              </w:rPr>
              <w:t>0.2(kg/m</w:t>
            </w:r>
            <w:r>
              <w:rPr>
                <w:b/>
                <w:bCs/>
                <w:color w:val="auto"/>
                <w:sz w:val="20"/>
                <w:szCs w:val="20"/>
                <w:vertAlign w:val="superscript"/>
              </w:rPr>
              <w:t>2</w:t>
            </w:r>
            <w:r>
              <w:rPr>
                <w:b/>
                <w:bCs/>
                <w:color w:val="auto"/>
                <w:sz w:val="20"/>
                <w:szCs w:val="20"/>
              </w:rPr>
              <w:t>)</w:t>
            </w:r>
          </w:p>
        </w:tc>
        <w:tc>
          <w:tcPr>
            <w:tcW w:w="1245" w:type="dxa"/>
            <w:noWrap w:val="0"/>
            <w:vAlign w:val="center"/>
          </w:tcPr>
          <w:p>
            <w:pPr>
              <w:pStyle w:val="332"/>
              <w:kinsoku w:val="0"/>
              <w:overflowPunct w:val="0"/>
              <w:jc w:val="center"/>
              <w:rPr>
                <w:color w:val="auto"/>
                <w:sz w:val="20"/>
                <w:szCs w:val="20"/>
              </w:rPr>
            </w:pPr>
            <w:r>
              <w:rPr>
                <w:b/>
                <w:bCs/>
                <w:color w:val="auto"/>
                <w:sz w:val="20"/>
                <w:szCs w:val="20"/>
              </w:rPr>
              <w:t>0.3(kg/m</w:t>
            </w:r>
            <w:r>
              <w:rPr>
                <w:b/>
                <w:bCs/>
                <w:color w:val="auto"/>
                <w:sz w:val="20"/>
                <w:szCs w:val="20"/>
                <w:vertAlign w:val="superscript"/>
              </w:rPr>
              <w:t>2</w:t>
            </w:r>
            <w:r>
              <w:rPr>
                <w:b/>
                <w:bCs/>
                <w:color w:val="auto"/>
                <w:sz w:val="20"/>
                <w:szCs w:val="20"/>
              </w:rPr>
              <w:t>)</w:t>
            </w:r>
          </w:p>
        </w:tc>
        <w:tc>
          <w:tcPr>
            <w:tcW w:w="1245" w:type="dxa"/>
            <w:noWrap w:val="0"/>
            <w:vAlign w:val="center"/>
          </w:tcPr>
          <w:p>
            <w:pPr>
              <w:pStyle w:val="332"/>
              <w:kinsoku w:val="0"/>
              <w:overflowPunct w:val="0"/>
              <w:jc w:val="center"/>
              <w:rPr>
                <w:color w:val="auto"/>
                <w:sz w:val="20"/>
                <w:szCs w:val="20"/>
              </w:rPr>
            </w:pPr>
            <w:r>
              <w:rPr>
                <w:b/>
                <w:bCs/>
                <w:color w:val="auto"/>
                <w:sz w:val="20"/>
                <w:szCs w:val="20"/>
              </w:rPr>
              <w:t>0.4(kg/m</w:t>
            </w:r>
            <w:r>
              <w:rPr>
                <w:b/>
                <w:bCs/>
                <w:color w:val="auto"/>
                <w:sz w:val="20"/>
                <w:szCs w:val="20"/>
                <w:vertAlign w:val="superscript"/>
              </w:rPr>
              <w:t>2</w:t>
            </w:r>
            <w:r>
              <w:rPr>
                <w:b/>
                <w:bCs/>
                <w:color w:val="auto"/>
                <w:sz w:val="20"/>
                <w:szCs w:val="20"/>
              </w:rPr>
              <w:t>)</w:t>
            </w:r>
          </w:p>
        </w:tc>
        <w:tc>
          <w:tcPr>
            <w:tcW w:w="1244" w:type="dxa"/>
            <w:noWrap w:val="0"/>
            <w:vAlign w:val="center"/>
          </w:tcPr>
          <w:p>
            <w:pPr>
              <w:pStyle w:val="332"/>
              <w:kinsoku w:val="0"/>
              <w:overflowPunct w:val="0"/>
              <w:jc w:val="center"/>
              <w:rPr>
                <w:color w:val="auto"/>
                <w:sz w:val="20"/>
                <w:szCs w:val="20"/>
              </w:rPr>
            </w:pPr>
            <w:r>
              <w:rPr>
                <w:b/>
                <w:bCs/>
                <w:color w:val="auto"/>
                <w:sz w:val="20"/>
                <w:szCs w:val="20"/>
              </w:rPr>
              <w:t>0.5(kg/m</w:t>
            </w:r>
            <w:r>
              <w:rPr>
                <w:b/>
                <w:bCs/>
                <w:color w:val="auto"/>
                <w:sz w:val="20"/>
                <w:szCs w:val="20"/>
                <w:vertAlign w:val="superscript"/>
              </w:rPr>
              <w:t>2</w:t>
            </w:r>
            <w:r>
              <w:rPr>
                <w:b/>
                <w:bCs/>
                <w:color w:val="auto"/>
                <w:sz w:val="20"/>
                <w:szCs w:val="20"/>
              </w:rPr>
              <w:t>)</w:t>
            </w:r>
          </w:p>
        </w:tc>
        <w:tc>
          <w:tcPr>
            <w:tcW w:w="1244" w:type="dxa"/>
            <w:noWrap w:val="0"/>
            <w:vAlign w:val="center"/>
          </w:tcPr>
          <w:p>
            <w:pPr>
              <w:pStyle w:val="332"/>
              <w:kinsoku w:val="0"/>
              <w:overflowPunct w:val="0"/>
              <w:jc w:val="center"/>
              <w:rPr>
                <w:color w:val="auto"/>
                <w:sz w:val="20"/>
                <w:szCs w:val="20"/>
              </w:rPr>
            </w:pPr>
            <w:r>
              <w:rPr>
                <w:b/>
                <w:bCs/>
                <w:color w:val="auto"/>
                <w:sz w:val="20"/>
                <w:szCs w:val="20"/>
              </w:rPr>
              <w:t>1(kg/m</w:t>
            </w:r>
            <w:r>
              <w:rPr>
                <w:b/>
                <w:bCs/>
                <w:color w:val="auto"/>
                <w:sz w:val="20"/>
                <w:szCs w:val="20"/>
                <w:vertAlign w:val="superscript"/>
              </w:rPr>
              <w:t>2</w:t>
            </w:r>
            <w:r>
              <w:rPr>
                <w:b/>
                <w:bCs/>
                <w:color w:val="auto"/>
                <w:sz w:val="20"/>
                <w:szCs w:val="20"/>
              </w:rPr>
              <w:t>)</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1319" w:type="dxa"/>
            <w:noWrap w:val="0"/>
            <w:vAlign w:val="center"/>
          </w:tcPr>
          <w:p>
            <w:pPr>
              <w:pStyle w:val="332"/>
              <w:kinsoku w:val="0"/>
              <w:overflowPunct w:val="0"/>
              <w:jc w:val="center"/>
              <w:rPr>
                <w:color w:val="auto"/>
                <w:sz w:val="20"/>
                <w:szCs w:val="20"/>
              </w:rPr>
            </w:pPr>
            <w:r>
              <w:rPr>
                <w:color w:val="auto"/>
                <w:sz w:val="20"/>
                <w:szCs w:val="20"/>
              </w:rPr>
              <w:t>5(km/h)</w:t>
            </w:r>
          </w:p>
        </w:tc>
        <w:tc>
          <w:tcPr>
            <w:tcW w:w="1245" w:type="dxa"/>
            <w:noWrap w:val="0"/>
            <w:vAlign w:val="center"/>
          </w:tcPr>
          <w:p>
            <w:pPr>
              <w:pStyle w:val="332"/>
              <w:kinsoku w:val="0"/>
              <w:overflowPunct w:val="0"/>
              <w:jc w:val="center"/>
              <w:rPr>
                <w:color w:val="auto"/>
                <w:sz w:val="20"/>
                <w:szCs w:val="20"/>
              </w:rPr>
            </w:pPr>
            <w:r>
              <w:rPr>
                <w:color w:val="auto"/>
                <w:sz w:val="20"/>
                <w:szCs w:val="20"/>
              </w:rPr>
              <w:t>0.051056</w:t>
            </w:r>
          </w:p>
        </w:tc>
        <w:tc>
          <w:tcPr>
            <w:tcW w:w="1245" w:type="dxa"/>
            <w:noWrap w:val="0"/>
            <w:vAlign w:val="center"/>
          </w:tcPr>
          <w:p>
            <w:pPr>
              <w:pStyle w:val="332"/>
              <w:kinsoku w:val="0"/>
              <w:overflowPunct w:val="0"/>
              <w:jc w:val="center"/>
              <w:rPr>
                <w:color w:val="auto"/>
                <w:sz w:val="20"/>
                <w:szCs w:val="20"/>
              </w:rPr>
            </w:pPr>
            <w:r>
              <w:rPr>
                <w:color w:val="auto"/>
                <w:sz w:val="20"/>
                <w:szCs w:val="20"/>
              </w:rPr>
              <w:t>0.085865</w:t>
            </w:r>
          </w:p>
        </w:tc>
        <w:tc>
          <w:tcPr>
            <w:tcW w:w="1245" w:type="dxa"/>
            <w:noWrap w:val="0"/>
            <w:vAlign w:val="center"/>
          </w:tcPr>
          <w:p>
            <w:pPr>
              <w:pStyle w:val="332"/>
              <w:kinsoku w:val="0"/>
              <w:overflowPunct w:val="0"/>
              <w:jc w:val="center"/>
              <w:rPr>
                <w:color w:val="auto"/>
                <w:sz w:val="20"/>
                <w:szCs w:val="20"/>
              </w:rPr>
            </w:pPr>
            <w:r>
              <w:rPr>
                <w:color w:val="auto"/>
                <w:sz w:val="20"/>
                <w:szCs w:val="20"/>
              </w:rPr>
              <w:t>0.116382</w:t>
            </w:r>
          </w:p>
        </w:tc>
        <w:tc>
          <w:tcPr>
            <w:tcW w:w="1245" w:type="dxa"/>
            <w:noWrap w:val="0"/>
            <w:vAlign w:val="center"/>
          </w:tcPr>
          <w:p>
            <w:pPr>
              <w:pStyle w:val="332"/>
              <w:kinsoku w:val="0"/>
              <w:overflowPunct w:val="0"/>
              <w:jc w:val="center"/>
              <w:rPr>
                <w:color w:val="auto"/>
                <w:sz w:val="20"/>
                <w:szCs w:val="20"/>
              </w:rPr>
            </w:pPr>
            <w:r>
              <w:rPr>
                <w:color w:val="auto"/>
                <w:sz w:val="20"/>
                <w:szCs w:val="20"/>
              </w:rPr>
              <w:t>0.144408</w:t>
            </w:r>
          </w:p>
        </w:tc>
        <w:tc>
          <w:tcPr>
            <w:tcW w:w="1244" w:type="dxa"/>
            <w:noWrap w:val="0"/>
            <w:vAlign w:val="center"/>
          </w:tcPr>
          <w:p>
            <w:pPr>
              <w:pStyle w:val="332"/>
              <w:kinsoku w:val="0"/>
              <w:overflowPunct w:val="0"/>
              <w:jc w:val="center"/>
              <w:rPr>
                <w:color w:val="auto"/>
                <w:sz w:val="20"/>
                <w:szCs w:val="20"/>
              </w:rPr>
            </w:pPr>
            <w:r>
              <w:rPr>
                <w:color w:val="auto"/>
                <w:sz w:val="20"/>
                <w:szCs w:val="20"/>
              </w:rPr>
              <w:t>0.170715</w:t>
            </w:r>
          </w:p>
        </w:tc>
        <w:tc>
          <w:tcPr>
            <w:tcW w:w="1244" w:type="dxa"/>
            <w:noWrap w:val="0"/>
            <w:vAlign w:val="center"/>
          </w:tcPr>
          <w:p>
            <w:pPr>
              <w:pStyle w:val="332"/>
              <w:kinsoku w:val="0"/>
              <w:overflowPunct w:val="0"/>
              <w:jc w:val="center"/>
              <w:rPr>
                <w:color w:val="auto"/>
                <w:sz w:val="20"/>
                <w:szCs w:val="20"/>
              </w:rPr>
            </w:pPr>
            <w:r>
              <w:rPr>
                <w:color w:val="auto"/>
                <w:sz w:val="20"/>
                <w:szCs w:val="20"/>
              </w:rPr>
              <w:t>0.287108</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1319" w:type="dxa"/>
            <w:noWrap w:val="0"/>
            <w:vAlign w:val="center"/>
          </w:tcPr>
          <w:p>
            <w:pPr>
              <w:pStyle w:val="332"/>
              <w:kinsoku w:val="0"/>
              <w:overflowPunct w:val="0"/>
              <w:jc w:val="center"/>
              <w:rPr>
                <w:color w:val="auto"/>
                <w:sz w:val="20"/>
                <w:szCs w:val="20"/>
              </w:rPr>
            </w:pPr>
            <w:r>
              <w:rPr>
                <w:color w:val="auto"/>
                <w:sz w:val="20"/>
                <w:szCs w:val="20"/>
              </w:rPr>
              <w:t>10(km/h)</w:t>
            </w:r>
          </w:p>
        </w:tc>
        <w:tc>
          <w:tcPr>
            <w:tcW w:w="1245" w:type="dxa"/>
            <w:noWrap w:val="0"/>
            <w:vAlign w:val="center"/>
          </w:tcPr>
          <w:p>
            <w:pPr>
              <w:pStyle w:val="332"/>
              <w:kinsoku w:val="0"/>
              <w:overflowPunct w:val="0"/>
              <w:jc w:val="center"/>
              <w:rPr>
                <w:color w:val="auto"/>
                <w:sz w:val="20"/>
                <w:szCs w:val="20"/>
              </w:rPr>
            </w:pPr>
            <w:r>
              <w:rPr>
                <w:color w:val="auto"/>
                <w:sz w:val="20"/>
                <w:szCs w:val="20"/>
              </w:rPr>
              <w:t>0.102112</w:t>
            </w:r>
          </w:p>
        </w:tc>
        <w:tc>
          <w:tcPr>
            <w:tcW w:w="1245" w:type="dxa"/>
            <w:noWrap w:val="0"/>
            <w:vAlign w:val="center"/>
          </w:tcPr>
          <w:p>
            <w:pPr>
              <w:pStyle w:val="332"/>
              <w:kinsoku w:val="0"/>
              <w:overflowPunct w:val="0"/>
              <w:jc w:val="center"/>
              <w:rPr>
                <w:color w:val="auto"/>
                <w:sz w:val="20"/>
                <w:szCs w:val="20"/>
              </w:rPr>
            </w:pPr>
            <w:r>
              <w:rPr>
                <w:color w:val="auto"/>
                <w:sz w:val="20"/>
                <w:szCs w:val="20"/>
              </w:rPr>
              <w:t>0.171731</w:t>
            </w:r>
          </w:p>
        </w:tc>
        <w:tc>
          <w:tcPr>
            <w:tcW w:w="1245" w:type="dxa"/>
            <w:noWrap w:val="0"/>
            <w:vAlign w:val="center"/>
          </w:tcPr>
          <w:p>
            <w:pPr>
              <w:pStyle w:val="332"/>
              <w:kinsoku w:val="0"/>
              <w:overflowPunct w:val="0"/>
              <w:jc w:val="center"/>
              <w:rPr>
                <w:color w:val="auto"/>
                <w:sz w:val="20"/>
                <w:szCs w:val="20"/>
              </w:rPr>
            </w:pPr>
            <w:r>
              <w:rPr>
                <w:color w:val="auto"/>
                <w:sz w:val="20"/>
                <w:szCs w:val="20"/>
              </w:rPr>
              <w:t>0.232764</w:t>
            </w:r>
          </w:p>
        </w:tc>
        <w:tc>
          <w:tcPr>
            <w:tcW w:w="1245" w:type="dxa"/>
            <w:noWrap w:val="0"/>
            <w:vAlign w:val="center"/>
          </w:tcPr>
          <w:p>
            <w:pPr>
              <w:pStyle w:val="332"/>
              <w:kinsoku w:val="0"/>
              <w:overflowPunct w:val="0"/>
              <w:jc w:val="center"/>
              <w:rPr>
                <w:color w:val="auto"/>
                <w:sz w:val="20"/>
                <w:szCs w:val="20"/>
              </w:rPr>
            </w:pPr>
            <w:r>
              <w:rPr>
                <w:color w:val="auto"/>
                <w:sz w:val="20"/>
                <w:szCs w:val="20"/>
              </w:rPr>
              <w:t>0.288815</w:t>
            </w:r>
          </w:p>
        </w:tc>
        <w:tc>
          <w:tcPr>
            <w:tcW w:w="1244" w:type="dxa"/>
            <w:noWrap w:val="0"/>
            <w:vAlign w:val="center"/>
          </w:tcPr>
          <w:p>
            <w:pPr>
              <w:pStyle w:val="332"/>
              <w:kinsoku w:val="0"/>
              <w:overflowPunct w:val="0"/>
              <w:jc w:val="center"/>
              <w:rPr>
                <w:color w:val="auto"/>
                <w:sz w:val="20"/>
                <w:szCs w:val="20"/>
              </w:rPr>
            </w:pPr>
            <w:r>
              <w:rPr>
                <w:color w:val="auto"/>
                <w:sz w:val="20"/>
                <w:szCs w:val="20"/>
              </w:rPr>
              <w:t>0.341431</w:t>
            </w:r>
          </w:p>
        </w:tc>
        <w:tc>
          <w:tcPr>
            <w:tcW w:w="1244" w:type="dxa"/>
            <w:noWrap w:val="0"/>
            <w:vAlign w:val="center"/>
          </w:tcPr>
          <w:p>
            <w:pPr>
              <w:pStyle w:val="332"/>
              <w:kinsoku w:val="0"/>
              <w:overflowPunct w:val="0"/>
              <w:jc w:val="center"/>
              <w:rPr>
                <w:color w:val="auto"/>
                <w:sz w:val="20"/>
                <w:szCs w:val="20"/>
              </w:rPr>
            </w:pPr>
            <w:r>
              <w:rPr>
                <w:color w:val="auto"/>
                <w:sz w:val="20"/>
                <w:szCs w:val="20"/>
              </w:rPr>
              <w:t>0.574216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1319" w:type="dxa"/>
            <w:noWrap w:val="0"/>
            <w:vAlign w:val="center"/>
          </w:tcPr>
          <w:p>
            <w:pPr>
              <w:pStyle w:val="332"/>
              <w:kinsoku w:val="0"/>
              <w:overflowPunct w:val="0"/>
              <w:jc w:val="center"/>
              <w:rPr>
                <w:color w:val="auto"/>
                <w:sz w:val="20"/>
                <w:szCs w:val="20"/>
              </w:rPr>
            </w:pPr>
            <w:r>
              <w:rPr>
                <w:color w:val="auto"/>
                <w:sz w:val="20"/>
                <w:szCs w:val="20"/>
              </w:rPr>
              <w:t>15(km/h)</w:t>
            </w:r>
          </w:p>
        </w:tc>
        <w:tc>
          <w:tcPr>
            <w:tcW w:w="1245" w:type="dxa"/>
            <w:noWrap w:val="0"/>
            <w:vAlign w:val="center"/>
          </w:tcPr>
          <w:p>
            <w:pPr>
              <w:pStyle w:val="332"/>
              <w:kinsoku w:val="0"/>
              <w:overflowPunct w:val="0"/>
              <w:jc w:val="center"/>
              <w:rPr>
                <w:color w:val="auto"/>
                <w:sz w:val="20"/>
                <w:szCs w:val="20"/>
              </w:rPr>
            </w:pPr>
            <w:r>
              <w:rPr>
                <w:color w:val="auto"/>
                <w:sz w:val="20"/>
                <w:szCs w:val="20"/>
              </w:rPr>
              <w:t>0.153167</w:t>
            </w:r>
          </w:p>
        </w:tc>
        <w:tc>
          <w:tcPr>
            <w:tcW w:w="1245" w:type="dxa"/>
            <w:noWrap w:val="0"/>
            <w:vAlign w:val="center"/>
          </w:tcPr>
          <w:p>
            <w:pPr>
              <w:pStyle w:val="332"/>
              <w:kinsoku w:val="0"/>
              <w:overflowPunct w:val="0"/>
              <w:jc w:val="center"/>
              <w:rPr>
                <w:color w:val="auto"/>
                <w:sz w:val="20"/>
                <w:szCs w:val="20"/>
              </w:rPr>
            </w:pPr>
            <w:r>
              <w:rPr>
                <w:color w:val="auto"/>
                <w:sz w:val="20"/>
                <w:szCs w:val="20"/>
              </w:rPr>
              <w:t>0.257596</w:t>
            </w:r>
          </w:p>
        </w:tc>
        <w:tc>
          <w:tcPr>
            <w:tcW w:w="1245" w:type="dxa"/>
            <w:noWrap w:val="0"/>
            <w:vAlign w:val="center"/>
          </w:tcPr>
          <w:p>
            <w:pPr>
              <w:pStyle w:val="332"/>
              <w:kinsoku w:val="0"/>
              <w:overflowPunct w:val="0"/>
              <w:jc w:val="center"/>
              <w:rPr>
                <w:color w:val="auto"/>
                <w:sz w:val="20"/>
                <w:szCs w:val="20"/>
              </w:rPr>
            </w:pPr>
            <w:r>
              <w:rPr>
                <w:color w:val="auto"/>
                <w:sz w:val="20"/>
                <w:szCs w:val="20"/>
              </w:rPr>
              <w:t>0.349146</w:t>
            </w:r>
          </w:p>
        </w:tc>
        <w:tc>
          <w:tcPr>
            <w:tcW w:w="1245" w:type="dxa"/>
            <w:noWrap w:val="0"/>
            <w:vAlign w:val="center"/>
          </w:tcPr>
          <w:p>
            <w:pPr>
              <w:pStyle w:val="332"/>
              <w:kinsoku w:val="0"/>
              <w:overflowPunct w:val="0"/>
              <w:jc w:val="center"/>
              <w:rPr>
                <w:color w:val="auto"/>
                <w:sz w:val="20"/>
                <w:szCs w:val="20"/>
              </w:rPr>
            </w:pPr>
            <w:r>
              <w:rPr>
                <w:color w:val="auto"/>
                <w:sz w:val="20"/>
                <w:szCs w:val="20"/>
              </w:rPr>
              <w:t>0.433223</w:t>
            </w:r>
          </w:p>
        </w:tc>
        <w:tc>
          <w:tcPr>
            <w:tcW w:w="1244" w:type="dxa"/>
            <w:noWrap w:val="0"/>
            <w:vAlign w:val="center"/>
          </w:tcPr>
          <w:p>
            <w:pPr>
              <w:pStyle w:val="332"/>
              <w:kinsoku w:val="0"/>
              <w:overflowPunct w:val="0"/>
              <w:jc w:val="center"/>
              <w:rPr>
                <w:color w:val="auto"/>
                <w:sz w:val="20"/>
                <w:szCs w:val="20"/>
              </w:rPr>
            </w:pPr>
            <w:r>
              <w:rPr>
                <w:color w:val="auto"/>
                <w:sz w:val="20"/>
                <w:szCs w:val="20"/>
              </w:rPr>
              <w:t>0.512146</w:t>
            </w:r>
          </w:p>
        </w:tc>
        <w:tc>
          <w:tcPr>
            <w:tcW w:w="1244" w:type="dxa"/>
            <w:noWrap w:val="0"/>
            <w:vAlign w:val="center"/>
          </w:tcPr>
          <w:p>
            <w:pPr>
              <w:pStyle w:val="332"/>
              <w:kinsoku w:val="0"/>
              <w:overflowPunct w:val="0"/>
              <w:jc w:val="center"/>
              <w:rPr>
                <w:color w:val="auto"/>
                <w:sz w:val="20"/>
                <w:szCs w:val="20"/>
              </w:rPr>
            </w:pPr>
            <w:r>
              <w:rPr>
                <w:color w:val="auto"/>
                <w:sz w:val="20"/>
                <w:szCs w:val="20"/>
              </w:rPr>
              <w:t>0.861323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1319" w:type="dxa"/>
            <w:noWrap w:val="0"/>
            <w:vAlign w:val="center"/>
          </w:tcPr>
          <w:p>
            <w:pPr>
              <w:pStyle w:val="332"/>
              <w:kinsoku w:val="0"/>
              <w:overflowPunct w:val="0"/>
              <w:jc w:val="center"/>
              <w:rPr>
                <w:color w:val="auto"/>
                <w:sz w:val="20"/>
                <w:szCs w:val="20"/>
              </w:rPr>
            </w:pPr>
            <w:r>
              <w:rPr>
                <w:color w:val="auto"/>
                <w:sz w:val="20"/>
                <w:szCs w:val="20"/>
              </w:rPr>
              <w:t>25(km/h)</w:t>
            </w:r>
          </w:p>
        </w:tc>
        <w:tc>
          <w:tcPr>
            <w:tcW w:w="1245" w:type="dxa"/>
            <w:noWrap w:val="0"/>
            <w:vAlign w:val="center"/>
          </w:tcPr>
          <w:p>
            <w:pPr>
              <w:pStyle w:val="332"/>
              <w:kinsoku w:val="0"/>
              <w:overflowPunct w:val="0"/>
              <w:jc w:val="center"/>
              <w:rPr>
                <w:color w:val="auto"/>
                <w:sz w:val="20"/>
                <w:szCs w:val="20"/>
              </w:rPr>
            </w:pPr>
            <w:r>
              <w:rPr>
                <w:color w:val="auto"/>
                <w:sz w:val="20"/>
                <w:szCs w:val="20"/>
              </w:rPr>
              <w:t>0.255279</w:t>
            </w:r>
          </w:p>
        </w:tc>
        <w:tc>
          <w:tcPr>
            <w:tcW w:w="1245" w:type="dxa"/>
            <w:noWrap w:val="0"/>
            <w:vAlign w:val="center"/>
          </w:tcPr>
          <w:p>
            <w:pPr>
              <w:pStyle w:val="332"/>
              <w:kinsoku w:val="0"/>
              <w:overflowPunct w:val="0"/>
              <w:jc w:val="center"/>
              <w:rPr>
                <w:color w:val="auto"/>
                <w:sz w:val="20"/>
                <w:szCs w:val="20"/>
              </w:rPr>
            </w:pPr>
            <w:r>
              <w:rPr>
                <w:color w:val="auto"/>
                <w:sz w:val="20"/>
                <w:szCs w:val="20"/>
              </w:rPr>
              <w:t>0.429326</w:t>
            </w:r>
          </w:p>
        </w:tc>
        <w:tc>
          <w:tcPr>
            <w:tcW w:w="1245" w:type="dxa"/>
            <w:noWrap w:val="0"/>
            <w:vAlign w:val="center"/>
          </w:tcPr>
          <w:p>
            <w:pPr>
              <w:pStyle w:val="332"/>
              <w:kinsoku w:val="0"/>
              <w:overflowPunct w:val="0"/>
              <w:jc w:val="center"/>
              <w:rPr>
                <w:color w:val="auto"/>
                <w:sz w:val="20"/>
                <w:szCs w:val="20"/>
              </w:rPr>
            </w:pPr>
            <w:r>
              <w:rPr>
                <w:color w:val="auto"/>
                <w:sz w:val="20"/>
                <w:szCs w:val="20"/>
              </w:rPr>
              <w:t>0.58191</w:t>
            </w:r>
          </w:p>
        </w:tc>
        <w:tc>
          <w:tcPr>
            <w:tcW w:w="1245" w:type="dxa"/>
            <w:noWrap w:val="0"/>
            <w:vAlign w:val="center"/>
          </w:tcPr>
          <w:p>
            <w:pPr>
              <w:pStyle w:val="332"/>
              <w:kinsoku w:val="0"/>
              <w:overflowPunct w:val="0"/>
              <w:jc w:val="center"/>
              <w:rPr>
                <w:color w:val="auto"/>
                <w:sz w:val="20"/>
                <w:szCs w:val="20"/>
              </w:rPr>
            </w:pPr>
            <w:r>
              <w:rPr>
                <w:color w:val="auto"/>
                <w:sz w:val="20"/>
                <w:szCs w:val="20"/>
              </w:rPr>
              <w:t>0.722038</w:t>
            </w:r>
          </w:p>
        </w:tc>
        <w:tc>
          <w:tcPr>
            <w:tcW w:w="1244" w:type="dxa"/>
            <w:noWrap w:val="0"/>
            <w:vAlign w:val="center"/>
          </w:tcPr>
          <w:p>
            <w:pPr>
              <w:pStyle w:val="332"/>
              <w:kinsoku w:val="0"/>
              <w:overflowPunct w:val="0"/>
              <w:jc w:val="center"/>
              <w:rPr>
                <w:color w:val="auto"/>
                <w:sz w:val="20"/>
                <w:szCs w:val="20"/>
              </w:rPr>
            </w:pPr>
            <w:r>
              <w:rPr>
                <w:color w:val="auto"/>
                <w:sz w:val="20"/>
                <w:szCs w:val="20"/>
              </w:rPr>
              <w:t>0.853577</w:t>
            </w:r>
          </w:p>
        </w:tc>
        <w:tc>
          <w:tcPr>
            <w:tcW w:w="1244" w:type="dxa"/>
            <w:noWrap w:val="0"/>
            <w:vAlign w:val="center"/>
          </w:tcPr>
          <w:p>
            <w:pPr>
              <w:pStyle w:val="332"/>
              <w:kinsoku w:val="0"/>
              <w:overflowPunct w:val="0"/>
              <w:jc w:val="center"/>
              <w:rPr>
                <w:color w:val="auto"/>
                <w:sz w:val="20"/>
                <w:szCs w:val="20"/>
              </w:rPr>
            </w:pPr>
            <w:r>
              <w:rPr>
                <w:color w:val="auto"/>
                <w:sz w:val="20"/>
                <w:szCs w:val="20"/>
              </w:rPr>
              <w:t>1.435539</w:t>
            </w:r>
          </w:p>
        </w:tc>
      </w:tr>
    </w:tbl>
    <w:p>
      <w:pPr>
        <w:pStyle w:val="3"/>
        <w:kinsoku w:val="0"/>
        <w:overflowPunct w:val="0"/>
        <w:spacing w:before="120" w:beforeLines="50" w:after="0"/>
        <w:ind w:right="249" w:firstLine="480"/>
        <w:rPr>
          <w:rFonts w:ascii="Times New Roman" w:hAnsi="Times New Roman"/>
          <w:color w:val="auto"/>
        </w:rPr>
      </w:pPr>
      <w:r>
        <w:rPr>
          <w:rFonts w:ascii="Times New Roman" w:hAnsi="Times New Roman"/>
          <w:color w:val="auto"/>
        </w:rPr>
        <w:t>由此可见，施工车辆扬尘与车速、地面清洁程度等有密切关系。在同样路面清洁程度条件下，车速越快，扬尘量越大；而在同样车速情况下，路面越脏，则扬尘量越</w:t>
      </w:r>
      <w:r>
        <w:rPr>
          <w:rFonts w:ascii="Times New Roman" w:hAnsi="Times New Roman"/>
          <w:color w:val="auto"/>
          <w:spacing w:val="-55"/>
        </w:rPr>
        <w:t xml:space="preserve"> </w:t>
      </w:r>
      <w:r>
        <w:rPr>
          <w:rFonts w:ascii="Times New Roman" w:hAnsi="Times New Roman"/>
          <w:color w:val="auto"/>
        </w:rPr>
        <w:t>大。</w:t>
      </w:r>
    </w:p>
    <w:p>
      <w:pPr>
        <w:pStyle w:val="3"/>
        <w:kinsoku w:val="0"/>
        <w:overflowPunct w:val="0"/>
        <w:spacing w:after="0"/>
        <w:ind w:right="249"/>
        <w:rPr>
          <w:rFonts w:hint="eastAsia" w:ascii="Times New Roman" w:hAnsi="Times New Roman" w:eastAsia="宋体"/>
          <w:color w:val="auto"/>
          <w:lang w:eastAsia="zh-CN"/>
        </w:rPr>
      </w:pPr>
      <w:r>
        <w:rPr>
          <w:rFonts w:ascii="Times New Roman" w:hAnsi="Times New Roman"/>
          <w:color w:val="auto"/>
        </w:rPr>
        <w:t>由于本项目施工作业都是在场内进行</w:t>
      </w:r>
      <w:r>
        <w:rPr>
          <w:rFonts w:hint="eastAsia" w:ascii="Times New Roman" w:hAnsi="Times New Roman"/>
          <w:color w:val="auto"/>
          <w:lang w:eastAsia="zh-CN"/>
        </w:rPr>
        <w:t>，</w:t>
      </w:r>
      <w:r>
        <w:rPr>
          <w:rFonts w:ascii="Times New Roman" w:hAnsi="Times New Roman"/>
          <w:color w:val="auto"/>
        </w:rPr>
        <w:t>场址内目前为</w:t>
      </w:r>
      <w:r>
        <w:rPr>
          <w:rFonts w:hint="eastAsia" w:ascii="Times New Roman" w:hAnsi="Times New Roman"/>
          <w:color w:val="auto"/>
          <w:lang w:val="en-US" w:eastAsia="zh-CN"/>
        </w:rPr>
        <w:t>农用地及建设用地</w:t>
      </w:r>
      <w:r>
        <w:rPr>
          <w:rFonts w:ascii="Times New Roman" w:hAnsi="Times New Roman"/>
          <w:color w:val="auto"/>
        </w:rPr>
        <w:t>。施工区域全部为农地，因此在场地内施工扬尘会较大，遇汛期将增加水土流失量</w:t>
      </w:r>
      <w:r>
        <w:rPr>
          <w:rFonts w:hint="eastAsia" w:ascii="Times New Roman" w:hAnsi="Times New Roman"/>
          <w:color w:val="auto"/>
          <w:lang w:eastAsia="zh-CN"/>
        </w:rPr>
        <w:t>。</w:t>
      </w:r>
    </w:p>
    <w:p>
      <w:pPr>
        <w:pStyle w:val="3"/>
        <w:kinsoku w:val="0"/>
        <w:overflowPunct w:val="0"/>
        <w:spacing w:after="0"/>
        <w:ind w:right="249" w:firstLine="482"/>
        <w:rPr>
          <w:rFonts w:ascii="Times New Roman" w:hAnsi="Times New Roman"/>
          <w:b/>
          <w:color w:val="auto"/>
        </w:rPr>
      </w:pPr>
      <w:r>
        <w:rPr>
          <w:rFonts w:ascii="Times New Roman" w:hAnsi="Times New Roman"/>
          <w:b/>
          <w:color w:val="auto"/>
        </w:rPr>
        <w:t>防治措施：</w:t>
      </w:r>
    </w:p>
    <w:p>
      <w:pPr>
        <w:pStyle w:val="3"/>
        <w:wordWrap w:val="0"/>
        <w:spacing w:after="0"/>
        <w:ind w:firstLine="480"/>
        <w:rPr>
          <w:rFonts w:ascii="Times New Roman" w:hAnsi="Times New Roman"/>
          <w:color w:val="auto"/>
        </w:rPr>
      </w:pPr>
      <w:r>
        <w:rPr>
          <w:rFonts w:ascii="Times New Roman" w:hAnsi="Times New Roman"/>
          <w:color w:val="auto"/>
        </w:rPr>
        <w:t>1）严格按照《</w:t>
      </w:r>
      <w:r>
        <w:rPr>
          <w:rFonts w:hint="eastAsia" w:ascii="Times New Roman" w:hAnsi="Times New Roman"/>
          <w:color w:val="auto"/>
        </w:rPr>
        <w:t>四川省〈中华人民共和国大气污染防治法〉实施办法</w:t>
      </w:r>
      <w:r>
        <w:rPr>
          <w:rFonts w:ascii="Times New Roman" w:hAnsi="Times New Roman"/>
          <w:color w:val="auto"/>
        </w:rPr>
        <w:t>》和《四川省灰霾污染防治实施方案》的要求：</w:t>
      </w:r>
      <w:r>
        <w:rPr>
          <w:rFonts w:hint="eastAsia" w:ascii="Times New Roman" w:hAnsi="Times New Roman"/>
          <w:color w:val="auto"/>
        </w:rPr>
        <w:t>“</w:t>
      </w:r>
      <w:r>
        <w:rPr>
          <w:rFonts w:ascii="Times New Roman" w:hAnsi="Times New Roman"/>
          <w:color w:val="auto"/>
        </w:rPr>
        <w:t>严格执行安全文明施工标准规范，全面推行现场标准化管理。严格落实施工现场围挡、工地物料堆场覆盖、施工现场路面硬化、驶出工地车辆冲洗、拆迁工地湿法作业、渣土运输车辆密闭等扬尘防治要求。研究渣土运输车辆密闭改装标准，确保实现渣土密闭运输。加强建设工地监督检查，督促责任单位落实降尘、压尘和抑尘措施。</w:t>
      </w:r>
      <w:r>
        <w:rPr>
          <w:rFonts w:hint="eastAsia" w:ascii="Times New Roman" w:hAnsi="Times New Roman"/>
          <w:color w:val="auto"/>
        </w:rPr>
        <w:t>”</w:t>
      </w:r>
    </w:p>
    <w:p>
      <w:pPr>
        <w:pStyle w:val="3"/>
        <w:kinsoku w:val="0"/>
        <w:overflowPunct w:val="0"/>
        <w:spacing w:after="0"/>
        <w:ind w:right="249" w:firstLine="480"/>
        <w:rPr>
          <w:rFonts w:ascii="Times New Roman" w:hAnsi="Times New Roman"/>
          <w:color w:val="auto"/>
        </w:rPr>
      </w:pPr>
      <w:r>
        <w:rPr>
          <w:rFonts w:ascii="Times New Roman" w:hAnsi="Times New Roman"/>
          <w:color w:val="auto"/>
        </w:rPr>
        <w:t>严格落实建设施工工地扬尘整治管理制度。做到</w:t>
      </w:r>
      <w:r>
        <w:rPr>
          <w:rFonts w:hint="eastAsia" w:ascii="Times New Roman" w:hAnsi="Times New Roman"/>
          <w:color w:val="auto"/>
        </w:rPr>
        <w:t>“</w:t>
      </w:r>
      <w:r>
        <w:rPr>
          <w:rFonts w:ascii="Times New Roman" w:hAnsi="Times New Roman"/>
          <w:color w:val="auto"/>
        </w:rPr>
        <w:t>六必须</w:t>
      </w:r>
      <w:r>
        <w:rPr>
          <w:rFonts w:hint="eastAsia" w:ascii="Times New Roman" w:hAnsi="Times New Roman"/>
          <w:color w:val="auto"/>
        </w:rPr>
        <w:t>”</w:t>
      </w:r>
      <w:r>
        <w:rPr>
          <w:rFonts w:ascii="Times New Roman" w:hAnsi="Times New Roman"/>
          <w:color w:val="auto"/>
        </w:rPr>
        <w:t>（必须围档作业、必须硬化道路、必须设置冲洗设施、必须及时洒水作业、必须落实保洁人员、必须定时清扫施工现场）、</w:t>
      </w:r>
      <w:r>
        <w:rPr>
          <w:rFonts w:hint="eastAsia" w:ascii="Times New Roman" w:hAnsi="Times New Roman"/>
          <w:color w:val="auto"/>
        </w:rPr>
        <w:t>“</w:t>
      </w:r>
      <w:r>
        <w:rPr>
          <w:rFonts w:ascii="Times New Roman" w:hAnsi="Times New Roman"/>
          <w:color w:val="auto"/>
        </w:rPr>
        <w:t>六不准</w:t>
      </w:r>
      <w:r>
        <w:rPr>
          <w:rFonts w:hint="eastAsia" w:ascii="Times New Roman" w:hAnsi="Times New Roman"/>
          <w:color w:val="auto"/>
        </w:rPr>
        <w:t>”</w:t>
      </w:r>
      <w:r>
        <w:rPr>
          <w:rFonts w:ascii="Times New Roman" w:hAnsi="Times New Roman"/>
          <w:color w:val="auto"/>
        </w:rPr>
        <w:t>（不准车辆带泥出门、不准运渣车辆冒顶装载、不准高空抛撒建筑垃圾、不准现场搅拌混凝土、不准场地积水、不准现场焚烧废弃物）。</w:t>
      </w:r>
    </w:p>
    <w:p>
      <w:pPr>
        <w:pStyle w:val="3"/>
        <w:kinsoku w:val="0"/>
        <w:overflowPunct w:val="0"/>
        <w:adjustRightInd w:val="0"/>
        <w:snapToGrid w:val="0"/>
        <w:spacing w:after="0"/>
        <w:ind w:firstLine="480"/>
        <w:rPr>
          <w:rFonts w:ascii="Times New Roman" w:hAnsi="Times New Roman"/>
          <w:color w:val="auto"/>
        </w:rPr>
      </w:pPr>
      <w:r>
        <w:rPr>
          <w:rFonts w:ascii="Times New Roman" w:hAnsi="Times New Roman"/>
          <w:color w:val="auto"/>
        </w:rPr>
        <w:t>2）由于区域农地土壤吸水性能较好，要求在施工前分片区洒水增加土壤湿度，然后在进行挖掘、运输，场内运输车应控制车速，降低扬尘的产生。</w:t>
      </w:r>
    </w:p>
    <w:p>
      <w:pPr>
        <w:pStyle w:val="3"/>
        <w:kinsoku w:val="0"/>
        <w:overflowPunct w:val="0"/>
        <w:spacing w:after="0"/>
        <w:ind w:right="249" w:firstLine="480"/>
        <w:rPr>
          <w:rFonts w:ascii="Times New Roman" w:hAnsi="Times New Roman"/>
          <w:color w:val="auto"/>
        </w:rPr>
      </w:pPr>
      <w:r>
        <w:rPr>
          <w:rFonts w:ascii="Times New Roman" w:hAnsi="Times New Roman"/>
          <w:color w:val="auto"/>
        </w:rPr>
        <w:t>3）要求在车辆进出场口设置冲洗平台，车辆冲洗干净方可出场，运输车辆必须遮蓬，防治运输途中的扬尘。</w:t>
      </w:r>
    </w:p>
    <w:p>
      <w:pPr>
        <w:pStyle w:val="3"/>
        <w:kinsoku w:val="0"/>
        <w:overflowPunct w:val="0"/>
        <w:spacing w:after="0"/>
        <w:ind w:right="249" w:firstLine="480"/>
        <w:rPr>
          <w:rFonts w:ascii="Times New Roman" w:hAnsi="Times New Roman"/>
          <w:color w:val="auto"/>
        </w:rPr>
      </w:pPr>
      <w:r>
        <w:rPr>
          <w:rFonts w:ascii="Times New Roman" w:hAnsi="Times New Roman"/>
          <w:color w:val="auto"/>
        </w:rPr>
        <w:t>4）定期清扫路面，保持路面清洁，控制车速。</w:t>
      </w:r>
    </w:p>
    <w:p>
      <w:pPr>
        <w:pStyle w:val="3"/>
        <w:kinsoku w:val="0"/>
        <w:overflowPunct w:val="0"/>
        <w:spacing w:after="0"/>
        <w:ind w:right="249" w:firstLine="482"/>
        <w:rPr>
          <w:rFonts w:ascii="Times New Roman" w:hAnsi="Times New Roman"/>
          <w:b/>
          <w:color w:val="auto"/>
        </w:rPr>
      </w:pPr>
      <w:r>
        <w:rPr>
          <w:rFonts w:ascii="Times New Roman" w:hAnsi="Times New Roman"/>
          <w:b/>
          <w:color w:val="auto"/>
        </w:rPr>
        <w:t>2、物料装卸扬尘</w:t>
      </w:r>
    </w:p>
    <w:p>
      <w:pPr>
        <w:pStyle w:val="3"/>
        <w:kinsoku w:val="0"/>
        <w:overflowPunct w:val="0"/>
        <w:spacing w:after="0"/>
        <w:ind w:right="249" w:firstLine="480"/>
        <w:rPr>
          <w:rFonts w:ascii="Times New Roman" w:hAnsi="Times New Roman"/>
          <w:color w:val="auto"/>
        </w:rPr>
      </w:pPr>
      <w:r>
        <w:rPr>
          <w:rFonts w:ascii="Times New Roman" w:hAnsi="Times New Roman"/>
          <w:color w:val="auto"/>
        </w:rPr>
        <w:t>装卸扬尘可根据经验计算公式：</w:t>
      </w:r>
    </w:p>
    <w:p>
      <w:pPr>
        <w:pStyle w:val="3"/>
        <w:kinsoku w:val="0"/>
        <w:overflowPunct w:val="0"/>
        <w:spacing w:after="0"/>
        <w:ind w:right="249" w:firstLine="0" w:firstLineChars="0"/>
        <w:jc w:val="center"/>
        <w:rPr>
          <w:rFonts w:ascii="Times New Roman" w:hAnsi="Times New Roman"/>
          <w:color w:val="auto"/>
        </w:rPr>
      </w:pPr>
      <w:r>
        <w:rPr>
          <w:rFonts w:ascii="Times New Roman" w:hAnsi="Times New Roman"/>
          <w:color w:val="auto"/>
        </w:rPr>
        <w:t>Q=M×K</w:t>
      </w:r>
    </w:p>
    <w:p>
      <w:pPr>
        <w:pStyle w:val="3"/>
        <w:kinsoku w:val="0"/>
        <w:overflowPunct w:val="0"/>
        <w:spacing w:after="0"/>
        <w:ind w:right="249" w:firstLine="480"/>
        <w:rPr>
          <w:rFonts w:ascii="Times New Roman" w:hAnsi="Times New Roman"/>
          <w:color w:val="auto"/>
        </w:rPr>
      </w:pPr>
      <w:r>
        <w:rPr>
          <w:rFonts w:ascii="Times New Roman" w:hAnsi="Times New Roman"/>
          <w:color w:val="auto"/>
        </w:rPr>
        <w:t>式中：Q——起尘量，kg/min；</w:t>
      </w:r>
    </w:p>
    <w:p>
      <w:pPr>
        <w:pStyle w:val="3"/>
        <w:kinsoku w:val="0"/>
        <w:overflowPunct w:val="0"/>
        <w:spacing w:after="0"/>
        <w:ind w:right="249" w:firstLine="1200" w:firstLineChars="500"/>
        <w:rPr>
          <w:rFonts w:ascii="Times New Roman" w:hAnsi="Times New Roman"/>
          <w:color w:val="auto"/>
        </w:rPr>
      </w:pPr>
      <w:r>
        <w:rPr>
          <w:rFonts w:ascii="Times New Roman" w:hAnsi="Times New Roman"/>
          <w:color w:val="auto"/>
        </w:rPr>
        <w:t>M——抓运土石方量，kg/min；</w:t>
      </w:r>
    </w:p>
    <w:p>
      <w:pPr>
        <w:pStyle w:val="3"/>
        <w:kinsoku w:val="0"/>
        <w:overflowPunct w:val="0"/>
        <w:spacing w:after="0"/>
        <w:ind w:right="249" w:firstLine="1200" w:firstLineChars="500"/>
        <w:rPr>
          <w:rFonts w:ascii="Times New Roman" w:hAnsi="Times New Roman"/>
          <w:color w:val="auto"/>
        </w:rPr>
      </w:pPr>
      <w:r>
        <w:rPr>
          <w:rFonts w:ascii="Times New Roman" w:hAnsi="Times New Roman"/>
          <w:color w:val="auto"/>
        </w:rPr>
        <w:t>K——起尘经验系数（不考虑防护措施时），0.1～1.0%。</w:t>
      </w:r>
    </w:p>
    <w:p>
      <w:pPr>
        <w:pStyle w:val="3"/>
        <w:kinsoku w:val="0"/>
        <w:overflowPunct w:val="0"/>
        <w:spacing w:after="0"/>
        <w:ind w:right="249" w:firstLine="480"/>
        <w:rPr>
          <w:rFonts w:ascii="Times New Roman" w:hAnsi="Times New Roman"/>
          <w:color w:val="auto"/>
        </w:rPr>
      </w:pPr>
      <w:r>
        <w:rPr>
          <w:rFonts w:ascii="Times New Roman" w:hAnsi="Times New Roman"/>
          <w:color w:val="auto"/>
        </w:rPr>
        <w:t>结合项目区域特点，本次评价的起尘经验系数取0.2%。设定挖土机在5分钟内装完一辆5t运输车，一次抓土量1.5t，则每装载一辆运输车辆的产尘速率约2kg/min、即33.3g/s。</w:t>
      </w:r>
    </w:p>
    <w:p>
      <w:pPr>
        <w:pStyle w:val="3"/>
        <w:overflowPunct w:val="0"/>
        <w:adjustRightInd w:val="0"/>
        <w:snapToGrid w:val="0"/>
        <w:spacing w:after="0"/>
        <w:ind w:firstLine="482"/>
        <w:rPr>
          <w:rFonts w:ascii="Times New Roman" w:hAnsi="Times New Roman"/>
          <w:b/>
          <w:color w:val="auto"/>
        </w:rPr>
      </w:pPr>
      <w:r>
        <w:rPr>
          <w:rFonts w:ascii="Times New Roman" w:hAnsi="Times New Roman"/>
          <w:b/>
          <w:color w:val="auto"/>
        </w:rPr>
        <w:t>防治措施：</w:t>
      </w:r>
    </w:p>
    <w:p>
      <w:pPr>
        <w:pStyle w:val="3"/>
        <w:overflowPunct w:val="0"/>
        <w:adjustRightInd w:val="0"/>
        <w:snapToGrid w:val="0"/>
        <w:spacing w:after="0"/>
        <w:ind w:firstLine="480"/>
        <w:rPr>
          <w:rFonts w:ascii="Times New Roman" w:hAnsi="Times New Roman"/>
          <w:color w:val="auto"/>
        </w:rPr>
      </w:pPr>
      <w:r>
        <w:rPr>
          <w:rFonts w:ascii="Times New Roman" w:hAnsi="Times New Roman"/>
          <w:color w:val="auto"/>
        </w:rPr>
        <w:t>1）加强管理，设置1.8m高施工围挡。</w:t>
      </w:r>
    </w:p>
    <w:p>
      <w:pPr>
        <w:pStyle w:val="3"/>
        <w:overflowPunct w:val="0"/>
        <w:adjustRightInd w:val="0"/>
        <w:snapToGrid w:val="0"/>
        <w:spacing w:after="0"/>
        <w:ind w:firstLine="480"/>
        <w:rPr>
          <w:rFonts w:ascii="Times New Roman" w:hAnsi="Times New Roman"/>
          <w:color w:val="auto"/>
        </w:rPr>
      </w:pPr>
      <w:r>
        <w:rPr>
          <w:rFonts w:ascii="Times New Roman" w:hAnsi="Times New Roman"/>
          <w:color w:val="auto"/>
        </w:rPr>
        <w:t>2）运输沙、石、水泥、垃圾的车辆装载高度应低于车箱上沿，不得超高超载。实行封闭运输，以免车辆颠簸洒漏。坚持文明装卸，运输车辆装卸完货后应清洗车厢。施工车辆及运输车辆在驶出施工区之前，需作清泥除尘处理，不得将泥土尘土带出场。</w:t>
      </w:r>
    </w:p>
    <w:p>
      <w:pPr>
        <w:pStyle w:val="3"/>
        <w:kinsoku w:val="0"/>
        <w:overflowPunct w:val="0"/>
        <w:spacing w:after="0"/>
        <w:ind w:right="249" w:firstLine="482"/>
        <w:rPr>
          <w:rFonts w:ascii="Times New Roman" w:hAnsi="Times New Roman"/>
          <w:b/>
          <w:color w:val="auto"/>
        </w:rPr>
      </w:pPr>
      <w:r>
        <w:rPr>
          <w:rFonts w:ascii="Times New Roman" w:hAnsi="Times New Roman"/>
          <w:b/>
          <w:color w:val="auto"/>
        </w:rPr>
        <w:t>3、堆场扬尘</w:t>
      </w:r>
    </w:p>
    <w:p>
      <w:pPr>
        <w:pStyle w:val="3"/>
        <w:kinsoku w:val="0"/>
        <w:overflowPunct w:val="0"/>
        <w:spacing w:after="0"/>
        <w:ind w:right="249" w:firstLine="480"/>
        <w:rPr>
          <w:rFonts w:ascii="Times New Roman" w:hAnsi="Times New Roman"/>
          <w:color w:val="auto"/>
        </w:rPr>
      </w:pPr>
      <w:r>
        <w:rPr>
          <w:rFonts w:ascii="Times New Roman" w:hAnsi="Times New Roman"/>
          <w:color w:val="auto"/>
        </w:rPr>
        <w:t>施工期扬尘的另一个主要原因是露天堆场和裸露场地的风力扬尘。由于施工的需要，一些建材需露天堆放；一些施工点表层土壤需人工开挖、堆放，在气候干燥又有风的情况下，会产生扬尘，其扬尘可按堆场起尘的经验公式计算：</w:t>
      </w:r>
    </w:p>
    <w:p>
      <w:pPr>
        <w:pStyle w:val="3"/>
        <w:kinsoku w:val="0"/>
        <w:overflowPunct w:val="0"/>
        <w:spacing w:after="0" w:line="240" w:lineRule="auto"/>
        <w:ind w:right="249" w:firstLine="0" w:firstLineChars="0"/>
        <w:jc w:val="center"/>
        <w:rPr>
          <w:rFonts w:ascii="Times New Roman" w:hAnsi="Times New Roman"/>
          <w:color w:val="auto"/>
        </w:rPr>
      </w:pPr>
      <w:r>
        <w:rPr>
          <w:rFonts w:ascii="Times New Roman" w:hAnsi="Times New Roman"/>
          <w:color w:val="auto"/>
          <w:lang/>
        </w:rPr>
        <w:drawing>
          <wp:inline distT="0" distB="0" distL="114300" distR="114300">
            <wp:extent cx="1704975" cy="381000"/>
            <wp:effectExtent l="0" t="0" r="9525" b="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34"/>
                    <a:stretch>
                      <a:fillRect/>
                    </a:stretch>
                  </pic:blipFill>
                  <pic:spPr>
                    <a:xfrm>
                      <a:off x="0" y="0"/>
                      <a:ext cx="1704975" cy="381000"/>
                    </a:xfrm>
                    <a:prstGeom prst="rect">
                      <a:avLst/>
                    </a:prstGeom>
                    <a:noFill/>
                    <a:ln>
                      <a:noFill/>
                    </a:ln>
                  </pic:spPr>
                </pic:pic>
              </a:graphicData>
            </a:graphic>
          </wp:inline>
        </w:drawing>
      </w:r>
    </w:p>
    <w:p>
      <w:pPr>
        <w:pStyle w:val="3"/>
        <w:kinsoku w:val="0"/>
        <w:overflowPunct w:val="0"/>
        <w:spacing w:after="0"/>
        <w:ind w:right="249" w:firstLine="480"/>
        <w:rPr>
          <w:rFonts w:ascii="Times New Roman" w:hAnsi="Times New Roman"/>
          <w:color w:val="auto"/>
        </w:rPr>
      </w:pPr>
      <w:r>
        <w:rPr>
          <w:rFonts w:ascii="Times New Roman" w:hAnsi="Times New Roman"/>
          <w:color w:val="auto"/>
        </w:rPr>
        <w:t>其中：Q——起尘量，kg/吨·年；</w:t>
      </w:r>
    </w:p>
    <w:p>
      <w:pPr>
        <w:pStyle w:val="3"/>
        <w:kinsoku w:val="0"/>
        <w:overflowPunct w:val="0"/>
        <w:spacing w:after="0"/>
        <w:ind w:right="249" w:firstLine="1200" w:firstLineChars="500"/>
        <w:rPr>
          <w:rFonts w:ascii="Times New Roman" w:hAnsi="Times New Roman"/>
          <w:color w:val="auto"/>
        </w:rPr>
      </w:pPr>
      <w:r>
        <w:rPr>
          <w:rFonts w:ascii="Times New Roman" w:hAnsi="Times New Roman"/>
          <w:color w:val="auto"/>
        </w:rPr>
        <w:t>V</w:t>
      </w:r>
      <w:r>
        <w:rPr>
          <w:rFonts w:ascii="Times New Roman" w:hAnsi="Times New Roman"/>
          <w:color w:val="auto"/>
          <w:vertAlign w:val="subscript"/>
        </w:rPr>
        <w:t>50</w:t>
      </w:r>
      <w:r>
        <w:rPr>
          <w:rFonts w:ascii="Times New Roman" w:hAnsi="Times New Roman"/>
          <w:color w:val="auto"/>
        </w:rPr>
        <w:t xml:space="preserve"> ——距地面50m处风速，m/s；</w:t>
      </w:r>
    </w:p>
    <w:p>
      <w:pPr>
        <w:pStyle w:val="3"/>
        <w:kinsoku w:val="0"/>
        <w:overflowPunct w:val="0"/>
        <w:spacing w:after="0"/>
        <w:ind w:right="249" w:firstLine="1200" w:firstLineChars="500"/>
        <w:rPr>
          <w:rFonts w:ascii="Times New Roman" w:hAnsi="Times New Roman"/>
          <w:color w:val="auto"/>
        </w:rPr>
      </w:pPr>
      <w:r>
        <w:rPr>
          <w:rFonts w:ascii="Times New Roman" w:hAnsi="Times New Roman"/>
          <w:color w:val="auto"/>
        </w:rPr>
        <w:t>V</w:t>
      </w:r>
      <w:r>
        <w:rPr>
          <w:rFonts w:ascii="Times New Roman" w:hAnsi="Times New Roman"/>
          <w:color w:val="auto"/>
          <w:vertAlign w:val="subscript"/>
        </w:rPr>
        <w:t>0</w:t>
      </w:r>
      <w:r>
        <w:rPr>
          <w:rFonts w:ascii="Times New Roman" w:hAnsi="Times New Roman"/>
          <w:color w:val="auto"/>
        </w:rPr>
        <w:t xml:space="preserve"> ——起尘风速，m/s；</w:t>
      </w:r>
    </w:p>
    <w:p>
      <w:pPr>
        <w:pStyle w:val="3"/>
        <w:kinsoku w:val="0"/>
        <w:overflowPunct w:val="0"/>
        <w:spacing w:after="0"/>
        <w:ind w:right="249" w:firstLine="1200" w:firstLineChars="500"/>
        <w:rPr>
          <w:rFonts w:ascii="Times New Roman" w:hAnsi="Times New Roman"/>
          <w:color w:val="auto"/>
        </w:rPr>
      </w:pPr>
      <w:r>
        <w:rPr>
          <w:rFonts w:ascii="Times New Roman" w:hAnsi="Times New Roman"/>
          <w:color w:val="auto"/>
        </w:rPr>
        <w:t>W——尘粒的含水率，%。</w:t>
      </w:r>
    </w:p>
    <w:p>
      <w:pPr>
        <w:pStyle w:val="3"/>
        <w:kinsoku w:val="0"/>
        <w:overflowPunct w:val="0"/>
        <w:spacing w:after="0"/>
        <w:ind w:right="249" w:firstLine="480"/>
        <w:rPr>
          <w:rFonts w:ascii="Times New Roman" w:hAnsi="Times New Roman"/>
          <w:color w:val="auto"/>
        </w:rPr>
      </w:pPr>
      <w:r>
        <w:rPr>
          <w:rFonts w:ascii="Times New Roman" w:hAnsi="Times New Roman"/>
          <w:color w:val="auto"/>
        </w:rPr>
        <w:t>V</w:t>
      </w:r>
      <w:r>
        <w:rPr>
          <w:rFonts w:ascii="Times New Roman" w:hAnsi="Times New Roman"/>
          <w:color w:val="auto"/>
          <w:vertAlign w:val="subscript"/>
        </w:rPr>
        <w:t>0</w:t>
      </w:r>
      <w:r>
        <w:rPr>
          <w:rFonts w:ascii="Times New Roman" w:hAnsi="Times New Roman"/>
          <w:color w:val="auto"/>
        </w:rPr>
        <w:t>与粒径和含水率有关，因此，减少露天堆放和保证一定的含水率及减少裸露地面是减少风力起尘的有效手段。</w:t>
      </w:r>
    </w:p>
    <w:p>
      <w:pPr>
        <w:pStyle w:val="3"/>
        <w:kinsoku w:val="0"/>
        <w:overflowPunct w:val="0"/>
        <w:spacing w:after="0"/>
        <w:ind w:right="249" w:firstLine="480"/>
        <w:rPr>
          <w:rFonts w:ascii="Times New Roman" w:hAnsi="Times New Roman"/>
          <w:color w:val="auto"/>
        </w:rPr>
      </w:pPr>
      <w:r>
        <w:rPr>
          <w:rFonts w:ascii="Times New Roman" w:hAnsi="Times New Roman"/>
          <w:color w:val="auto"/>
        </w:rPr>
        <w:t>尘粒在空气中的传播扩散情况与风速等气象条件有关，也与尘粒本身的沉降速度有关。以煤尘为例，不同粒径的尘粒的沉降速度见表3.</w:t>
      </w:r>
      <w:r>
        <w:rPr>
          <w:rFonts w:hint="eastAsia" w:ascii="Times New Roman" w:hAnsi="Times New Roman"/>
          <w:color w:val="auto"/>
          <w:lang w:val="en-US" w:eastAsia="zh-CN"/>
        </w:rPr>
        <w:t>5</w:t>
      </w:r>
      <w:r>
        <w:rPr>
          <w:rFonts w:ascii="Times New Roman" w:hAnsi="Times New Roman"/>
          <w:color w:val="auto"/>
        </w:rPr>
        <w:t>-3。</w:t>
      </w:r>
    </w:p>
    <w:p>
      <w:pPr>
        <w:pStyle w:val="166"/>
        <w:spacing w:before="120" w:beforeLines="0"/>
        <w:rPr>
          <w:color w:val="auto"/>
        </w:rPr>
      </w:pPr>
      <w:r>
        <w:rPr>
          <w:color w:val="auto"/>
        </w:rPr>
        <w:t>表3.</w:t>
      </w:r>
      <w:r>
        <w:rPr>
          <w:rFonts w:hint="eastAsia"/>
          <w:color w:val="auto"/>
          <w:lang w:val="en-US" w:eastAsia="zh-CN"/>
        </w:rPr>
        <w:t>5</w:t>
      </w:r>
      <w:r>
        <w:rPr>
          <w:color w:val="auto"/>
        </w:rPr>
        <w:t>-3</w:t>
      </w:r>
      <w:r>
        <w:rPr>
          <w:rFonts w:hint="eastAsia"/>
          <w:color w:val="auto"/>
          <w:lang w:val="en-US" w:eastAsia="zh-CN"/>
        </w:rPr>
        <w:t xml:space="preserve"> </w:t>
      </w:r>
      <w:r>
        <w:rPr>
          <w:color w:val="auto"/>
        </w:rPr>
        <w:t>不同粒径尘粒的沉降速度</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895"/>
        <w:gridCol w:w="985"/>
        <w:gridCol w:w="985"/>
        <w:gridCol w:w="985"/>
        <w:gridCol w:w="985"/>
        <w:gridCol w:w="984"/>
        <w:gridCol w:w="984"/>
        <w:gridCol w:w="984"/>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19"/>
              <w:jc w:val="center"/>
              <w:rPr>
                <w:color w:val="auto"/>
                <w:sz w:val="20"/>
                <w:szCs w:val="20"/>
              </w:rPr>
            </w:pPr>
            <w:r>
              <w:rPr>
                <w:color w:val="auto"/>
                <w:sz w:val="20"/>
                <w:szCs w:val="20"/>
              </w:rPr>
              <w:t>粒径，μm</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10</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20</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30</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40</w:t>
            </w:r>
          </w:p>
        </w:tc>
        <w:tc>
          <w:tcPr>
            <w:tcW w:w="984" w:type="dxa"/>
            <w:noWrap w:val="0"/>
            <w:vAlign w:val="center"/>
          </w:tcPr>
          <w:p>
            <w:pPr>
              <w:pStyle w:val="332"/>
              <w:kinsoku w:val="0"/>
              <w:overflowPunct w:val="0"/>
              <w:spacing w:before="68"/>
              <w:jc w:val="center"/>
              <w:rPr>
                <w:color w:val="auto"/>
                <w:sz w:val="20"/>
                <w:szCs w:val="20"/>
              </w:rPr>
            </w:pPr>
            <w:r>
              <w:rPr>
                <w:color w:val="auto"/>
                <w:sz w:val="20"/>
                <w:szCs w:val="20"/>
              </w:rPr>
              <w:t>50</w:t>
            </w:r>
          </w:p>
        </w:tc>
        <w:tc>
          <w:tcPr>
            <w:tcW w:w="984" w:type="dxa"/>
            <w:noWrap w:val="0"/>
            <w:vAlign w:val="center"/>
          </w:tcPr>
          <w:p>
            <w:pPr>
              <w:pStyle w:val="332"/>
              <w:kinsoku w:val="0"/>
              <w:overflowPunct w:val="0"/>
              <w:spacing w:before="68"/>
              <w:jc w:val="center"/>
              <w:rPr>
                <w:color w:val="auto"/>
                <w:sz w:val="20"/>
                <w:szCs w:val="20"/>
              </w:rPr>
            </w:pPr>
            <w:r>
              <w:rPr>
                <w:color w:val="auto"/>
                <w:sz w:val="20"/>
                <w:szCs w:val="20"/>
              </w:rPr>
              <w:t>60</w:t>
            </w:r>
          </w:p>
        </w:tc>
        <w:tc>
          <w:tcPr>
            <w:tcW w:w="984" w:type="dxa"/>
            <w:noWrap w:val="0"/>
            <w:vAlign w:val="center"/>
          </w:tcPr>
          <w:p>
            <w:pPr>
              <w:pStyle w:val="332"/>
              <w:kinsoku w:val="0"/>
              <w:overflowPunct w:val="0"/>
              <w:spacing w:before="68"/>
              <w:ind w:right="5"/>
              <w:jc w:val="center"/>
              <w:rPr>
                <w:color w:val="auto"/>
                <w:sz w:val="20"/>
                <w:szCs w:val="20"/>
              </w:rPr>
            </w:pPr>
            <w:r>
              <w:rPr>
                <w:color w:val="auto"/>
                <w:sz w:val="20"/>
                <w:szCs w:val="20"/>
              </w:rPr>
              <w:t>70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20"/>
              <w:jc w:val="center"/>
              <w:rPr>
                <w:color w:val="auto"/>
                <w:sz w:val="20"/>
                <w:szCs w:val="20"/>
              </w:rPr>
            </w:pPr>
            <w:r>
              <w:rPr>
                <w:color w:val="auto"/>
                <w:sz w:val="20"/>
                <w:szCs w:val="20"/>
              </w:rPr>
              <w:t>沉降速度，m/s</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0.003</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0.012</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0.027</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0.048</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0.075</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0.108</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0.147</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18"/>
              <w:jc w:val="center"/>
              <w:rPr>
                <w:color w:val="auto"/>
                <w:sz w:val="20"/>
                <w:szCs w:val="20"/>
              </w:rPr>
            </w:pPr>
            <w:r>
              <w:rPr>
                <w:color w:val="auto"/>
                <w:sz w:val="20"/>
                <w:szCs w:val="20"/>
              </w:rPr>
              <w:t>粒径，μm</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80</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90</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100</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150</w:t>
            </w:r>
          </w:p>
        </w:tc>
        <w:tc>
          <w:tcPr>
            <w:tcW w:w="984" w:type="dxa"/>
            <w:noWrap w:val="0"/>
            <w:vAlign w:val="center"/>
          </w:tcPr>
          <w:p>
            <w:pPr>
              <w:pStyle w:val="332"/>
              <w:kinsoku w:val="0"/>
              <w:overflowPunct w:val="0"/>
              <w:spacing w:before="67"/>
              <w:jc w:val="center"/>
              <w:rPr>
                <w:color w:val="auto"/>
                <w:sz w:val="20"/>
                <w:szCs w:val="20"/>
              </w:rPr>
            </w:pPr>
            <w:r>
              <w:rPr>
                <w:color w:val="auto"/>
                <w:sz w:val="20"/>
                <w:szCs w:val="20"/>
              </w:rPr>
              <w:t>200</w:t>
            </w:r>
          </w:p>
        </w:tc>
        <w:tc>
          <w:tcPr>
            <w:tcW w:w="984" w:type="dxa"/>
            <w:noWrap w:val="0"/>
            <w:vAlign w:val="center"/>
          </w:tcPr>
          <w:p>
            <w:pPr>
              <w:pStyle w:val="332"/>
              <w:kinsoku w:val="0"/>
              <w:overflowPunct w:val="0"/>
              <w:spacing w:before="67"/>
              <w:jc w:val="center"/>
              <w:rPr>
                <w:color w:val="auto"/>
                <w:sz w:val="20"/>
                <w:szCs w:val="20"/>
              </w:rPr>
            </w:pPr>
            <w:r>
              <w:rPr>
                <w:color w:val="auto"/>
                <w:sz w:val="20"/>
                <w:szCs w:val="20"/>
              </w:rPr>
              <w:t>250</w:t>
            </w:r>
          </w:p>
        </w:tc>
        <w:tc>
          <w:tcPr>
            <w:tcW w:w="984" w:type="dxa"/>
            <w:noWrap w:val="0"/>
            <w:vAlign w:val="center"/>
          </w:tcPr>
          <w:p>
            <w:pPr>
              <w:pStyle w:val="332"/>
              <w:kinsoku w:val="0"/>
              <w:overflowPunct w:val="0"/>
              <w:spacing w:before="67"/>
              <w:ind w:right="5"/>
              <w:jc w:val="center"/>
              <w:rPr>
                <w:color w:val="auto"/>
                <w:sz w:val="20"/>
                <w:szCs w:val="20"/>
              </w:rPr>
            </w:pPr>
            <w:r>
              <w:rPr>
                <w:color w:val="auto"/>
                <w:sz w:val="20"/>
                <w:szCs w:val="20"/>
              </w:rPr>
              <w:t>350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19"/>
              <w:jc w:val="center"/>
              <w:rPr>
                <w:color w:val="auto"/>
                <w:sz w:val="20"/>
                <w:szCs w:val="20"/>
              </w:rPr>
            </w:pPr>
            <w:r>
              <w:rPr>
                <w:color w:val="auto"/>
                <w:sz w:val="20"/>
                <w:szCs w:val="20"/>
              </w:rPr>
              <w:t>沉降速度，m/s</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0.165</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0.170</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0.00251</w:t>
            </w:r>
          </w:p>
        </w:tc>
        <w:tc>
          <w:tcPr>
            <w:tcW w:w="985" w:type="dxa"/>
            <w:noWrap w:val="0"/>
            <w:vAlign w:val="center"/>
          </w:tcPr>
          <w:p>
            <w:pPr>
              <w:pStyle w:val="332"/>
              <w:kinsoku w:val="0"/>
              <w:overflowPunct w:val="0"/>
              <w:spacing w:before="68"/>
              <w:jc w:val="center"/>
              <w:rPr>
                <w:color w:val="auto"/>
                <w:sz w:val="20"/>
                <w:szCs w:val="20"/>
              </w:rPr>
            </w:pPr>
            <w:r>
              <w:rPr>
                <w:color w:val="auto"/>
                <w:sz w:val="20"/>
                <w:szCs w:val="20"/>
              </w:rPr>
              <w:t>0.239</w:t>
            </w:r>
          </w:p>
        </w:tc>
        <w:tc>
          <w:tcPr>
            <w:tcW w:w="984" w:type="dxa"/>
            <w:noWrap w:val="0"/>
            <w:vAlign w:val="center"/>
          </w:tcPr>
          <w:p>
            <w:pPr>
              <w:pStyle w:val="332"/>
              <w:kinsoku w:val="0"/>
              <w:overflowPunct w:val="0"/>
              <w:spacing w:before="68"/>
              <w:jc w:val="center"/>
              <w:rPr>
                <w:color w:val="auto"/>
                <w:sz w:val="20"/>
                <w:szCs w:val="20"/>
              </w:rPr>
            </w:pPr>
            <w:r>
              <w:rPr>
                <w:color w:val="auto"/>
                <w:sz w:val="20"/>
                <w:szCs w:val="20"/>
              </w:rPr>
              <w:t>0.804</w:t>
            </w:r>
          </w:p>
        </w:tc>
        <w:tc>
          <w:tcPr>
            <w:tcW w:w="984" w:type="dxa"/>
            <w:noWrap w:val="0"/>
            <w:vAlign w:val="center"/>
          </w:tcPr>
          <w:p>
            <w:pPr>
              <w:pStyle w:val="332"/>
              <w:kinsoku w:val="0"/>
              <w:overflowPunct w:val="0"/>
              <w:spacing w:before="68"/>
              <w:jc w:val="center"/>
              <w:rPr>
                <w:color w:val="auto"/>
                <w:sz w:val="20"/>
                <w:szCs w:val="20"/>
              </w:rPr>
            </w:pPr>
            <w:r>
              <w:rPr>
                <w:color w:val="auto"/>
                <w:sz w:val="20"/>
                <w:szCs w:val="20"/>
              </w:rPr>
              <w:t>1.005</w:t>
            </w:r>
          </w:p>
        </w:tc>
        <w:tc>
          <w:tcPr>
            <w:tcW w:w="984" w:type="dxa"/>
            <w:noWrap w:val="0"/>
            <w:vAlign w:val="center"/>
          </w:tcPr>
          <w:p>
            <w:pPr>
              <w:pStyle w:val="332"/>
              <w:kinsoku w:val="0"/>
              <w:overflowPunct w:val="0"/>
              <w:spacing w:before="68"/>
              <w:jc w:val="center"/>
              <w:rPr>
                <w:color w:val="auto"/>
                <w:sz w:val="20"/>
                <w:szCs w:val="20"/>
              </w:rPr>
            </w:pPr>
            <w:r>
              <w:rPr>
                <w:color w:val="auto"/>
                <w:sz w:val="20"/>
                <w:szCs w:val="20"/>
              </w:rPr>
              <w:t>1.829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20"/>
              <w:jc w:val="center"/>
              <w:rPr>
                <w:color w:val="auto"/>
                <w:sz w:val="20"/>
                <w:szCs w:val="20"/>
              </w:rPr>
            </w:pPr>
            <w:r>
              <w:rPr>
                <w:color w:val="auto"/>
                <w:sz w:val="20"/>
                <w:szCs w:val="20"/>
              </w:rPr>
              <w:t>粒径，μm</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450</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550</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650</w:t>
            </w:r>
          </w:p>
        </w:tc>
        <w:tc>
          <w:tcPr>
            <w:tcW w:w="985" w:type="dxa"/>
            <w:noWrap w:val="0"/>
            <w:vAlign w:val="center"/>
          </w:tcPr>
          <w:p>
            <w:pPr>
              <w:pStyle w:val="332"/>
              <w:kinsoku w:val="0"/>
              <w:overflowPunct w:val="0"/>
              <w:spacing w:before="69"/>
              <w:jc w:val="center"/>
              <w:rPr>
                <w:color w:val="auto"/>
                <w:sz w:val="20"/>
                <w:szCs w:val="20"/>
              </w:rPr>
            </w:pPr>
            <w:r>
              <w:rPr>
                <w:color w:val="auto"/>
                <w:sz w:val="20"/>
                <w:szCs w:val="20"/>
              </w:rPr>
              <w:t>750</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850</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950</w:t>
            </w:r>
          </w:p>
        </w:tc>
        <w:tc>
          <w:tcPr>
            <w:tcW w:w="984" w:type="dxa"/>
            <w:noWrap w:val="0"/>
            <w:vAlign w:val="center"/>
          </w:tcPr>
          <w:p>
            <w:pPr>
              <w:pStyle w:val="332"/>
              <w:kinsoku w:val="0"/>
              <w:overflowPunct w:val="0"/>
              <w:spacing w:before="69"/>
              <w:jc w:val="center"/>
              <w:rPr>
                <w:color w:val="auto"/>
                <w:sz w:val="20"/>
                <w:szCs w:val="20"/>
              </w:rPr>
            </w:pPr>
            <w:r>
              <w:rPr>
                <w:color w:val="auto"/>
                <w:sz w:val="20"/>
                <w:szCs w:val="20"/>
              </w:rPr>
              <w:t>1050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exact"/>
        </w:trPr>
        <w:tc>
          <w:tcPr>
            <w:tcW w:w="1895" w:type="dxa"/>
            <w:noWrap w:val="0"/>
            <w:vAlign w:val="center"/>
          </w:tcPr>
          <w:p>
            <w:pPr>
              <w:pStyle w:val="332"/>
              <w:kinsoku w:val="0"/>
              <w:overflowPunct w:val="0"/>
              <w:spacing w:before="18"/>
              <w:jc w:val="center"/>
              <w:rPr>
                <w:color w:val="auto"/>
                <w:sz w:val="20"/>
                <w:szCs w:val="20"/>
              </w:rPr>
            </w:pPr>
            <w:r>
              <w:rPr>
                <w:color w:val="auto"/>
                <w:sz w:val="20"/>
                <w:szCs w:val="20"/>
              </w:rPr>
              <w:t>沉降速度，m/s</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2.211</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2.614</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3.016</w:t>
            </w:r>
          </w:p>
        </w:tc>
        <w:tc>
          <w:tcPr>
            <w:tcW w:w="985" w:type="dxa"/>
            <w:noWrap w:val="0"/>
            <w:vAlign w:val="center"/>
          </w:tcPr>
          <w:p>
            <w:pPr>
              <w:pStyle w:val="332"/>
              <w:kinsoku w:val="0"/>
              <w:overflowPunct w:val="0"/>
              <w:spacing w:before="67"/>
              <w:jc w:val="center"/>
              <w:rPr>
                <w:color w:val="auto"/>
                <w:sz w:val="20"/>
                <w:szCs w:val="20"/>
              </w:rPr>
            </w:pPr>
            <w:r>
              <w:rPr>
                <w:color w:val="auto"/>
                <w:sz w:val="20"/>
                <w:szCs w:val="20"/>
              </w:rPr>
              <w:t>3.418</w:t>
            </w:r>
          </w:p>
        </w:tc>
        <w:tc>
          <w:tcPr>
            <w:tcW w:w="984" w:type="dxa"/>
            <w:noWrap w:val="0"/>
            <w:vAlign w:val="center"/>
          </w:tcPr>
          <w:p>
            <w:pPr>
              <w:pStyle w:val="332"/>
              <w:kinsoku w:val="0"/>
              <w:overflowPunct w:val="0"/>
              <w:spacing w:before="67"/>
              <w:jc w:val="center"/>
              <w:rPr>
                <w:color w:val="auto"/>
                <w:sz w:val="20"/>
                <w:szCs w:val="20"/>
              </w:rPr>
            </w:pPr>
            <w:r>
              <w:rPr>
                <w:color w:val="auto"/>
                <w:sz w:val="20"/>
                <w:szCs w:val="20"/>
              </w:rPr>
              <w:t>3.820</w:t>
            </w:r>
          </w:p>
        </w:tc>
        <w:tc>
          <w:tcPr>
            <w:tcW w:w="984" w:type="dxa"/>
            <w:noWrap w:val="0"/>
            <w:vAlign w:val="center"/>
          </w:tcPr>
          <w:p>
            <w:pPr>
              <w:pStyle w:val="332"/>
              <w:kinsoku w:val="0"/>
              <w:overflowPunct w:val="0"/>
              <w:spacing w:before="67"/>
              <w:jc w:val="center"/>
              <w:rPr>
                <w:color w:val="auto"/>
                <w:sz w:val="20"/>
                <w:szCs w:val="20"/>
              </w:rPr>
            </w:pPr>
            <w:r>
              <w:rPr>
                <w:color w:val="auto"/>
                <w:sz w:val="20"/>
                <w:szCs w:val="20"/>
              </w:rPr>
              <w:t>4.222</w:t>
            </w:r>
          </w:p>
        </w:tc>
        <w:tc>
          <w:tcPr>
            <w:tcW w:w="984" w:type="dxa"/>
            <w:noWrap w:val="0"/>
            <w:vAlign w:val="center"/>
          </w:tcPr>
          <w:p>
            <w:pPr>
              <w:pStyle w:val="332"/>
              <w:kinsoku w:val="0"/>
              <w:overflowPunct w:val="0"/>
              <w:spacing w:before="67"/>
              <w:jc w:val="center"/>
              <w:rPr>
                <w:color w:val="auto"/>
                <w:sz w:val="20"/>
                <w:szCs w:val="20"/>
              </w:rPr>
            </w:pPr>
            <w:r>
              <w:rPr>
                <w:color w:val="auto"/>
                <w:sz w:val="20"/>
                <w:szCs w:val="20"/>
              </w:rPr>
              <w:t>4.624</w:t>
            </w:r>
          </w:p>
        </w:tc>
      </w:tr>
    </w:tbl>
    <w:p>
      <w:pPr>
        <w:pStyle w:val="3"/>
        <w:overflowPunct w:val="0"/>
        <w:spacing w:before="120" w:beforeLines="50" w:after="0"/>
        <w:ind w:firstLine="480"/>
        <w:rPr>
          <w:rFonts w:ascii="Times New Roman" w:hAnsi="Times New Roman"/>
          <w:color w:val="auto"/>
        </w:rPr>
      </w:pPr>
      <w:r>
        <w:rPr>
          <w:rFonts w:ascii="Times New Roman" w:hAnsi="Times New Roman"/>
          <w:color w:val="auto"/>
        </w:rPr>
        <w:t>由表3.</w:t>
      </w:r>
      <w:r>
        <w:rPr>
          <w:rFonts w:hint="eastAsia" w:ascii="Times New Roman" w:hAnsi="Times New Roman"/>
          <w:color w:val="auto"/>
          <w:lang w:val="en-US" w:eastAsia="zh-CN"/>
        </w:rPr>
        <w:t>5</w:t>
      </w:r>
      <w:r>
        <w:rPr>
          <w:rFonts w:ascii="Times New Roman" w:hAnsi="Times New Roman"/>
          <w:color w:val="auto"/>
        </w:rPr>
        <w:t>-3可知，尘粒的沉降速度随粒径的增大而迅速增大。当粒径为250μm时，沉降速度为1.005m/s，因此可以认为当尘粒大于250μm时，主要影响范围在扬尘点下风向近距离范围内，而真正对外环境产生影响的是一些微小尘粒。</w:t>
      </w:r>
    </w:p>
    <w:p>
      <w:pPr>
        <w:pStyle w:val="3"/>
        <w:kinsoku w:val="0"/>
        <w:overflowPunct w:val="0"/>
        <w:spacing w:after="0"/>
        <w:ind w:right="249" w:firstLine="482"/>
        <w:rPr>
          <w:rFonts w:ascii="Times New Roman" w:hAnsi="Times New Roman"/>
          <w:color w:val="auto"/>
        </w:rPr>
      </w:pPr>
      <w:r>
        <w:rPr>
          <w:rFonts w:ascii="Times New Roman" w:hAnsi="Times New Roman"/>
          <w:b/>
          <w:color w:val="auto"/>
        </w:rPr>
        <w:t>防治措施：</w:t>
      </w:r>
      <w:r>
        <w:rPr>
          <w:rFonts w:ascii="Times New Roman" w:hAnsi="Times New Roman"/>
          <w:color w:val="auto"/>
        </w:rPr>
        <w:t>场内建筑主要为砖混结构及砖砌墙结构，路面为水泥路面铺设。混凝土为商品混凝土，场内仅采用小型搅拌器，搅拌水泥、砂石等，用于砖砌墙的的粘合剂。因此，场内的水泥、砂石等必须进行防风处理，减少扬尘。建议：</w:t>
      </w:r>
      <w:r>
        <w:rPr>
          <w:rFonts w:hint="eastAsia" w:ascii="宋体" w:hAnsi="宋体" w:cs="宋体"/>
          <w:color w:val="auto"/>
        </w:rPr>
        <w:t>①</w:t>
      </w:r>
      <w:r>
        <w:rPr>
          <w:rFonts w:ascii="Times New Roman" w:hAnsi="Times New Roman"/>
          <w:color w:val="auto"/>
        </w:rPr>
        <w:t>对水泥及其它易飞扬的细颗粒散体材料，储存在库房内或密闭存放；</w:t>
      </w:r>
      <w:r>
        <w:rPr>
          <w:rFonts w:hint="eastAsia" w:ascii="宋体" w:hAnsi="宋体" w:cs="宋体"/>
          <w:color w:val="auto"/>
        </w:rPr>
        <w:t>②</w:t>
      </w:r>
      <w:r>
        <w:rPr>
          <w:rFonts w:ascii="Times New Roman" w:hAnsi="Times New Roman"/>
          <w:color w:val="auto"/>
        </w:rPr>
        <w:t>施工临时弃土进行覆盖处理，采用防风网。</w:t>
      </w:r>
    </w:p>
    <w:p>
      <w:pPr>
        <w:pStyle w:val="3"/>
        <w:kinsoku w:val="0"/>
        <w:overflowPunct w:val="0"/>
        <w:spacing w:after="0"/>
        <w:ind w:right="249" w:firstLine="482"/>
        <w:rPr>
          <w:rFonts w:ascii="Times New Roman" w:hAnsi="Times New Roman"/>
          <w:b/>
          <w:color w:val="auto"/>
        </w:rPr>
      </w:pPr>
      <w:r>
        <w:rPr>
          <w:rFonts w:ascii="Times New Roman" w:hAnsi="Times New Roman"/>
          <w:b/>
          <w:color w:val="auto"/>
        </w:rPr>
        <w:t>4、施工机械废气</w:t>
      </w:r>
    </w:p>
    <w:p>
      <w:pPr>
        <w:pStyle w:val="3"/>
        <w:kinsoku w:val="0"/>
        <w:overflowPunct w:val="0"/>
        <w:spacing w:after="0"/>
        <w:ind w:right="249" w:firstLine="480"/>
        <w:rPr>
          <w:rFonts w:ascii="Times New Roman" w:hAnsi="Times New Roman"/>
          <w:color w:val="auto"/>
        </w:rPr>
      </w:pPr>
      <w:r>
        <w:rPr>
          <w:rFonts w:ascii="Times New Roman" w:hAnsi="Times New Roman"/>
          <w:color w:val="auto"/>
        </w:rPr>
        <w:t>各种施工设备、运输车辆在燃油时会产生TSP、CO、SO</w:t>
      </w:r>
      <w:r>
        <w:rPr>
          <w:rFonts w:ascii="Times New Roman" w:hAnsi="Times New Roman"/>
          <w:color w:val="auto"/>
          <w:vertAlign w:val="subscript"/>
        </w:rPr>
        <w:t>2</w:t>
      </w:r>
      <w:r>
        <w:rPr>
          <w:rFonts w:ascii="Times New Roman" w:hAnsi="Times New Roman"/>
          <w:color w:val="auto"/>
        </w:rPr>
        <w:t>、NOx、CnHm等大气污染物，但这些污染物排放量很少，且为间断排放，尾气中所含的有害物质主要有CO、NOx等，对施工人员产生一定的影响。因此施工单位必须使用污染物排放符合国家标准的运输 车辆，加强车辆的保养，使车辆处于良好的工作状态，严禁使用报废车辆，以减少施工对周围环境的影响。</w:t>
      </w:r>
    </w:p>
    <w:p>
      <w:pPr>
        <w:pStyle w:val="3"/>
        <w:kinsoku w:val="0"/>
        <w:overflowPunct w:val="0"/>
        <w:spacing w:after="0"/>
        <w:ind w:right="249" w:firstLine="482"/>
        <w:rPr>
          <w:rFonts w:ascii="Times New Roman" w:hAnsi="Times New Roman"/>
          <w:color w:val="auto"/>
        </w:rPr>
      </w:pPr>
      <w:r>
        <w:rPr>
          <w:rFonts w:ascii="Times New Roman" w:hAnsi="Times New Roman"/>
          <w:b/>
          <w:color w:val="auto"/>
        </w:rPr>
        <w:t>防治措施：</w:t>
      </w:r>
      <w:r>
        <w:rPr>
          <w:rFonts w:ascii="Times New Roman" w:hAnsi="Times New Roman"/>
          <w:color w:val="auto"/>
        </w:rPr>
        <w:t>运输车辆、挖掘机等设备产生的尾气特点是排放量小，属间断性排放，加之施工场地开阔，扩散条件良好。要求加强机械车辆维护和管理，确保施工机械正常运行， 建议采用优质燃料。</w:t>
      </w:r>
    </w:p>
    <w:p>
      <w:pPr>
        <w:pStyle w:val="4"/>
        <w:numPr>
          <w:ilvl w:val="0"/>
          <w:numId w:val="0"/>
        </w:numPr>
        <w:ind w:firstLine="482" w:firstLineChars="200"/>
        <w:rPr>
          <w:rFonts w:hint="eastAsia" w:ascii="Times New Roman" w:hAnsi="Times New Roman"/>
          <w:b/>
          <w:bCs/>
          <w:color w:val="auto"/>
          <w:lang w:val="en-US" w:eastAsia="zh-CN"/>
        </w:rPr>
      </w:pPr>
      <w:r>
        <w:rPr>
          <w:rFonts w:hint="eastAsia" w:ascii="Times New Roman" w:hAnsi="Times New Roman"/>
          <w:b/>
          <w:bCs/>
          <w:color w:val="auto"/>
          <w:lang w:val="en-US" w:eastAsia="zh-CN"/>
        </w:rPr>
        <w:t>5.装修废气</w:t>
      </w:r>
    </w:p>
    <w:p>
      <w:pPr>
        <w:pStyle w:val="4"/>
        <w:numPr>
          <w:ilvl w:val="0"/>
          <w:numId w:val="0"/>
        </w:numPr>
        <w:ind w:firstLine="480" w:firstLineChars="200"/>
        <w:rPr>
          <w:rFonts w:ascii="Times New Roman" w:hAnsi="Times New Roman"/>
          <w:color w:val="auto"/>
        </w:rPr>
      </w:pPr>
      <w:r>
        <w:rPr>
          <w:rFonts w:hint="default" w:ascii="Times New Roman" w:hAnsi="Times New Roman"/>
          <w:color w:val="auto"/>
          <w:lang w:val="en-US" w:eastAsia="zh-CN"/>
        </w:rPr>
        <w:t>装修废气主要来自于房屋装修阶段使用的涂料等产生的挥发性有机废气，其主要污染因子为二甲苯和甲苯，此外还有极少量的汽油、丁醇和丙醇等。项目装修期较短，且作业点分散，但由于废气排放过程持续时间较长，属无组织排放。因此，在装修期间，应加强室内的通风换气，使装修废气能够快速扩散。由于装修时采用的三合板和油漆等原料中含有的甲醛、甲苯、二甲苯等影响环境质量的有毒有害物质挥发时间长，所以投运初期也要注意室内空气的流畅。本环评要求：项目建设单位装修期间涂料及装修材料的选取应按照国家质检总局颁布的《室内装修材料 项有害物质限量》规定进行，使用污染相对较小的环保型涂料和装修材料，以减少材料中有害物质的散发量，严格控制室内甲醛、苯系物等挥发性有机物及放射性元素等，使各项污染指标均能达到《室内空气质量卫生规范》及《室内环境空气质量标准》中相关限值要求，减小对周边大气环境的影响。</w:t>
      </w:r>
    </w:p>
    <w:p>
      <w:pPr>
        <w:pStyle w:val="9"/>
        <w:numPr>
          <w:ilvl w:val="0"/>
          <w:numId w:val="0"/>
        </w:numPr>
        <w:ind w:leftChars="0"/>
        <w:rPr>
          <w:color w:val="auto"/>
        </w:rPr>
      </w:pPr>
      <w:r>
        <w:rPr>
          <w:rFonts w:hint="eastAsia"/>
          <w:color w:val="auto"/>
          <w:lang w:val="en-US" w:eastAsia="zh-CN"/>
        </w:rPr>
        <w:t>3.5.3.3</w:t>
      </w:r>
      <w:r>
        <w:rPr>
          <w:color w:val="auto"/>
        </w:rPr>
        <w:t>施工期噪声的产生及治理</w:t>
      </w:r>
    </w:p>
    <w:p>
      <w:pPr>
        <w:ind w:firstLine="480"/>
        <w:rPr>
          <w:color w:val="auto"/>
        </w:rPr>
      </w:pPr>
      <w:r>
        <w:rPr>
          <w:color w:val="auto"/>
        </w:rPr>
        <w:t>本项目施工期噪声源主要包括施工场地的各类机械设备和施工材料运输的交通噪声。《环境噪声与振动控制工程技术导则》附录中给出的常见施工机械设备噪声源情况见表3.</w:t>
      </w:r>
      <w:r>
        <w:rPr>
          <w:rFonts w:hint="eastAsia"/>
          <w:color w:val="auto"/>
          <w:lang w:val="en-US" w:eastAsia="zh-CN"/>
        </w:rPr>
        <w:t>5</w:t>
      </w:r>
      <w:r>
        <w:rPr>
          <w:color w:val="auto"/>
        </w:rPr>
        <w:t>-4。</w:t>
      </w:r>
    </w:p>
    <w:p>
      <w:pPr>
        <w:pStyle w:val="166"/>
        <w:spacing w:before="120" w:beforeLines="0"/>
        <w:rPr>
          <w:b w:val="0"/>
          <w:bCs/>
          <w:color w:val="auto"/>
          <w:sz w:val="12"/>
          <w:szCs w:val="12"/>
        </w:rPr>
      </w:pPr>
      <w:r>
        <w:rPr>
          <w:color w:val="auto"/>
        </w:rPr>
        <w:t>表3.</w:t>
      </w:r>
      <w:r>
        <w:rPr>
          <w:rFonts w:hint="eastAsia"/>
          <w:color w:val="auto"/>
          <w:lang w:val="en-US" w:eastAsia="zh-CN"/>
        </w:rPr>
        <w:t>5</w:t>
      </w:r>
      <w:r>
        <w:rPr>
          <w:color w:val="auto"/>
        </w:rPr>
        <w:t>-4</w:t>
      </w:r>
      <w:r>
        <w:rPr>
          <w:rFonts w:hint="eastAsia"/>
          <w:color w:val="auto"/>
          <w:lang w:val="en-US" w:eastAsia="zh-CN"/>
        </w:rPr>
        <w:t xml:space="preserve"> </w:t>
      </w:r>
      <w:r>
        <w:rPr>
          <w:color w:val="auto"/>
        </w:rPr>
        <w:t>施工机械设备噪声源强    单位：dB(A)</w:t>
      </w:r>
    </w:p>
    <w:tbl>
      <w:tblPr>
        <w:tblStyle w:val="51"/>
        <w:tblW w:w="0" w:type="auto"/>
        <w:jc w:val="center"/>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15"/>
        <w:gridCol w:w="2090"/>
        <w:gridCol w:w="2691"/>
        <w:gridCol w:w="2691"/>
      </w:tblGrid>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blHeader/>
          <w:jc w:val="center"/>
        </w:trPr>
        <w:tc>
          <w:tcPr>
            <w:tcW w:w="1315" w:type="dxa"/>
            <w:noWrap w:val="0"/>
            <w:vAlign w:val="center"/>
          </w:tcPr>
          <w:p>
            <w:pPr>
              <w:pStyle w:val="332"/>
              <w:kinsoku w:val="0"/>
              <w:overflowPunct w:val="0"/>
              <w:ind w:left="8"/>
              <w:jc w:val="center"/>
              <w:rPr>
                <w:color w:val="auto"/>
                <w:sz w:val="20"/>
                <w:szCs w:val="20"/>
              </w:rPr>
            </w:pPr>
            <w:r>
              <w:rPr>
                <w:b/>
                <w:bCs/>
                <w:color w:val="auto"/>
                <w:sz w:val="20"/>
                <w:szCs w:val="20"/>
              </w:rPr>
              <w:t>序号</w:t>
            </w:r>
          </w:p>
        </w:tc>
        <w:tc>
          <w:tcPr>
            <w:tcW w:w="2090" w:type="dxa"/>
            <w:noWrap w:val="0"/>
            <w:vAlign w:val="center"/>
          </w:tcPr>
          <w:p>
            <w:pPr>
              <w:pStyle w:val="332"/>
              <w:kinsoku w:val="0"/>
              <w:overflowPunct w:val="0"/>
              <w:jc w:val="center"/>
              <w:rPr>
                <w:color w:val="auto"/>
                <w:sz w:val="20"/>
                <w:szCs w:val="20"/>
              </w:rPr>
            </w:pPr>
            <w:r>
              <w:rPr>
                <w:b/>
                <w:bCs/>
                <w:color w:val="auto"/>
                <w:sz w:val="20"/>
                <w:szCs w:val="20"/>
              </w:rPr>
              <w:t>设备名称</w:t>
            </w:r>
          </w:p>
        </w:tc>
        <w:tc>
          <w:tcPr>
            <w:tcW w:w="2691" w:type="dxa"/>
            <w:noWrap w:val="0"/>
            <w:vAlign w:val="center"/>
          </w:tcPr>
          <w:p>
            <w:pPr>
              <w:pStyle w:val="332"/>
              <w:kinsoku w:val="0"/>
              <w:overflowPunct w:val="0"/>
              <w:jc w:val="center"/>
              <w:rPr>
                <w:color w:val="auto"/>
                <w:sz w:val="20"/>
                <w:szCs w:val="20"/>
              </w:rPr>
            </w:pPr>
            <w:r>
              <w:rPr>
                <w:b/>
                <w:bCs/>
                <w:color w:val="auto"/>
                <w:sz w:val="20"/>
                <w:szCs w:val="20"/>
              </w:rPr>
              <w:t>距离声源</w:t>
            </w:r>
            <w:r>
              <w:rPr>
                <w:b/>
                <w:bCs/>
                <w:color w:val="auto"/>
                <w:spacing w:val="-56"/>
                <w:sz w:val="20"/>
                <w:szCs w:val="20"/>
              </w:rPr>
              <w:t xml:space="preserve"> </w:t>
            </w:r>
            <w:r>
              <w:rPr>
                <w:b/>
                <w:bCs/>
                <w:color w:val="auto"/>
                <w:sz w:val="20"/>
                <w:szCs w:val="20"/>
              </w:rPr>
              <w:t>5m</w:t>
            </w:r>
          </w:p>
        </w:tc>
        <w:tc>
          <w:tcPr>
            <w:tcW w:w="2691" w:type="dxa"/>
            <w:noWrap w:val="0"/>
            <w:vAlign w:val="center"/>
          </w:tcPr>
          <w:p>
            <w:pPr>
              <w:pStyle w:val="332"/>
              <w:kinsoku w:val="0"/>
              <w:overflowPunct w:val="0"/>
              <w:jc w:val="center"/>
              <w:rPr>
                <w:color w:val="auto"/>
                <w:sz w:val="20"/>
                <w:szCs w:val="20"/>
              </w:rPr>
            </w:pPr>
            <w:r>
              <w:rPr>
                <w:b/>
                <w:bCs/>
                <w:color w:val="auto"/>
                <w:sz w:val="20"/>
                <w:szCs w:val="20"/>
              </w:rPr>
              <w:t>距离声源</w:t>
            </w:r>
            <w:r>
              <w:rPr>
                <w:b/>
                <w:bCs/>
                <w:color w:val="auto"/>
                <w:spacing w:val="-56"/>
                <w:sz w:val="20"/>
                <w:szCs w:val="20"/>
              </w:rPr>
              <w:t xml:space="preserve"> </w:t>
            </w:r>
            <w:r>
              <w:rPr>
                <w:b/>
                <w:bCs/>
                <w:color w:val="auto"/>
                <w:sz w:val="20"/>
                <w:szCs w:val="20"/>
              </w:rPr>
              <w:t>10m</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1</w:t>
            </w:r>
          </w:p>
        </w:tc>
        <w:tc>
          <w:tcPr>
            <w:tcW w:w="2090" w:type="dxa"/>
            <w:noWrap w:val="0"/>
            <w:vAlign w:val="center"/>
          </w:tcPr>
          <w:p>
            <w:pPr>
              <w:pStyle w:val="332"/>
              <w:kinsoku w:val="0"/>
              <w:overflowPunct w:val="0"/>
              <w:jc w:val="center"/>
              <w:rPr>
                <w:color w:val="auto"/>
                <w:sz w:val="20"/>
                <w:szCs w:val="20"/>
              </w:rPr>
            </w:pPr>
            <w:r>
              <w:rPr>
                <w:color w:val="auto"/>
                <w:sz w:val="20"/>
                <w:szCs w:val="20"/>
              </w:rPr>
              <w:t>液压挖掘机</w:t>
            </w:r>
          </w:p>
        </w:tc>
        <w:tc>
          <w:tcPr>
            <w:tcW w:w="2691" w:type="dxa"/>
            <w:noWrap w:val="0"/>
            <w:vAlign w:val="center"/>
          </w:tcPr>
          <w:p>
            <w:pPr>
              <w:pStyle w:val="332"/>
              <w:kinsoku w:val="0"/>
              <w:overflowPunct w:val="0"/>
              <w:jc w:val="center"/>
              <w:rPr>
                <w:color w:val="auto"/>
                <w:sz w:val="20"/>
                <w:szCs w:val="20"/>
              </w:rPr>
            </w:pPr>
            <w:r>
              <w:rPr>
                <w:color w:val="auto"/>
                <w:sz w:val="20"/>
                <w:szCs w:val="20"/>
              </w:rPr>
              <w:t>82~90</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78~86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2</w:t>
            </w:r>
          </w:p>
        </w:tc>
        <w:tc>
          <w:tcPr>
            <w:tcW w:w="2090" w:type="dxa"/>
            <w:noWrap w:val="0"/>
            <w:vAlign w:val="center"/>
          </w:tcPr>
          <w:p>
            <w:pPr>
              <w:pStyle w:val="332"/>
              <w:kinsoku w:val="0"/>
              <w:overflowPunct w:val="0"/>
              <w:jc w:val="center"/>
              <w:rPr>
                <w:color w:val="auto"/>
                <w:sz w:val="20"/>
                <w:szCs w:val="20"/>
              </w:rPr>
            </w:pPr>
            <w:r>
              <w:rPr>
                <w:color w:val="auto"/>
                <w:sz w:val="20"/>
                <w:szCs w:val="20"/>
              </w:rPr>
              <w:t>挖掘机</w:t>
            </w:r>
          </w:p>
        </w:tc>
        <w:tc>
          <w:tcPr>
            <w:tcW w:w="2691" w:type="dxa"/>
            <w:noWrap w:val="0"/>
            <w:vAlign w:val="center"/>
          </w:tcPr>
          <w:p>
            <w:pPr>
              <w:pStyle w:val="332"/>
              <w:kinsoku w:val="0"/>
              <w:overflowPunct w:val="0"/>
              <w:jc w:val="center"/>
              <w:rPr>
                <w:color w:val="auto"/>
                <w:sz w:val="20"/>
                <w:szCs w:val="20"/>
              </w:rPr>
            </w:pPr>
            <w:r>
              <w:rPr>
                <w:color w:val="auto"/>
                <w:sz w:val="20"/>
                <w:szCs w:val="20"/>
              </w:rPr>
              <w:t>80~86</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75~83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3</w:t>
            </w:r>
          </w:p>
        </w:tc>
        <w:tc>
          <w:tcPr>
            <w:tcW w:w="2090" w:type="dxa"/>
            <w:noWrap w:val="0"/>
            <w:vAlign w:val="center"/>
          </w:tcPr>
          <w:p>
            <w:pPr>
              <w:pStyle w:val="332"/>
              <w:kinsoku w:val="0"/>
              <w:overflowPunct w:val="0"/>
              <w:jc w:val="center"/>
              <w:rPr>
                <w:color w:val="auto"/>
                <w:sz w:val="20"/>
                <w:szCs w:val="20"/>
              </w:rPr>
            </w:pPr>
            <w:r>
              <w:rPr>
                <w:color w:val="auto"/>
                <w:sz w:val="20"/>
                <w:szCs w:val="20"/>
              </w:rPr>
              <w:t>轮式装载机</w:t>
            </w:r>
          </w:p>
        </w:tc>
        <w:tc>
          <w:tcPr>
            <w:tcW w:w="2691" w:type="dxa"/>
            <w:noWrap w:val="0"/>
            <w:vAlign w:val="center"/>
          </w:tcPr>
          <w:p>
            <w:pPr>
              <w:pStyle w:val="332"/>
              <w:kinsoku w:val="0"/>
              <w:overflowPunct w:val="0"/>
              <w:jc w:val="center"/>
              <w:rPr>
                <w:color w:val="auto"/>
                <w:sz w:val="20"/>
                <w:szCs w:val="20"/>
              </w:rPr>
            </w:pPr>
            <w:r>
              <w:rPr>
                <w:color w:val="auto"/>
                <w:sz w:val="20"/>
                <w:szCs w:val="20"/>
              </w:rPr>
              <w:t>90~95</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85~91</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4</w:t>
            </w:r>
          </w:p>
        </w:tc>
        <w:tc>
          <w:tcPr>
            <w:tcW w:w="2090" w:type="dxa"/>
            <w:noWrap w:val="0"/>
            <w:vAlign w:val="center"/>
          </w:tcPr>
          <w:p>
            <w:pPr>
              <w:pStyle w:val="332"/>
              <w:kinsoku w:val="0"/>
              <w:overflowPunct w:val="0"/>
              <w:jc w:val="center"/>
              <w:rPr>
                <w:color w:val="auto"/>
                <w:sz w:val="20"/>
                <w:szCs w:val="20"/>
              </w:rPr>
            </w:pPr>
            <w:r>
              <w:rPr>
                <w:color w:val="auto"/>
                <w:sz w:val="20"/>
                <w:szCs w:val="20"/>
              </w:rPr>
              <w:t>推土机</w:t>
            </w:r>
          </w:p>
        </w:tc>
        <w:tc>
          <w:tcPr>
            <w:tcW w:w="2691" w:type="dxa"/>
            <w:noWrap w:val="0"/>
            <w:vAlign w:val="center"/>
          </w:tcPr>
          <w:p>
            <w:pPr>
              <w:pStyle w:val="332"/>
              <w:kinsoku w:val="0"/>
              <w:overflowPunct w:val="0"/>
              <w:jc w:val="center"/>
              <w:rPr>
                <w:color w:val="auto"/>
                <w:sz w:val="20"/>
                <w:szCs w:val="20"/>
              </w:rPr>
            </w:pPr>
            <w:r>
              <w:rPr>
                <w:color w:val="auto"/>
                <w:sz w:val="20"/>
                <w:szCs w:val="20"/>
              </w:rPr>
              <w:t>83~88</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80~85</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5</w:t>
            </w:r>
          </w:p>
        </w:tc>
        <w:tc>
          <w:tcPr>
            <w:tcW w:w="2090" w:type="dxa"/>
            <w:noWrap w:val="0"/>
            <w:vAlign w:val="center"/>
          </w:tcPr>
          <w:p>
            <w:pPr>
              <w:pStyle w:val="332"/>
              <w:kinsoku w:val="0"/>
              <w:overflowPunct w:val="0"/>
              <w:jc w:val="center"/>
              <w:rPr>
                <w:color w:val="auto"/>
                <w:sz w:val="20"/>
                <w:szCs w:val="20"/>
              </w:rPr>
            </w:pPr>
            <w:r>
              <w:rPr>
                <w:color w:val="auto"/>
                <w:sz w:val="20"/>
                <w:szCs w:val="20"/>
              </w:rPr>
              <w:t>重型运输车</w:t>
            </w:r>
          </w:p>
        </w:tc>
        <w:tc>
          <w:tcPr>
            <w:tcW w:w="2691" w:type="dxa"/>
            <w:noWrap w:val="0"/>
            <w:vAlign w:val="center"/>
          </w:tcPr>
          <w:p>
            <w:pPr>
              <w:pStyle w:val="332"/>
              <w:kinsoku w:val="0"/>
              <w:overflowPunct w:val="0"/>
              <w:jc w:val="center"/>
              <w:rPr>
                <w:color w:val="auto"/>
                <w:sz w:val="20"/>
                <w:szCs w:val="20"/>
              </w:rPr>
            </w:pPr>
            <w:r>
              <w:rPr>
                <w:color w:val="auto"/>
                <w:sz w:val="20"/>
                <w:szCs w:val="20"/>
              </w:rPr>
              <w:t>82~90</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78~86</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6</w:t>
            </w:r>
          </w:p>
        </w:tc>
        <w:tc>
          <w:tcPr>
            <w:tcW w:w="2090" w:type="dxa"/>
            <w:noWrap w:val="0"/>
            <w:vAlign w:val="center"/>
          </w:tcPr>
          <w:p>
            <w:pPr>
              <w:pStyle w:val="332"/>
              <w:kinsoku w:val="0"/>
              <w:overflowPunct w:val="0"/>
              <w:jc w:val="center"/>
              <w:rPr>
                <w:color w:val="auto"/>
                <w:sz w:val="20"/>
                <w:szCs w:val="20"/>
              </w:rPr>
            </w:pPr>
            <w:r>
              <w:rPr>
                <w:color w:val="auto"/>
                <w:sz w:val="20"/>
                <w:szCs w:val="20"/>
              </w:rPr>
              <w:t>木工电锯</w:t>
            </w:r>
          </w:p>
        </w:tc>
        <w:tc>
          <w:tcPr>
            <w:tcW w:w="2691" w:type="dxa"/>
            <w:noWrap w:val="0"/>
            <w:vAlign w:val="center"/>
          </w:tcPr>
          <w:p>
            <w:pPr>
              <w:pStyle w:val="332"/>
              <w:kinsoku w:val="0"/>
              <w:overflowPunct w:val="0"/>
              <w:jc w:val="center"/>
              <w:rPr>
                <w:color w:val="auto"/>
                <w:sz w:val="20"/>
                <w:szCs w:val="20"/>
              </w:rPr>
            </w:pPr>
            <w:r>
              <w:rPr>
                <w:color w:val="auto"/>
                <w:sz w:val="20"/>
                <w:szCs w:val="20"/>
              </w:rPr>
              <w:t>93~99</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93~99</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7</w:t>
            </w:r>
          </w:p>
        </w:tc>
        <w:tc>
          <w:tcPr>
            <w:tcW w:w="2090" w:type="dxa"/>
            <w:noWrap w:val="0"/>
            <w:vAlign w:val="center"/>
          </w:tcPr>
          <w:p>
            <w:pPr>
              <w:pStyle w:val="332"/>
              <w:kinsoku w:val="0"/>
              <w:overflowPunct w:val="0"/>
              <w:jc w:val="center"/>
              <w:rPr>
                <w:color w:val="auto"/>
                <w:sz w:val="20"/>
                <w:szCs w:val="20"/>
              </w:rPr>
            </w:pPr>
            <w:r>
              <w:rPr>
                <w:color w:val="auto"/>
                <w:sz w:val="20"/>
                <w:szCs w:val="20"/>
              </w:rPr>
              <w:t>电锤</w:t>
            </w:r>
          </w:p>
        </w:tc>
        <w:tc>
          <w:tcPr>
            <w:tcW w:w="2691" w:type="dxa"/>
            <w:noWrap w:val="0"/>
            <w:vAlign w:val="center"/>
          </w:tcPr>
          <w:p>
            <w:pPr>
              <w:pStyle w:val="332"/>
              <w:kinsoku w:val="0"/>
              <w:overflowPunct w:val="0"/>
              <w:ind w:right="1"/>
              <w:jc w:val="center"/>
              <w:rPr>
                <w:color w:val="auto"/>
                <w:sz w:val="20"/>
                <w:szCs w:val="20"/>
              </w:rPr>
            </w:pPr>
            <w:r>
              <w:rPr>
                <w:color w:val="auto"/>
                <w:sz w:val="20"/>
                <w:szCs w:val="20"/>
              </w:rPr>
              <w:t>95~100</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95~99</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8</w:t>
            </w:r>
          </w:p>
        </w:tc>
        <w:tc>
          <w:tcPr>
            <w:tcW w:w="2090" w:type="dxa"/>
            <w:noWrap w:val="0"/>
            <w:vAlign w:val="center"/>
          </w:tcPr>
          <w:p>
            <w:pPr>
              <w:pStyle w:val="332"/>
              <w:kinsoku w:val="0"/>
              <w:overflowPunct w:val="0"/>
              <w:jc w:val="center"/>
              <w:rPr>
                <w:color w:val="auto"/>
                <w:sz w:val="20"/>
                <w:szCs w:val="20"/>
              </w:rPr>
            </w:pPr>
            <w:r>
              <w:rPr>
                <w:color w:val="auto"/>
                <w:sz w:val="20"/>
                <w:szCs w:val="20"/>
              </w:rPr>
              <w:t>振动夯锤</w:t>
            </w:r>
          </w:p>
        </w:tc>
        <w:tc>
          <w:tcPr>
            <w:tcW w:w="2691" w:type="dxa"/>
            <w:noWrap w:val="0"/>
            <w:vAlign w:val="center"/>
          </w:tcPr>
          <w:p>
            <w:pPr>
              <w:pStyle w:val="332"/>
              <w:kinsoku w:val="0"/>
              <w:overflowPunct w:val="0"/>
              <w:ind w:right="1"/>
              <w:jc w:val="center"/>
              <w:rPr>
                <w:color w:val="auto"/>
                <w:sz w:val="20"/>
                <w:szCs w:val="20"/>
              </w:rPr>
            </w:pPr>
            <w:r>
              <w:rPr>
                <w:color w:val="auto"/>
                <w:sz w:val="20"/>
                <w:szCs w:val="20"/>
              </w:rPr>
              <w:t>92~100</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86~94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w w:val="99"/>
                <w:sz w:val="20"/>
                <w:szCs w:val="20"/>
              </w:rPr>
              <w:t>9</w:t>
            </w:r>
          </w:p>
        </w:tc>
        <w:tc>
          <w:tcPr>
            <w:tcW w:w="2090" w:type="dxa"/>
            <w:noWrap w:val="0"/>
            <w:vAlign w:val="center"/>
          </w:tcPr>
          <w:p>
            <w:pPr>
              <w:pStyle w:val="332"/>
              <w:kinsoku w:val="0"/>
              <w:overflowPunct w:val="0"/>
              <w:jc w:val="center"/>
              <w:rPr>
                <w:color w:val="auto"/>
                <w:sz w:val="20"/>
                <w:szCs w:val="20"/>
              </w:rPr>
            </w:pPr>
            <w:r>
              <w:rPr>
                <w:color w:val="auto"/>
                <w:sz w:val="20"/>
                <w:szCs w:val="20"/>
              </w:rPr>
              <w:t>静力压桩机</w:t>
            </w:r>
          </w:p>
        </w:tc>
        <w:tc>
          <w:tcPr>
            <w:tcW w:w="2691" w:type="dxa"/>
            <w:noWrap w:val="0"/>
            <w:vAlign w:val="center"/>
          </w:tcPr>
          <w:p>
            <w:pPr>
              <w:pStyle w:val="332"/>
              <w:kinsoku w:val="0"/>
              <w:overflowPunct w:val="0"/>
              <w:ind w:left="3"/>
              <w:jc w:val="center"/>
              <w:rPr>
                <w:color w:val="auto"/>
                <w:sz w:val="20"/>
                <w:szCs w:val="20"/>
              </w:rPr>
            </w:pPr>
            <w:r>
              <w:rPr>
                <w:color w:val="auto"/>
                <w:sz w:val="20"/>
                <w:szCs w:val="20"/>
              </w:rPr>
              <w:t>70~75</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68~73</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sz w:val="20"/>
                <w:szCs w:val="20"/>
              </w:rPr>
              <w:t>10</w:t>
            </w:r>
          </w:p>
        </w:tc>
        <w:tc>
          <w:tcPr>
            <w:tcW w:w="2090" w:type="dxa"/>
            <w:noWrap w:val="0"/>
            <w:vAlign w:val="center"/>
          </w:tcPr>
          <w:p>
            <w:pPr>
              <w:pStyle w:val="332"/>
              <w:kinsoku w:val="0"/>
              <w:overflowPunct w:val="0"/>
              <w:jc w:val="center"/>
              <w:rPr>
                <w:color w:val="auto"/>
                <w:sz w:val="20"/>
                <w:szCs w:val="20"/>
              </w:rPr>
            </w:pPr>
            <w:r>
              <w:rPr>
                <w:color w:val="auto"/>
                <w:sz w:val="20"/>
                <w:szCs w:val="20"/>
              </w:rPr>
              <w:t>混凝土输送泵</w:t>
            </w:r>
          </w:p>
        </w:tc>
        <w:tc>
          <w:tcPr>
            <w:tcW w:w="2691" w:type="dxa"/>
            <w:noWrap w:val="0"/>
            <w:vAlign w:val="center"/>
          </w:tcPr>
          <w:p>
            <w:pPr>
              <w:pStyle w:val="332"/>
              <w:kinsoku w:val="0"/>
              <w:overflowPunct w:val="0"/>
              <w:ind w:left="3"/>
              <w:jc w:val="center"/>
              <w:rPr>
                <w:color w:val="auto"/>
                <w:sz w:val="20"/>
                <w:szCs w:val="20"/>
              </w:rPr>
            </w:pPr>
            <w:r>
              <w:rPr>
                <w:color w:val="auto"/>
                <w:sz w:val="20"/>
                <w:szCs w:val="20"/>
              </w:rPr>
              <w:t>88~95</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84~90</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sz w:val="20"/>
                <w:szCs w:val="20"/>
              </w:rPr>
              <w:t>11</w:t>
            </w:r>
          </w:p>
        </w:tc>
        <w:tc>
          <w:tcPr>
            <w:tcW w:w="2090" w:type="dxa"/>
            <w:noWrap w:val="0"/>
            <w:vAlign w:val="center"/>
          </w:tcPr>
          <w:p>
            <w:pPr>
              <w:pStyle w:val="332"/>
              <w:kinsoku w:val="0"/>
              <w:overflowPunct w:val="0"/>
              <w:jc w:val="center"/>
              <w:rPr>
                <w:color w:val="auto"/>
                <w:sz w:val="20"/>
                <w:szCs w:val="20"/>
              </w:rPr>
            </w:pPr>
            <w:r>
              <w:rPr>
                <w:color w:val="auto"/>
                <w:sz w:val="20"/>
                <w:szCs w:val="20"/>
              </w:rPr>
              <w:t>商砼运输车</w:t>
            </w:r>
          </w:p>
        </w:tc>
        <w:tc>
          <w:tcPr>
            <w:tcW w:w="2691" w:type="dxa"/>
            <w:noWrap w:val="0"/>
            <w:vAlign w:val="center"/>
          </w:tcPr>
          <w:p>
            <w:pPr>
              <w:pStyle w:val="332"/>
              <w:kinsoku w:val="0"/>
              <w:overflowPunct w:val="0"/>
              <w:ind w:left="3"/>
              <w:jc w:val="center"/>
              <w:rPr>
                <w:color w:val="auto"/>
                <w:sz w:val="20"/>
                <w:szCs w:val="20"/>
              </w:rPr>
            </w:pPr>
            <w:r>
              <w:rPr>
                <w:color w:val="auto"/>
                <w:sz w:val="20"/>
                <w:szCs w:val="20"/>
              </w:rPr>
              <w:t>85~90</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81~84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90" w:hRule="atLeast"/>
          <w:jc w:val="center"/>
        </w:trPr>
        <w:tc>
          <w:tcPr>
            <w:tcW w:w="1315" w:type="dxa"/>
            <w:noWrap w:val="0"/>
            <w:vAlign w:val="center"/>
          </w:tcPr>
          <w:p>
            <w:pPr>
              <w:pStyle w:val="332"/>
              <w:kinsoku w:val="0"/>
              <w:overflowPunct w:val="0"/>
              <w:ind w:left="4"/>
              <w:jc w:val="center"/>
              <w:rPr>
                <w:color w:val="auto"/>
                <w:sz w:val="20"/>
                <w:szCs w:val="20"/>
              </w:rPr>
            </w:pPr>
            <w:r>
              <w:rPr>
                <w:color w:val="auto"/>
                <w:sz w:val="20"/>
                <w:szCs w:val="20"/>
              </w:rPr>
              <w:t>12</w:t>
            </w:r>
          </w:p>
        </w:tc>
        <w:tc>
          <w:tcPr>
            <w:tcW w:w="2090" w:type="dxa"/>
            <w:noWrap w:val="0"/>
            <w:vAlign w:val="center"/>
          </w:tcPr>
          <w:p>
            <w:pPr>
              <w:pStyle w:val="332"/>
              <w:kinsoku w:val="0"/>
              <w:overflowPunct w:val="0"/>
              <w:jc w:val="center"/>
              <w:rPr>
                <w:color w:val="auto"/>
                <w:sz w:val="20"/>
                <w:szCs w:val="20"/>
              </w:rPr>
            </w:pPr>
            <w:r>
              <w:rPr>
                <w:color w:val="auto"/>
                <w:sz w:val="20"/>
                <w:szCs w:val="20"/>
              </w:rPr>
              <w:t>混凝土振捣器</w:t>
            </w:r>
          </w:p>
        </w:tc>
        <w:tc>
          <w:tcPr>
            <w:tcW w:w="2691" w:type="dxa"/>
            <w:noWrap w:val="0"/>
            <w:vAlign w:val="center"/>
          </w:tcPr>
          <w:p>
            <w:pPr>
              <w:pStyle w:val="332"/>
              <w:kinsoku w:val="0"/>
              <w:overflowPunct w:val="0"/>
              <w:ind w:left="3"/>
              <w:jc w:val="center"/>
              <w:rPr>
                <w:color w:val="auto"/>
                <w:sz w:val="20"/>
                <w:szCs w:val="20"/>
              </w:rPr>
            </w:pPr>
            <w:r>
              <w:rPr>
                <w:color w:val="auto"/>
                <w:sz w:val="20"/>
                <w:szCs w:val="20"/>
              </w:rPr>
              <w:t>80~88</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75~84</w:t>
            </w:r>
          </w:p>
        </w:tc>
      </w:tr>
      <w:tr>
        <w:tblPrEx>
          <w:tblBorders>
            <w:top w:val="single" w:color="000000"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1315" w:type="dxa"/>
            <w:noWrap w:val="0"/>
            <w:vAlign w:val="center"/>
          </w:tcPr>
          <w:p>
            <w:pPr>
              <w:pStyle w:val="332"/>
              <w:kinsoku w:val="0"/>
              <w:overflowPunct w:val="0"/>
              <w:ind w:left="4"/>
              <w:jc w:val="center"/>
              <w:rPr>
                <w:color w:val="auto"/>
                <w:sz w:val="20"/>
                <w:szCs w:val="20"/>
              </w:rPr>
            </w:pPr>
            <w:r>
              <w:rPr>
                <w:color w:val="auto"/>
                <w:sz w:val="20"/>
                <w:szCs w:val="20"/>
              </w:rPr>
              <w:t>13</w:t>
            </w:r>
          </w:p>
        </w:tc>
        <w:tc>
          <w:tcPr>
            <w:tcW w:w="2090" w:type="dxa"/>
            <w:noWrap w:val="0"/>
            <w:vAlign w:val="center"/>
          </w:tcPr>
          <w:p>
            <w:pPr>
              <w:pStyle w:val="332"/>
              <w:kinsoku w:val="0"/>
              <w:overflowPunct w:val="0"/>
              <w:jc w:val="center"/>
              <w:rPr>
                <w:color w:val="auto"/>
                <w:sz w:val="20"/>
                <w:szCs w:val="20"/>
              </w:rPr>
            </w:pPr>
            <w:r>
              <w:rPr>
                <w:color w:val="auto"/>
                <w:sz w:val="20"/>
                <w:szCs w:val="20"/>
              </w:rPr>
              <w:t>空压机</w:t>
            </w:r>
          </w:p>
        </w:tc>
        <w:tc>
          <w:tcPr>
            <w:tcW w:w="2691" w:type="dxa"/>
            <w:noWrap w:val="0"/>
            <w:vAlign w:val="center"/>
          </w:tcPr>
          <w:p>
            <w:pPr>
              <w:pStyle w:val="332"/>
              <w:kinsoku w:val="0"/>
              <w:overflowPunct w:val="0"/>
              <w:ind w:left="3"/>
              <w:jc w:val="center"/>
              <w:rPr>
                <w:color w:val="auto"/>
                <w:sz w:val="20"/>
                <w:szCs w:val="20"/>
              </w:rPr>
            </w:pPr>
            <w:r>
              <w:rPr>
                <w:color w:val="auto"/>
                <w:sz w:val="20"/>
                <w:szCs w:val="20"/>
              </w:rPr>
              <w:t>88~92</w:t>
            </w:r>
          </w:p>
        </w:tc>
        <w:tc>
          <w:tcPr>
            <w:tcW w:w="2691" w:type="dxa"/>
            <w:noWrap w:val="0"/>
            <w:vAlign w:val="center"/>
          </w:tcPr>
          <w:p>
            <w:pPr>
              <w:pStyle w:val="332"/>
              <w:kinsoku w:val="0"/>
              <w:overflowPunct w:val="0"/>
              <w:ind w:right="3"/>
              <w:jc w:val="center"/>
              <w:rPr>
                <w:color w:val="auto"/>
                <w:sz w:val="20"/>
                <w:szCs w:val="20"/>
              </w:rPr>
            </w:pPr>
            <w:r>
              <w:rPr>
                <w:color w:val="auto"/>
                <w:sz w:val="20"/>
                <w:szCs w:val="20"/>
              </w:rPr>
              <w:t>83~88</w:t>
            </w:r>
          </w:p>
        </w:tc>
      </w:tr>
    </w:tbl>
    <w:p>
      <w:pPr>
        <w:pStyle w:val="3"/>
        <w:kinsoku w:val="0"/>
        <w:overflowPunct w:val="0"/>
        <w:spacing w:before="120" w:beforeLines="50" w:after="0"/>
        <w:ind w:firstLine="482"/>
        <w:rPr>
          <w:rFonts w:ascii="Times New Roman" w:hAnsi="Times New Roman"/>
          <w:b/>
          <w:color w:val="auto"/>
        </w:rPr>
      </w:pPr>
      <w:r>
        <w:rPr>
          <w:rFonts w:ascii="Times New Roman" w:hAnsi="Times New Roman"/>
          <w:b/>
          <w:color w:val="auto"/>
        </w:rPr>
        <w:t>防治措施：</w:t>
      </w:r>
    </w:p>
    <w:p>
      <w:pPr>
        <w:pStyle w:val="3"/>
        <w:kinsoku w:val="0"/>
        <w:overflowPunct w:val="0"/>
        <w:spacing w:after="0"/>
        <w:ind w:right="249" w:firstLine="480"/>
        <w:rPr>
          <w:rFonts w:ascii="Times New Roman" w:hAnsi="Times New Roman"/>
          <w:color w:val="auto"/>
        </w:rPr>
      </w:pPr>
      <w:r>
        <w:rPr>
          <w:rFonts w:hint="eastAsia" w:ascii="宋体" w:hAnsi="宋体" w:cs="宋体"/>
          <w:color w:val="auto"/>
        </w:rPr>
        <w:t>①</w:t>
      </w:r>
      <w:r>
        <w:rPr>
          <w:rFonts w:ascii="Times New Roman" w:hAnsi="Times New Roman"/>
          <w:color w:val="auto"/>
        </w:rPr>
        <w:t>首先从噪声源强进行控制：建设单位在与施工单位签订合同时，应要求其使用的主要机械设备为低噪设备。尽量选低噪声液压施工机械替代气压机械；不使用汽锤打桩机，采用长螺旋钻机；尽可能使用商品混凝土，不使用混凝土搅拌机。同时在施 工过程中施工单位应设专人对设备进行定期保养和维护，并负责对现场工作人员进行培训，严格按操作规范使用各类机械。</w:t>
      </w:r>
    </w:p>
    <w:p>
      <w:pPr>
        <w:pStyle w:val="3"/>
        <w:kinsoku w:val="0"/>
        <w:overflowPunct w:val="0"/>
        <w:spacing w:after="0"/>
        <w:ind w:right="249" w:firstLine="480"/>
        <w:rPr>
          <w:rFonts w:ascii="Times New Roman" w:hAnsi="Times New Roman"/>
          <w:color w:val="auto"/>
        </w:rPr>
      </w:pPr>
      <w:r>
        <w:rPr>
          <w:rFonts w:hint="eastAsia" w:ascii="宋体" w:hAnsi="宋体" w:cs="宋体"/>
          <w:color w:val="auto"/>
        </w:rPr>
        <w:t>②</w:t>
      </w:r>
      <w:r>
        <w:rPr>
          <w:rFonts w:ascii="Times New Roman" w:hAnsi="Times New Roman"/>
          <w:color w:val="auto"/>
        </w:rPr>
        <w:t>作业时在高噪声设备周围设置屏蔽，不低于1.8m。</w:t>
      </w:r>
    </w:p>
    <w:p>
      <w:pPr>
        <w:pStyle w:val="3"/>
        <w:kinsoku w:val="0"/>
        <w:overflowPunct w:val="0"/>
        <w:spacing w:after="0"/>
        <w:ind w:right="249" w:firstLine="480"/>
        <w:rPr>
          <w:rFonts w:ascii="Times New Roman" w:hAnsi="Times New Roman"/>
          <w:color w:val="auto"/>
        </w:rPr>
      </w:pPr>
      <w:r>
        <w:rPr>
          <w:rFonts w:hint="eastAsia" w:ascii="宋体" w:hAnsi="宋体" w:cs="宋体"/>
          <w:color w:val="auto"/>
        </w:rPr>
        <w:t>③</w:t>
      </w:r>
      <w:r>
        <w:rPr>
          <w:rFonts w:ascii="Times New Roman" w:hAnsi="Times New Roman"/>
          <w:color w:val="auto"/>
        </w:rPr>
        <w:t>合理安排施工进度和作业时间，尽量避免高噪声设备同时作业，夜间（晚22点到次日早晨6点）禁止施工。</w:t>
      </w:r>
    </w:p>
    <w:p>
      <w:pPr>
        <w:pStyle w:val="3"/>
        <w:kinsoku w:val="0"/>
        <w:overflowPunct w:val="0"/>
        <w:spacing w:after="0"/>
        <w:ind w:right="249" w:firstLine="480"/>
        <w:rPr>
          <w:rFonts w:ascii="Times New Roman" w:hAnsi="Times New Roman"/>
          <w:color w:val="auto"/>
        </w:rPr>
      </w:pPr>
      <w:r>
        <w:rPr>
          <w:rFonts w:hint="eastAsia" w:ascii="宋体" w:hAnsi="宋体" w:cs="宋体"/>
          <w:color w:val="auto"/>
        </w:rPr>
        <w:t>④</w:t>
      </w:r>
      <w:r>
        <w:rPr>
          <w:rFonts w:ascii="Times New Roman" w:hAnsi="Times New Roman"/>
          <w:color w:val="auto"/>
        </w:rPr>
        <w:t>对人为的施工噪声应有管理制度和降噪措施，并进行严格控制：承担材料运输的车辆，行经居民点处禁止鸣笛，并要减速慢行，装卸材料应做到轻拿轻放，最大限度地减少噪声影响。</w:t>
      </w:r>
    </w:p>
    <w:p>
      <w:pPr>
        <w:pStyle w:val="3"/>
        <w:kinsoku w:val="0"/>
        <w:overflowPunct w:val="0"/>
        <w:spacing w:after="0"/>
        <w:ind w:right="249" w:firstLine="480"/>
        <w:rPr>
          <w:rFonts w:ascii="Times New Roman" w:hAnsi="Times New Roman"/>
          <w:color w:val="auto"/>
        </w:rPr>
      </w:pPr>
      <w:r>
        <w:rPr>
          <w:rFonts w:hint="eastAsia" w:ascii="宋体" w:hAnsi="宋体" w:cs="宋体"/>
          <w:color w:val="auto"/>
        </w:rPr>
        <w:t>⑤</w:t>
      </w:r>
      <w:r>
        <w:rPr>
          <w:rFonts w:ascii="Times New Roman" w:hAnsi="Times New Roman"/>
          <w:color w:val="auto"/>
        </w:rPr>
        <w:t>建设管理部门应加强对施工场地的噪声管理，施工企业也应对施工噪声进行自律，文明施工，避免因施工噪声产生纠纷。</w:t>
      </w:r>
    </w:p>
    <w:p>
      <w:pPr>
        <w:pStyle w:val="9"/>
        <w:numPr>
          <w:ilvl w:val="0"/>
          <w:numId w:val="0"/>
        </w:numPr>
        <w:ind w:leftChars="0"/>
        <w:rPr>
          <w:color w:val="auto"/>
        </w:rPr>
      </w:pPr>
      <w:bookmarkStart w:id="93" w:name="_Toc110935446"/>
      <w:bookmarkStart w:id="94" w:name="_Toc111453587"/>
      <w:bookmarkStart w:id="95" w:name="_Toc110935814"/>
      <w:bookmarkStart w:id="96" w:name="_Toc111022443"/>
      <w:bookmarkStart w:id="97" w:name="_Toc170548695"/>
      <w:bookmarkStart w:id="98" w:name="_Toc169669370"/>
      <w:bookmarkStart w:id="99" w:name="_Toc170533713"/>
      <w:bookmarkStart w:id="100" w:name="_Toc149714155"/>
      <w:bookmarkStart w:id="101" w:name="_Toc170707101"/>
      <w:bookmarkStart w:id="102" w:name="_Toc170547617"/>
      <w:bookmarkStart w:id="103" w:name="_Toc170533191"/>
      <w:bookmarkStart w:id="104" w:name="_Toc170544198"/>
      <w:bookmarkStart w:id="105" w:name="_Toc169867758"/>
      <w:bookmarkStart w:id="106" w:name="_Toc170627290"/>
      <w:bookmarkStart w:id="107" w:name="_Toc170707312"/>
      <w:bookmarkStart w:id="108" w:name="_Toc170014878"/>
      <w:bookmarkStart w:id="109" w:name="_Toc170533972"/>
      <w:bookmarkStart w:id="110" w:name="_Toc170548315"/>
      <w:bookmarkStart w:id="111" w:name="_Toc149710713"/>
      <w:r>
        <w:rPr>
          <w:rFonts w:hint="eastAsia"/>
          <w:color w:val="auto"/>
          <w:lang w:val="en-US" w:eastAsia="zh-CN"/>
        </w:rPr>
        <w:t>3.5.3.4</w:t>
      </w:r>
      <w:r>
        <w:rPr>
          <w:color w:val="auto"/>
        </w:rPr>
        <w:t>施工期</w:t>
      </w:r>
      <w:bookmarkEnd w:id="93"/>
      <w:bookmarkEnd w:id="94"/>
      <w:bookmarkEnd w:id="95"/>
      <w:bookmarkEnd w:id="96"/>
      <w:r>
        <w:rPr>
          <w:color w:val="auto"/>
        </w:rPr>
        <w:t>固体废物的产生及治理</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pPr>
        <w:ind w:firstLine="480"/>
        <w:rPr>
          <w:color w:val="auto"/>
        </w:rPr>
      </w:pPr>
      <w:bookmarkStart w:id="112" w:name="_Toc170548316"/>
      <w:bookmarkStart w:id="113" w:name="_Toc169669371"/>
      <w:bookmarkStart w:id="114" w:name="_Toc170547618"/>
      <w:bookmarkStart w:id="115" w:name="_Toc149710714"/>
      <w:bookmarkStart w:id="116" w:name="_Toc170548696"/>
      <w:bookmarkStart w:id="117" w:name="_Toc170627291"/>
      <w:bookmarkStart w:id="118" w:name="_Toc170544199"/>
      <w:bookmarkStart w:id="119" w:name="_Toc170707102"/>
      <w:bookmarkStart w:id="120" w:name="_Toc169867759"/>
      <w:bookmarkStart w:id="121" w:name="_Toc170014879"/>
      <w:bookmarkStart w:id="122" w:name="_Toc170707313"/>
      <w:bookmarkStart w:id="123" w:name="_Toc170533973"/>
      <w:bookmarkStart w:id="124" w:name="_Toc170533714"/>
      <w:bookmarkStart w:id="125" w:name="_Toc149714156"/>
      <w:bookmarkStart w:id="126" w:name="_Toc170533192"/>
      <w:r>
        <w:rPr>
          <w:color w:val="auto"/>
        </w:rPr>
        <w:t>本项目施工期产生的固体废弃物主要为施工人员产生的生活垃圾和各种建筑垃圾等。</w:t>
      </w:r>
    </w:p>
    <w:p>
      <w:pPr>
        <w:ind w:firstLine="482"/>
        <w:rPr>
          <w:b/>
          <w:color w:val="auto"/>
        </w:rPr>
      </w:pPr>
      <w:r>
        <w:rPr>
          <w:b/>
          <w:color w:val="auto"/>
        </w:rPr>
        <w:t>1、生活垃圾</w:t>
      </w:r>
    </w:p>
    <w:p>
      <w:pPr>
        <w:ind w:firstLine="480"/>
        <w:rPr>
          <w:color w:val="auto"/>
        </w:rPr>
      </w:pPr>
      <w:r>
        <w:rPr>
          <w:color w:val="auto"/>
        </w:rPr>
        <w:t>生活垃圾以人均每天产生0.5kg计算，施工高峰期施工人员约100人，则施工期产生的生活垃圾约50</w:t>
      </w:r>
      <w:r>
        <w:rPr>
          <w:rFonts w:hint="eastAsia"/>
          <w:color w:val="auto"/>
        </w:rPr>
        <w:t>kg/d</w:t>
      </w:r>
      <w:r>
        <w:rPr>
          <w:color w:val="auto"/>
        </w:rPr>
        <w:t>。</w:t>
      </w:r>
    </w:p>
    <w:p>
      <w:pPr>
        <w:ind w:firstLine="482"/>
        <w:rPr>
          <w:color w:val="auto"/>
        </w:rPr>
      </w:pPr>
      <w:r>
        <w:rPr>
          <w:b/>
          <w:color w:val="auto"/>
        </w:rPr>
        <w:t>防治措施：</w:t>
      </w:r>
      <w:r>
        <w:rPr>
          <w:color w:val="auto"/>
        </w:rPr>
        <w:t>生活垃圾由场地内垃圾桶（至少6个）收集，日产日清，交由当地环卫部门统一收集清运。</w:t>
      </w:r>
    </w:p>
    <w:p>
      <w:pPr>
        <w:ind w:firstLine="482"/>
        <w:rPr>
          <w:b/>
          <w:color w:val="auto"/>
        </w:rPr>
      </w:pPr>
      <w:r>
        <w:rPr>
          <w:b/>
          <w:color w:val="auto"/>
        </w:rPr>
        <w:t>2、建筑垃圾</w:t>
      </w:r>
    </w:p>
    <w:p>
      <w:pPr>
        <w:ind w:firstLine="480"/>
        <w:rPr>
          <w:color w:val="auto"/>
        </w:rPr>
      </w:pPr>
      <w:r>
        <w:rPr>
          <w:color w:val="auto"/>
        </w:rPr>
        <w:t>本项目在建设过程中产生的建筑垃圾主要为建材损耗产生的垃圾。在施工过程中产生的建筑垃圾包括砂土、石块、水泥、碎木料、锯木屑、废金属、钢筋、铁丝、土石方等杂物。工程施工过程中产生的各类建渣，按照0.5t/100m</w:t>
      </w:r>
      <w:r>
        <w:rPr>
          <w:color w:val="auto"/>
          <w:vertAlign w:val="superscript"/>
        </w:rPr>
        <w:t>2</w:t>
      </w:r>
      <w:r>
        <w:rPr>
          <w:color w:val="auto"/>
        </w:rPr>
        <w:t>，本项目建筑面积</w:t>
      </w:r>
      <w:r>
        <w:rPr>
          <w:rFonts w:hint="eastAsia"/>
          <w:color w:val="auto"/>
          <w:lang w:val="en-US" w:eastAsia="zh-CN"/>
        </w:rPr>
        <w:t>约6000</w:t>
      </w:r>
      <w:r>
        <w:rPr>
          <w:color w:val="auto"/>
        </w:rPr>
        <w:t>m</w:t>
      </w:r>
      <w:r>
        <w:rPr>
          <w:color w:val="auto"/>
          <w:vertAlign w:val="superscript"/>
        </w:rPr>
        <w:t>2</w:t>
      </w:r>
      <w:r>
        <w:rPr>
          <w:color w:val="auto"/>
        </w:rPr>
        <w:t>，故本项目产生的建筑垃圾约</w:t>
      </w:r>
      <w:r>
        <w:rPr>
          <w:rFonts w:hint="eastAsia"/>
          <w:color w:val="auto"/>
          <w:lang w:val="en-US" w:eastAsia="zh-CN"/>
        </w:rPr>
        <w:t>30</w:t>
      </w:r>
      <w:r>
        <w:rPr>
          <w:color w:val="auto"/>
        </w:rPr>
        <w:t>t。</w:t>
      </w:r>
    </w:p>
    <w:p>
      <w:pPr>
        <w:ind w:firstLine="482"/>
        <w:rPr>
          <w:color w:val="auto"/>
        </w:rPr>
      </w:pPr>
      <w:r>
        <w:rPr>
          <w:b/>
          <w:color w:val="auto"/>
        </w:rPr>
        <w:t>防治措施：</w:t>
      </w:r>
      <w:r>
        <w:rPr>
          <w:color w:val="auto"/>
        </w:rPr>
        <w:t>建筑垃圾中废金属、废钢筋、废铁丝、废砖块、废木料等应尽量回收利用，其他不能回收利用的建筑垃圾清运至当地管理部门指定的的受纳场地堆放，严禁乱倾乱倒。建筑施工单位在建设项目竣工后，应随即清理、清运完建筑垃圾。</w:t>
      </w:r>
    </w:p>
    <w:p>
      <w:pPr>
        <w:ind w:firstLine="482"/>
        <w:rPr>
          <w:b/>
          <w:color w:val="auto"/>
        </w:rPr>
      </w:pPr>
      <w:r>
        <w:rPr>
          <w:b/>
          <w:color w:val="auto"/>
        </w:rPr>
        <w:t>3、弃土弃渣</w:t>
      </w:r>
    </w:p>
    <w:p>
      <w:pPr>
        <w:ind w:firstLine="480"/>
        <w:rPr>
          <w:color w:val="auto"/>
        </w:rPr>
      </w:pPr>
      <w:r>
        <w:rPr>
          <w:color w:val="auto"/>
        </w:rPr>
        <w:t>施工期基础工程包括开挖土方量与回填土方量，项目开挖表土暂存于表土临时堆场，用于后期绿化覆土。项目挖方量（主要包括猪舍基础开挖、环保处理设施基坑开挖等）约为</w:t>
      </w:r>
      <w:r>
        <w:rPr>
          <w:rFonts w:hint="eastAsia"/>
          <w:color w:val="auto"/>
          <w:lang w:val="en-US" w:eastAsia="zh-CN"/>
        </w:rPr>
        <w:t>3000</w:t>
      </w:r>
      <w:r>
        <w:rPr>
          <w:color w:val="auto"/>
        </w:rPr>
        <w:t>m</w:t>
      </w:r>
      <w:r>
        <w:rPr>
          <w:color w:val="auto"/>
          <w:vertAlign w:val="superscript"/>
        </w:rPr>
        <w:t>3</w:t>
      </w:r>
      <w:r>
        <w:rPr>
          <w:color w:val="auto"/>
        </w:rPr>
        <w:t>，填方量（场地低处平整、厂区硬化区土地压实、绿化区需要的表土）约为</w:t>
      </w:r>
      <w:r>
        <w:rPr>
          <w:rFonts w:hint="eastAsia"/>
          <w:color w:val="auto"/>
          <w:lang w:val="en-US" w:eastAsia="zh-CN"/>
        </w:rPr>
        <w:t>2000</w:t>
      </w:r>
      <w:r>
        <w:rPr>
          <w:color w:val="auto"/>
        </w:rPr>
        <w:t>m</w:t>
      </w:r>
      <w:r>
        <w:rPr>
          <w:color w:val="auto"/>
          <w:vertAlign w:val="superscript"/>
        </w:rPr>
        <w:t>3</w:t>
      </w:r>
      <w:r>
        <w:rPr>
          <w:color w:val="auto"/>
        </w:rPr>
        <w:t>，剩余土方量（主要为表土）约为</w:t>
      </w:r>
      <w:r>
        <w:rPr>
          <w:rFonts w:hint="eastAsia"/>
          <w:color w:val="auto"/>
          <w:lang w:val="en-US" w:eastAsia="zh-CN"/>
        </w:rPr>
        <w:t>1000</w:t>
      </w:r>
      <w:r>
        <w:rPr>
          <w:color w:val="auto"/>
        </w:rPr>
        <w:t>m</w:t>
      </w:r>
      <w:r>
        <w:rPr>
          <w:color w:val="auto"/>
          <w:vertAlign w:val="superscript"/>
        </w:rPr>
        <w:t>3</w:t>
      </w:r>
      <w:r>
        <w:rPr>
          <w:color w:val="auto"/>
        </w:rPr>
        <w:t>，用作修建周边道路绿化覆土、本项目绿化工程的填方及绿化覆土及周边农田整治覆土。本项目不产生弃土，不设置弃土场。</w:t>
      </w:r>
    </w:p>
    <w:p>
      <w:pPr>
        <w:ind w:firstLine="482"/>
        <w:rPr>
          <w:color w:val="auto"/>
        </w:rPr>
      </w:pPr>
      <w:r>
        <w:rPr>
          <w:b/>
          <w:color w:val="auto"/>
        </w:rPr>
        <w:t>防治措施：</w:t>
      </w:r>
      <w:r>
        <w:rPr>
          <w:color w:val="auto"/>
        </w:rPr>
        <w:t>项目多余土方用作修建周边道路的填方，不单独设置弃土场。</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Start w:id="127" w:name="_Toc110935447"/>
      <w:bookmarkStart w:id="128" w:name="_Toc111022444"/>
      <w:bookmarkStart w:id="129" w:name="_Toc111453588"/>
      <w:bookmarkStart w:id="130" w:name="_Toc110935815"/>
      <w:r>
        <w:rPr>
          <w:color w:val="auto"/>
        </w:rPr>
        <w:t>施工期结束后应及时对裸露土地进行绿化，防止水土流失。</w:t>
      </w:r>
    </w:p>
    <w:bookmarkEnd w:id="127"/>
    <w:bookmarkEnd w:id="128"/>
    <w:bookmarkEnd w:id="129"/>
    <w:bookmarkEnd w:id="130"/>
    <w:p>
      <w:pPr>
        <w:pStyle w:val="9"/>
        <w:numPr>
          <w:ilvl w:val="0"/>
          <w:numId w:val="0"/>
        </w:numPr>
        <w:ind w:leftChars="0"/>
        <w:rPr>
          <w:color w:val="auto"/>
        </w:rPr>
      </w:pPr>
      <w:r>
        <w:rPr>
          <w:rFonts w:hint="eastAsia"/>
          <w:color w:val="auto"/>
          <w:lang w:val="en-US" w:eastAsia="zh-CN"/>
        </w:rPr>
        <w:t>3.5.3.5</w:t>
      </w:r>
      <w:r>
        <w:rPr>
          <w:color w:val="auto"/>
        </w:rPr>
        <w:t>施工期水土保持及生态恢复措施</w:t>
      </w:r>
    </w:p>
    <w:p>
      <w:pPr>
        <w:ind w:firstLine="480"/>
        <w:rPr>
          <w:color w:val="auto"/>
        </w:rPr>
      </w:pPr>
      <w:r>
        <w:rPr>
          <w:color w:val="auto"/>
        </w:rPr>
        <w:t>项目用地现状为耕地和</w:t>
      </w:r>
      <w:r>
        <w:rPr>
          <w:rFonts w:hint="eastAsia"/>
          <w:color w:val="auto"/>
          <w:lang w:val="en-US" w:eastAsia="zh-CN"/>
        </w:rPr>
        <w:t>园地</w:t>
      </w:r>
      <w:r>
        <w:rPr>
          <w:color w:val="auto"/>
        </w:rPr>
        <w:t>，施工会改变原有土地性质，施工过程中可能会对周围的植被产生影响。本次工程施工期为</w:t>
      </w:r>
      <w:r>
        <w:rPr>
          <w:rFonts w:hint="eastAsia"/>
          <w:color w:val="auto"/>
          <w:lang w:val="en-US" w:eastAsia="zh-CN"/>
        </w:rPr>
        <w:t>6</w:t>
      </w:r>
      <w:r>
        <w:rPr>
          <w:color w:val="auto"/>
        </w:rPr>
        <w:t>个月，在此期间进行基础施工及局部场地平整将会造成一定程度的水土流失，主要体现在：</w:t>
      </w:r>
    </w:p>
    <w:p>
      <w:pPr>
        <w:ind w:firstLine="480"/>
        <w:rPr>
          <w:color w:val="auto"/>
        </w:rPr>
      </w:pPr>
      <w:r>
        <w:rPr>
          <w:color w:val="auto"/>
        </w:rPr>
        <w:t>（1）裸露地表：项目在施工建设中的基础开挖及施工车辆的频繁往来将不可避免地损坏原土地的自然地貌和地表植被，使地表土壤裸露，造成水土流失。这种土壤侵蚀和水土流失现象尤其是在强降水季节变得更为突出。</w:t>
      </w:r>
    </w:p>
    <w:p>
      <w:pPr>
        <w:ind w:firstLine="480"/>
        <w:rPr>
          <w:color w:val="auto"/>
        </w:rPr>
      </w:pPr>
      <w:r>
        <w:rPr>
          <w:color w:val="auto"/>
        </w:rPr>
        <w:t>（2）施工过程中的挖填方临时土堆：项目施工会产生开挖与填方，中间过程会产生土方的临时堆存，土堆的斜坡坡面通常不能进行碾压处理，土质疏松，容易造成水土流失。</w:t>
      </w:r>
    </w:p>
    <w:p>
      <w:pPr>
        <w:ind w:firstLine="480"/>
        <w:rPr>
          <w:color w:val="auto"/>
        </w:rPr>
      </w:pPr>
      <w:r>
        <w:rPr>
          <w:color w:val="auto"/>
        </w:rPr>
        <w:t>（3）由于占用大量土地将减少区域农作物产量及生物量。在项目建设期间，地表裸露、挖填方、机械碾轧等都会加大水土流失量。</w:t>
      </w:r>
    </w:p>
    <w:p>
      <w:pPr>
        <w:ind w:firstLine="482"/>
        <w:rPr>
          <w:b/>
          <w:color w:val="auto"/>
        </w:rPr>
      </w:pPr>
      <w:r>
        <w:rPr>
          <w:b/>
          <w:color w:val="auto"/>
        </w:rPr>
        <w:t>防治措施：</w:t>
      </w:r>
    </w:p>
    <w:p>
      <w:pPr>
        <w:ind w:firstLine="480"/>
        <w:rPr>
          <w:color w:val="auto"/>
        </w:rPr>
      </w:pPr>
      <w:r>
        <w:rPr>
          <w:color w:val="auto"/>
        </w:rPr>
        <w:t>针对本项目的实际情况，要求采取以下生态减缓补偿措施、水土流失保持措施。施工前做好土石方平衡，严格控制施工线路，施工范围，避免对施工区外的生态环境造成破坏，减少土石方的开挖。</w:t>
      </w:r>
    </w:p>
    <w:p>
      <w:pPr>
        <w:ind w:firstLine="480"/>
        <w:rPr>
          <w:color w:val="auto"/>
        </w:rPr>
      </w:pPr>
      <w:r>
        <w:rPr>
          <w:rFonts w:hint="eastAsia" w:ascii="宋体" w:hAnsi="宋体" w:cs="宋体"/>
          <w:color w:val="auto"/>
        </w:rPr>
        <w:t>①</w:t>
      </w:r>
      <w:r>
        <w:rPr>
          <w:color w:val="auto"/>
        </w:rPr>
        <w:t>建设所需物料堆放在场区，可减少对土地的占用，减少对生态的影响；砂石料运输途中，应防止石料抛洒路面造成新的水土流失。</w:t>
      </w:r>
    </w:p>
    <w:p>
      <w:pPr>
        <w:ind w:firstLine="480"/>
        <w:rPr>
          <w:color w:val="auto"/>
        </w:rPr>
      </w:pPr>
      <w:r>
        <w:rPr>
          <w:rFonts w:hint="eastAsia" w:ascii="宋体" w:hAnsi="宋体" w:cs="宋体"/>
          <w:color w:val="auto"/>
        </w:rPr>
        <w:t>②</w:t>
      </w:r>
      <w:r>
        <w:rPr>
          <w:color w:val="auto"/>
        </w:rPr>
        <w:t>禁止建筑垃圾乱堆乱放，占压施工场地以外土地。在加快施工进度的前提下，施工完毕后进行覆土绿化，破坏的植被进行及时恢复，不会对生态环境造成明显影响。</w:t>
      </w:r>
    </w:p>
    <w:p>
      <w:pPr>
        <w:ind w:firstLine="480"/>
        <w:rPr>
          <w:color w:val="auto"/>
        </w:rPr>
      </w:pPr>
      <w:r>
        <w:rPr>
          <w:rFonts w:hint="eastAsia" w:ascii="宋体" w:hAnsi="宋体" w:cs="宋体"/>
          <w:color w:val="auto"/>
        </w:rPr>
        <w:t>③</w:t>
      </w:r>
      <w:r>
        <w:rPr>
          <w:color w:val="auto"/>
        </w:rPr>
        <w:t>项目施工场地内及时做好排水导流工作，完善排水设施，筑好排水沟，有效汇集水流，减轻水流对裸露地表的冲刷。</w:t>
      </w:r>
    </w:p>
    <w:p>
      <w:pPr>
        <w:ind w:firstLine="480"/>
        <w:rPr>
          <w:color w:val="auto"/>
        </w:rPr>
      </w:pPr>
      <w:r>
        <w:rPr>
          <w:rFonts w:hint="eastAsia" w:ascii="宋体" w:hAnsi="宋体" w:cs="宋体"/>
          <w:color w:val="auto"/>
        </w:rPr>
        <w:t>④</w:t>
      </w:r>
      <w:r>
        <w:rPr>
          <w:color w:val="auto"/>
        </w:rPr>
        <w:t>项目应合理安排施工时间，尽量将土石方开挖期避开大规模的降雨天气，并尽量缩短挖方时间，尽量在雨季到来之前完成挖方工程。</w:t>
      </w:r>
    </w:p>
    <w:p>
      <w:pPr>
        <w:ind w:firstLine="480"/>
        <w:rPr>
          <w:color w:val="auto"/>
        </w:rPr>
      </w:pPr>
      <w:r>
        <w:rPr>
          <w:rFonts w:hint="eastAsia" w:ascii="宋体" w:hAnsi="宋体" w:cs="宋体"/>
          <w:color w:val="auto"/>
        </w:rPr>
        <w:t>⑤</w:t>
      </w:r>
      <w:r>
        <w:rPr>
          <w:color w:val="auto"/>
        </w:rPr>
        <w:t>项目施工过程中，应尽量做到挖填同步、挖填平衡，剥离土石方就地消化为填土石方。对开挖的土壤分层堆放，分层回填，以保护植被生长层，恢复土壤生产力。</w:t>
      </w:r>
    </w:p>
    <w:p>
      <w:pPr>
        <w:ind w:firstLine="480"/>
        <w:rPr>
          <w:color w:val="auto"/>
        </w:rPr>
      </w:pPr>
      <w:r>
        <w:rPr>
          <w:rFonts w:hint="eastAsia" w:ascii="宋体" w:hAnsi="宋体" w:cs="宋体"/>
          <w:color w:val="auto"/>
        </w:rPr>
        <w:t>⑥</w:t>
      </w:r>
      <w:r>
        <w:rPr>
          <w:color w:val="auto"/>
        </w:rPr>
        <w:t>项目施工结束后，应及时对场地进行平整和复原；按照要求及时铺好草皮及植树绿化工作，以保护当地的天然生态环境。</w:t>
      </w:r>
    </w:p>
    <w:p>
      <w:pPr>
        <w:pStyle w:val="7"/>
        <w:numPr>
          <w:ilvl w:val="0"/>
          <w:numId w:val="0"/>
        </w:numPr>
        <w:bidi w:val="0"/>
        <w:ind w:leftChars="0"/>
        <w:rPr>
          <w:color w:val="auto"/>
        </w:rPr>
      </w:pPr>
      <w:bookmarkStart w:id="131" w:name="_Toc27458"/>
      <w:bookmarkStart w:id="132" w:name="_Toc436035676"/>
      <w:r>
        <w:rPr>
          <w:rFonts w:hint="eastAsia"/>
          <w:color w:val="auto"/>
          <w:lang w:val="en-US" w:eastAsia="zh-CN"/>
        </w:rPr>
        <w:t>3.6</w:t>
      </w:r>
      <w:r>
        <w:rPr>
          <w:color w:val="auto"/>
        </w:rPr>
        <w:t>运营期工程分析</w:t>
      </w:r>
      <w:bookmarkEnd w:id="131"/>
      <w:bookmarkEnd w:id="132"/>
    </w:p>
    <w:p>
      <w:pPr>
        <w:ind w:firstLine="480"/>
        <w:rPr>
          <w:color w:val="auto"/>
        </w:rPr>
      </w:pPr>
      <w:r>
        <w:rPr>
          <w:color w:val="auto"/>
        </w:rPr>
        <w:t>本项目采用集约化养殖方式进行</w:t>
      </w:r>
      <w:r>
        <w:rPr>
          <w:rFonts w:hint="eastAsia"/>
          <w:color w:val="auto"/>
          <w:lang w:val="en-US" w:eastAsia="zh-CN"/>
        </w:rPr>
        <w:t>育肥猪</w:t>
      </w:r>
      <w:r>
        <w:rPr>
          <w:color w:val="auto"/>
        </w:rPr>
        <w:t>饲养，项目场区分为生产区、生活区、</w:t>
      </w:r>
      <w:r>
        <w:rPr>
          <w:rFonts w:hint="eastAsia"/>
          <w:color w:val="auto"/>
        </w:rPr>
        <w:t>治污区</w:t>
      </w:r>
      <w:r>
        <w:rPr>
          <w:color w:val="auto"/>
        </w:rPr>
        <w:t>（</w:t>
      </w:r>
      <w:r>
        <w:rPr>
          <w:rFonts w:hint="eastAsia"/>
          <w:color w:val="auto"/>
        </w:rPr>
        <w:t>沼气池、沼液暂存池、干粪堆场</w:t>
      </w:r>
      <w:r>
        <w:rPr>
          <w:rFonts w:hint="eastAsia"/>
          <w:color w:val="auto"/>
          <w:lang w:eastAsia="zh-CN"/>
        </w:rPr>
        <w:t>）</w:t>
      </w:r>
      <w:r>
        <w:rPr>
          <w:color w:val="auto"/>
        </w:rPr>
        <w:t>三个主要功能区块。</w:t>
      </w:r>
    </w:p>
    <w:p>
      <w:pPr>
        <w:pStyle w:val="8"/>
        <w:numPr>
          <w:ilvl w:val="0"/>
          <w:numId w:val="0"/>
        </w:numPr>
        <w:tabs>
          <w:tab w:val="clear" w:pos="0"/>
        </w:tabs>
        <w:ind w:leftChars="0"/>
        <w:rPr>
          <w:rFonts w:eastAsia="黑体"/>
          <w:color w:val="auto"/>
          <w:sz w:val="28"/>
          <w:szCs w:val="28"/>
        </w:rPr>
      </w:pPr>
      <w:r>
        <w:rPr>
          <w:rFonts w:hint="eastAsia"/>
          <w:color w:val="auto"/>
          <w:sz w:val="28"/>
          <w:szCs w:val="28"/>
          <w:lang w:val="en-US" w:eastAsia="zh-CN"/>
        </w:rPr>
        <w:t>3.6.1</w:t>
      </w:r>
      <w:r>
        <w:rPr>
          <w:rFonts w:eastAsia="黑体"/>
          <w:color w:val="auto"/>
          <w:sz w:val="28"/>
          <w:szCs w:val="28"/>
        </w:rPr>
        <w:t>运营期工艺流程</w:t>
      </w:r>
    </w:p>
    <w:p>
      <w:pPr>
        <w:pStyle w:val="9"/>
        <w:numPr>
          <w:ilvl w:val="0"/>
          <w:numId w:val="0"/>
        </w:numPr>
        <w:spacing w:before="120" w:beforeLines="50"/>
        <w:ind w:leftChars="0"/>
        <w:rPr>
          <w:color w:val="auto"/>
        </w:rPr>
      </w:pPr>
      <w:r>
        <w:rPr>
          <w:rFonts w:hint="eastAsia"/>
          <w:color w:val="auto"/>
          <w:lang w:val="en-US" w:eastAsia="zh-CN"/>
        </w:rPr>
        <w:t>3.6.1.1</w:t>
      </w:r>
      <w:r>
        <w:rPr>
          <w:color w:val="auto"/>
        </w:rPr>
        <w:t>养殖工艺流程分析</w:t>
      </w:r>
    </w:p>
    <w:p>
      <w:pPr>
        <w:ind w:firstLine="480"/>
        <w:jc w:val="both"/>
        <w:rPr>
          <w:rFonts w:hint="eastAsia"/>
          <w:color w:val="auto"/>
          <w:lang w:val="en-US" w:eastAsia="zh-CN"/>
        </w:rPr>
      </w:pPr>
      <w:r>
        <w:rPr>
          <w:rFonts w:hint="eastAsia" w:ascii="Times New Roman"/>
          <w:color w:val="auto"/>
          <w:sz w:val="24"/>
          <w:szCs w:val="24"/>
          <w:u w:val="none"/>
        </w:rPr>
        <w:t>项目为育肥猪养殖，计划年出栏量育肥猪14000 头，与</w:t>
      </w:r>
      <w:r>
        <w:rPr>
          <w:rFonts w:hint="eastAsia" w:ascii="Arial" w:hAnsi="Arial" w:eastAsia="宋体" w:cs="Arial"/>
          <w:i w:val="0"/>
          <w:caps w:val="0"/>
          <w:color w:val="auto"/>
          <w:spacing w:val="0"/>
          <w:sz w:val="24"/>
          <w:szCs w:val="24"/>
          <w:shd w:val="clear" w:color="auto" w:fill="FFFFFF"/>
        </w:rPr>
        <w:t>铁骑力士集团</w:t>
      </w:r>
      <w:r>
        <w:rPr>
          <w:rFonts w:hint="eastAsia" w:ascii="Times New Roman"/>
          <w:color w:val="auto"/>
          <w:sz w:val="24"/>
          <w:szCs w:val="24"/>
          <w:u w:val="none"/>
        </w:rPr>
        <w:t>进行合作，采取托养方式养殖育肥猪。由</w:t>
      </w:r>
      <w:r>
        <w:rPr>
          <w:rFonts w:hint="eastAsia" w:ascii="Arial" w:hAnsi="Arial" w:eastAsia="宋体" w:cs="Arial"/>
          <w:i w:val="0"/>
          <w:caps w:val="0"/>
          <w:color w:val="auto"/>
          <w:spacing w:val="0"/>
          <w:sz w:val="24"/>
          <w:szCs w:val="24"/>
          <w:shd w:val="clear" w:color="auto" w:fill="FFFFFF"/>
        </w:rPr>
        <w:t>铁骑力士集团</w:t>
      </w:r>
      <w:r>
        <w:rPr>
          <w:rFonts w:hint="eastAsia" w:ascii="Times New Roman"/>
          <w:color w:val="auto"/>
          <w:sz w:val="24"/>
          <w:szCs w:val="24"/>
          <w:u w:val="none"/>
        </w:rPr>
        <w:t>提供猪仔、饲料疫苗及技术支持等，保育</w:t>
      </w:r>
      <w:r>
        <w:rPr>
          <w:rFonts w:hint="eastAsia" w:ascii="Times New Roman"/>
          <w:color w:val="auto"/>
          <w:sz w:val="24"/>
          <w:szCs w:val="24"/>
          <w:u w:val="none"/>
          <w:lang w:val="en-US" w:eastAsia="zh-CN"/>
        </w:rPr>
        <w:t>猪</w:t>
      </w:r>
      <w:r>
        <w:rPr>
          <w:rFonts w:hint="eastAsia" w:ascii="Times New Roman"/>
          <w:color w:val="auto"/>
          <w:sz w:val="24"/>
          <w:szCs w:val="24"/>
          <w:u w:val="none"/>
        </w:rPr>
        <w:t>6.5~7.5kg 时进场，在本项目养殖场内进行养殖育肥，场内养殖周期约</w:t>
      </w:r>
      <w:r>
        <w:rPr>
          <w:rFonts w:hint="eastAsia" w:ascii="Times New Roman"/>
          <w:color w:val="auto"/>
          <w:sz w:val="24"/>
          <w:szCs w:val="24"/>
          <w:u w:val="none"/>
          <w:lang w:val="en-US" w:eastAsia="zh-CN"/>
        </w:rPr>
        <w:t>6</w:t>
      </w:r>
      <w:r>
        <w:rPr>
          <w:rFonts w:hint="eastAsia" w:ascii="Times New Roman"/>
          <w:color w:val="auto"/>
          <w:sz w:val="24"/>
          <w:szCs w:val="24"/>
          <w:u w:val="none"/>
        </w:rPr>
        <w:t>个月（</w:t>
      </w:r>
      <w:r>
        <w:rPr>
          <w:rFonts w:hint="eastAsia" w:ascii="Times New Roman"/>
          <w:color w:val="auto"/>
          <w:sz w:val="24"/>
          <w:szCs w:val="24"/>
          <w:u w:val="none"/>
          <w:lang w:val="en-US" w:eastAsia="zh-CN"/>
        </w:rPr>
        <w:t>175-180</w:t>
      </w:r>
      <w:r>
        <w:rPr>
          <w:rFonts w:hint="eastAsia" w:ascii="Times New Roman"/>
          <w:color w:val="auto"/>
          <w:sz w:val="24"/>
          <w:szCs w:val="24"/>
          <w:u w:val="none"/>
        </w:rPr>
        <w:t>天</w:t>
      </w:r>
      <w:r>
        <w:rPr>
          <w:rFonts w:hint="eastAsia" w:ascii="Times New Roman"/>
          <w:color w:val="auto"/>
          <w:sz w:val="24"/>
          <w:szCs w:val="24"/>
          <w:u w:val="none"/>
          <w:lang w:eastAsia="zh-CN"/>
        </w:rPr>
        <w:t>，</w:t>
      </w:r>
      <w:r>
        <w:rPr>
          <w:rFonts w:hint="eastAsia" w:ascii="Times New Roman"/>
          <w:color w:val="auto"/>
          <w:sz w:val="24"/>
          <w:szCs w:val="24"/>
          <w:u w:val="none"/>
          <w:lang w:val="en-US" w:eastAsia="zh-CN"/>
        </w:rPr>
        <w:t>本项目以180天计</w:t>
      </w:r>
      <w:r>
        <w:rPr>
          <w:rFonts w:hint="eastAsia" w:ascii="Times New Roman"/>
          <w:color w:val="auto"/>
          <w:sz w:val="24"/>
          <w:szCs w:val="24"/>
          <w:u w:val="none"/>
        </w:rPr>
        <w:t>），养殖至 130kg/只~150kg/只后再由该铁骑力士集团收购外售。 每年出栏两批次，间隔时间用于圈舍空置消毒。</w:t>
      </w:r>
      <w:r>
        <w:rPr>
          <w:rFonts w:hint="eastAsia"/>
          <w:color w:val="auto"/>
          <w:lang w:val="en-US" w:eastAsia="zh-CN"/>
        </w:rPr>
        <w:t>本项目营运期养殖工艺流程及产污环节见下图所示。</w:t>
      </w:r>
    </w:p>
    <w:p>
      <w:pPr>
        <w:pStyle w:val="265"/>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color w:val="auto"/>
          <w:lang w:val="en-US" w:eastAsia="zh-CN"/>
        </w:rPr>
      </w:pPr>
      <w:r>
        <w:rPr>
          <w:rFonts w:hint="eastAsia"/>
          <w:color w:val="auto"/>
          <w:lang w:val="en-US" w:eastAsia="zh-CN"/>
        </w:rPr>
        <w:object>
          <v:shape id="_x0000_i1091" o:spt="75" type="#_x0000_t75" style="height:160.6pt;width:487.05pt;" o:ole="t" filled="f" o:preferrelative="t" stroked="f" coordsize="21600,21600">
            <v:path/>
            <v:fill on="f" focussize="0,0"/>
            <v:stroke on="f"/>
            <v:imagedata r:id="rId36" o:title=""/>
            <o:lock v:ext="edit" aspectratio="f"/>
            <w10:wrap type="none"/>
            <w10:anchorlock/>
          </v:shape>
          <o:OLEObject Type="Embed" ProgID="Visio.Drawing.11" ShapeID="_x0000_i1091" DrawAspect="Content" ObjectID="_1468075727" r:id="rId35">
            <o:LockedField>false</o:LockedField>
          </o:OLEObject>
        </w:object>
      </w:r>
    </w:p>
    <w:p>
      <w:pPr>
        <w:pStyle w:val="2"/>
        <w:keepNext w:val="0"/>
        <w:keepLines w:val="0"/>
        <w:pageBreakBefore w:val="0"/>
        <w:widowControl w:val="0"/>
        <w:kinsoku/>
        <w:wordWrap/>
        <w:overflowPunct/>
        <w:topLinePunct w:val="0"/>
        <w:autoSpaceDE/>
        <w:autoSpaceDN/>
        <w:bidi w:val="0"/>
        <w:adjustRightInd/>
        <w:snapToGrid w:val="0"/>
        <w:spacing w:after="157" w:afterLines="50" w:line="240" w:lineRule="auto"/>
        <w:ind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w:t>
      </w:r>
      <w:r>
        <w:rPr>
          <w:rFonts w:hint="eastAsia" w:ascii="Times New Roman" w:hAnsi="Times New Roman" w:cs="Times New Roman"/>
          <w:b/>
          <w:bCs/>
          <w:color w:val="auto"/>
          <w:sz w:val="21"/>
          <w:szCs w:val="21"/>
          <w:lang w:val="en-US" w:eastAsia="zh-CN"/>
        </w:rPr>
        <w:t>3</w:t>
      </w:r>
      <w:r>
        <w:rPr>
          <w:rFonts w:hint="default" w:ascii="Times New Roman" w:hAnsi="Times New Roman" w:cs="Times New Roman"/>
          <w:b/>
          <w:bCs/>
          <w:color w:val="auto"/>
          <w:sz w:val="21"/>
          <w:szCs w:val="21"/>
          <w:lang w:val="en-US" w:eastAsia="zh-CN"/>
        </w:rPr>
        <w:t>.</w:t>
      </w:r>
      <w:r>
        <w:rPr>
          <w:rFonts w:hint="eastAsia" w:cs="Times New Roman"/>
          <w:b/>
          <w:bCs/>
          <w:color w:val="auto"/>
          <w:sz w:val="21"/>
          <w:szCs w:val="21"/>
          <w:lang w:val="en-US" w:eastAsia="zh-CN"/>
        </w:rPr>
        <w:t>6</w:t>
      </w:r>
      <w:r>
        <w:rPr>
          <w:rFonts w:hint="default" w:ascii="Times New Roman" w:hAnsi="Times New Roman"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1</w:t>
      </w:r>
      <w:r>
        <w:rPr>
          <w:rFonts w:hint="eastAsia" w:cs="Times New Roman"/>
          <w:b/>
          <w:bCs/>
          <w:color w:val="auto"/>
          <w:sz w:val="21"/>
          <w:szCs w:val="21"/>
          <w:lang w:val="en-US" w:eastAsia="zh-CN"/>
        </w:rPr>
        <w:t xml:space="preserve"> </w:t>
      </w:r>
      <w:r>
        <w:rPr>
          <w:rFonts w:hint="default" w:ascii="Times New Roman" w:hAnsi="Times New Roman" w:cs="Times New Roman"/>
          <w:b/>
          <w:bCs/>
          <w:color w:val="auto"/>
          <w:sz w:val="21"/>
          <w:szCs w:val="21"/>
          <w:lang w:val="en-US" w:eastAsia="zh-CN"/>
        </w:rPr>
        <w:t>项目</w:t>
      </w:r>
      <w:r>
        <w:rPr>
          <w:rFonts w:hint="eastAsia" w:ascii="Times New Roman" w:hAnsi="Times New Roman" w:cs="Times New Roman"/>
          <w:b/>
          <w:bCs/>
          <w:color w:val="auto"/>
          <w:sz w:val="21"/>
          <w:szCs w:val="21"/>
          <w:lang w:val="en-US" w:eastAsia="zh-CN"/>
        </w:rPr>
        <w:t>运营期</w:t>
      </w:r>
      <w:r>
        <w:rPr>
          <w:rFonts w:hint="default" w:ascii="Times New Roman" w:hAnsi="Times New Roman" w:cs="Times New Roman"/>
          <w:b/>
          <w:bCs/>
          <w:color w:val="auto"/>
          <w:sz w:val="21"/>
          <w:szCs w:val="21"/>
          <w:lang w:val="en-US" w:eastAsia="zh-CN"/>
        </w:rPr>
        <w:t>工艺流程及产污位置节点图</w:t>
      </w:r>
    </w:p>
    <w:p>
      <w:pPr>
        <w:keepNext w:val="0"/>
        <w:keepLines w:val="0"/>
        <w:pageBreakBefore w:val="0"/>
        <w:widowControl w:val="0"/>
        <w:kinsoku/>
        <w:wordWrap/>
        <w:overflowPunct/>
        <w:topLinePunct w:val="0"/>
        <w:autoSpaceDE/>
        <w:autoSpaceDN/>
        <w:bidi w:val="0"/>
        <w:adjustRightInd/>
        <w:snapToGrid/>
        <w:ind w:firstLine="480"/>
        <w:jc w:val="both"/>
        <w:textAlignment w:val="auto"/>
        <w:outlineLvl w:val="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采用饲料塔存料，机械自动喂料。由铁骑力士集团提供外加工好的饲料成品运送至总料塔，在通过管道送料至各猪舍外储料塔。饲料加水进入各圈舍的自动送料系统，送入饲料槽，生猪每天的进食量根据不同生长期定时、定量喂养。</w:t>
      </w:r>
    </w:p>
    <w:p>
      <w:pPr>
        <w:pStyle w:val="50"/>
        <w:ind w:left="0" w:leftChars="0" w:firstLine="480" w:firstLineChars="200"/>
        <w:rPr>
          <w:rFonts w:ascii="Times New Roman" w:hAnsi="Times New Roman"/>
          <w:color w:val="auto"/>
          <w:lang w:val="zh-CN"/>
        </w:rPr>
      </w:pPr>
      <w:r>
        <w:rPr>
          <w:rFonts w:ascii="Times New Roman" w:hAnsi="Times New Roman"/>
          <w:color w:val="auto"/>
          <w:lang w:val="zh-CN"/>
        </w:rPr>
        <w:t>在整个</w:t>
      </w:r>
      <w:r>
        <w:rPr>
          <w:rFonts w:hint="eastAsia" w:ascii="Times New Roman" w:hAnsi="Times New Roman"/>
          <w:color w:val="auto"/>
          <w:lang w:val="en-US" w:eastAsia="zh-CN"/>
        </w:rPr>
        <w:t>饲养</w:t>
      </w:r>
      <w:r>
        <w:rPr>
          <w:rFonts w:ascii="Times New Roman" w:hAnsi="Times New Roman"/>
          <w:color w:val="auto"/>
          <w:lang w:val="zh-CN"/>
        </w:rPr>
        <w:t>过程中产生的废气主要为恶臭气体——NH</w:t>
      </w:r>
      <w:r>
        <w:rPr>
          <w:rFonts w:ascii="Times New Roman" w:hAnsi="Times New Roman"/>
          <w:color w:val="auto"/>
          <w:vertAlign w:val="subscript"/>
          <w:lang w:val="zh-CN"/>
        </w:rPr>
        <w:t>3</w:t>
      </w:r>
      <w:r>
        <w:rPr>
          <w:rFonts w:ascii="Times New Roman" w:hAnsi="Times New Roman"/>
          <w:color w:val="auto"/>
          <w:lang w:val="zh-CN"/>
        </w:rPr>
        <w:t>、H</w:t>
      </w:r>
      <w:r>
        <w:rPr>
          <w:rFonts w:ascii="Times New Roman" w:hAnsi="Times New Roman"/>
          <w:color w:val="auto"/>
          <w:vertAlign w:val="subscript"/>
          <w:lang w:val="zh-CN"/>
        </w:rPr>
        <w:t>2</w:t>
      </w:r>
      <w:r>
        <w:rPr>
          <w:rFonts w:ascii="Times New Roman" w:hAnsi="Times New Roman"/>
          <w:color w:val="auto"/>
          <w:lang w:val="zh-CN"/>
        </w:rPr>
        <w:t>S；废水主要为猪身、圈舍及各类器具清洗废水、猪尿；噪声主要为猪叫声和机械设备运行噪声；固废主要为猪粪、因不同原因死亡的病死猪以及注射疫苗等产生的医疗垃圾。</w:t>
      </w:r>
    </w:p>
    <w:p>
      <w:pPr>
        <w:pStyle w:val="50"/>
        <w:ind w:left="0" w:leftChars="0" w:firstLine="0" w:firstLineChars="0"/>
        <w:rPr>
          <w:b/>
          <w:color w:val="auto"/>
        </w:rPr>
      </w:pPr>
      <w:r>
        <w:rPr>
          <w:b/>
          <w:color w:val="auto"/>
        </w:rPr>
        <w:t>1、养殖工艺流程简述：</w:t>
      </w:r>
    </w:p>
    <w:p>
      <w:pPr>
        <w:ind w:firstLine="480"/>
        <w:rPr>
          <w:color w:val="auto"/>
        </w:rPr>
      </w:pPr>
      <w:r>
        <w:rPr>
          <w:color w:val="auto"/>
        </w:rPr>
        <w:t>（1）饲养工艺说明</w:t>
      </w:r>
    </w:p>
    <w:p>
      <w:pPr>
        <w:numPr>
          <w:ilvl w:val="0"/>
          <w:numId w:val="5"/>
        </w:numPr>
        <w:ind w:left="0" w:leftChars="0" w:firstLine="425" w:firstLineChars="0"/>
        <w:rPr>
          <w:color w:val="auto"/>
        </w:rPr>
      </w:pPr>
      <w:r>
        <w:rPr>
          <w:color w:val="auto"/>
        </w:rPr>
        <w:t>上料系统</w:t>
      </w:r>
    </w:p>
    <w:p>
      <w:pPr>
        <w:ind w:firstLine="480"/>
        <w:rPr>
          <w:color w:val="auto"/>
        </w:rPr>
      </w:pPr>
      <w:r>
        <w:rPr>
          <w:color w:val="auto"/>
        </w:rPr>
        <w:t>项目均采用自动喂料系统——全自动配送上料系统和限位猪槽，机械化操作，定时定量供应饲料，保证生猪饮食需求，同时减少浪费，节约人力和饲料用量，降低生产成本。</w:t>
      </w:r>
      <w:r>
        <w:rPr>
          <w:color w:val="auto"/>
          <w:lang w:val="zh-CN"/>
        </w:rPr>
        <w:t>本项目饲养过程中的饲料均外购，不进行饲料生产加工。</w:t>
      </w:r>
    </w:p>
    <w:p>
      <w:pPr>
        <w:numPr>
          <w:ilvl w:val="0"/>
          <w:numId w:val="5"/>
        </w:numPr>
        <w:ind w:left="0" w:leftChars="0" w:firstLine="400" w:firstLineChars="0"/>
        <w:rPr>
          <w:color w:val="auto"/>
        </w:rPr>
      </w:pPr>
      <w:r>
        <w:rPr>
          <w:color w:val="auto"/>
        </w:rPr>
        <w:t>饮水系统</w:t>
      </w:r>
    </w:p>
    <w:p>
      <w:pPr>
        <w:ind w:firstLine="480"/>
        <w:rPr>
          <w:color w:val="auto"/>
        </w:rPr>
      </w:pPr>
      <w:r>
        <w:rPr>
          <w:color w:val="auto"/>
        </w:rPr>
        <w:t>项目采用先进的节水饮水器，饮水器底部槽体液面始终保持在2cm的液面高度，在此液面高度时，饮水器与外界空气形成负压，当生猪喝水时，饮水器与空气接触，内部压力大于外部压力，水自动地从管内流出直至液面高度在2cm时饮水器自动停止供水。能保证生猪随时饮用新鲜水，同时避免不必要的浪费，节约水资源。</w:t>
      </w:r>
    </w:p>
    <w:p>
      <w:pPr>
        <w:numPr>
          <w:ilvl w:val="0"/>
          <w:numId w:val="5"/>
        </w:numPr>
        <w:ind w:left="0" w:leftChars="0" w:firstLine="400" w:firstLineChars="0"/>
        <w:rPr>
          <w:color w:val="auto"/>
        </w:rPr>
      </w:pPr>
      <w:r>
        <w:rPr>
          <w:rFonts w:hint="eastAsia"/>
          <w:color w:val="auto"/>
        </w:rPr>
        <w:t>控温</w:t>
      </w:r>
      <w:r>
        <w:rPr>
          <w:color w:val="auto"/>
        </w:rPr>
        <w:t>系统</w:t>
      </w:r>
    </w:p>
    <w:p>
      <w:pPr>
        <w:ind w:firstLine="480"/>
        <w:rPr>
          <w:color w:val="auto"/>
        </w:rPr>
      </w:pPr>
      <w:r>
        <w:rPr>
          <w:color w:val="auto"/>
        </w:rPr>
        <w:t>冬季保温：主要是通过猪舍墙体保温材料与外部断绝交换，同时通过保温灯</w:t>
      </w:r>
      <w:r>
        <w:rPr>
          <w:rFonts w:hint="eastAsia"/>
          <w:color w:val="auto"/>
        </w:rPr>
        <w:t>、加热板</w:t>
      </w:r>
      <w:r>
        <w:rPr>
          <w:color w:val="auto"/>
        </w:rPr>
        <w:t>供热，其猪舍内安装电子温度计，温度计显示器安装在猪舍门口便于工作人员观察处，工作人员定期巡查，实时观测舍内温度。当猪舍内温度接近或低于限定温度时，自动开启保温灯进行加温。猪舍内部通风通过全热交换器进行，实施最小通风量，既保证猪需要的氧气量，又保证单元内有害气体不超标，防止过度通风降低单元温度。</w:t>
      </w:r>
    </w:p>
    <w:p>
      <w:pPr>
        <w:ind w:firstLine="480"/>
        <w:rPr>
          <w:color w:val="auto"/>
        </w:rPr>
      </w:pPr>
      <w:r>
        <w:rPr>
          <w:color w:val="auto"/>
        </w:rPr>
        <w:t>夏季降温：采用水帘风机，水帘降温系统由水帘、循环水路、抽风机和温度控制装置组成。水帘用波纹状纤维纸粘结而成，在制作的原料中添加了不会随水流、气流的作用而分解的特殊化学成分，具有耐腐蚀、使用时间长等特点。在封闭式的猪舍内，一端的水泵将蓄水池中的水送至喷水管，把水喷向反水板，水均匀地从反水板上流下淋湿整个水帘，水在水槽和水帘间循环，从而保证空气与完全湿透的水帘表面接触。另一端安装负压风机向外排风，猪舍内形成负压区，舍外空气穿过水帘被吸入舍内，带着猪舍内的热量经风机排出室外，从而达到降温的目的。</w:t>
      </w:r>
    </w:p>
    <w:p>
      <w:pPr>
        <w:pStyle w:val="95"/>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outlineLvl w:val="9"/>
        <w:rPr>
          <w:color w:val="auto"/>
        </w:rPr>
      </w:pPr>
      <w:r>
        <w:rPr>
          <w:color w:val="auto"/>
        </w:rPr>
        <w:drawing>
          <wp:inline distT="0" distB="0" distL="114300" distR="114300">
            <wp:extent cx="3116580" cy="1772285"/>
            <wp:effectExtent l="0" t="0" r="7620" b="18415"/>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37"/>
                    <a:srcRect l="7909" t="9906" r="13956"/>
                    <a:stretch>
                      <a:fillRect/>
                    </a:stretch>
                  </pic:blipFill>
                  <pic:spPr>
                    <a:xfrm>
                      <a:off x="0" y="0"/>
                      <a:ext cx="3116580" cy="1772285"/>
                    </a:xfrm>
                    <a:prstGeom prst="rect">
                      <a:avLst/>
                    </a:prstGeom>
                    <a:noFill/>
                    <a:ln>
                      <a:noFill/>
                    </a:ln>
                  </pic:spPr>
                </pic:pic>
              </a:graphicData>
            </a:graphic>
          </wp:inline>
        </w:drawing>
      </w:r>
    </w:p>
    <w:p>
      <w:pPr>
        <w:pStyle w:val="95"/>
        <w:keepNext w:val="0"/>
        <w:keepLines w:val="0"/>
        <w:pageBreakBefore w:val="0"/>
        <w:widowControl w:val="0"/>
        <w:kinsoku/>
        <w:wordWrap/>
        <w:overflowPunct/>
        <w:topLinePunct w:val="0"/>
        <w:autoSpaceDE w:val="0"/>
        <w:autoSpaceDN w:val="0"/>
        <w:bidi w:val="0"/>
        <w:adjustRightInd w:val="0"/>
        <w:snapToGrid/>
        <w:spacing w:after="157" w:afterLines="50"/>
        <w:jc w:val="center"/>
        <w:textAlignment w:val="auto"/>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w:t>
      </w:r>
      <w:r>
        <w:rPr>
          <w:rFonts w:hint="eastAsia" w:ascii="Times New Roman" w:cs="Times New Roman"/>
          <w:b/>
          <w:bCs/>
          <w:color w:val="auto"/>
          <w:sz w:val="21"/>
          <w:szCs w:val="21"/>
          <w:lang w:val="en-US" w:eastAsia="zh-CN"/>
        </w:rPr>
        <w:t>3</w:t>
      </w:r>
      <w:r>
        <w:rPr>
          <w:rFonts w:hint="default" w:ascii="Times New Roman" w:hAnsi="Times New Roman"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6</w:t>
      </w:r>
      <w:r>
        <w:rPr>
          <w:rFonts w:hint="default" w:ascii="Times New Roman" w:hAnsi="Times New Roman" w:cs="Times New Roman"/>
          <w:b/>
          <w:bCs/>
          <w:color w:val="auto"/>
          <w:sz w:val="21"/>
          <w:szCs w:val="21"/>
          <w:lang w:val="en-US" w:eastAsia="zh-CN"/>
        </w:rPr>
        <w:t>-</w:t>
      </w:r>
      <w:r>
        <w:rPr>
          <w:rFonts w:hint="eastAsia" w:ascii="Times New Roman" w:cs="Times New Roman"/>
          <w:b/>
          <w:bCs/>
          <w:color w:val="auto"/>
          <w:sz w:val="21"/>
          <w:szCs w:val="21"/>
          <w:lang w:val="en-US" w:eastAsia="zh-CN"/>
        </w:rPr>
        <w:t>2</w:t>
      </w:r>
      <w:r>
        <w:rPr>
          <w:rFonts w:hint="eastAsia" w:ascii="Times New Roman" w:hAnsi="Times New Roman" w:cs="Times New Roman"/>
          <w:b/>
          <w:bCs/>
          <w:color w:val="auto"/>
          <w:sz w:val="21"/>
          <w:szCs w:val="21"/>
          <w:lang w:val="en-US" w:eastAsia="zh-CN"/>
        </w:rPr>
        <w:t xml:space="preserve"> </w:t>
      </w:r>
      <w:r>
        <w:rPr>
          <w:rFonts w:hint="default" w:ascii="Times New Roman" w:hAnsi="Times New Roman" w:cs="Times New Roman"/>
          <w:b/>
          <w:bCs/>
          <w:color w:val="auto"/>
          <w:sz w:val="21"/>
          <w:szCs w:val="21"/>
          <w:lang w:val="en-US" w:eastAsia="zh-CN"/>
        </w:rPr>
        <w:t>水帘降温系统示意图</w:t>
      </w:r>
    </w:p>
    <w:p>
      <w:pPr>
        <w:numPr>
          <w:ilvl w:val="0"/>
          <w:numId w:val="5"/>
        </w:numPr>
        <w:ind w:left="0" w:leftChars="0" w:firstLine="400" w:firstLineChars="0"/>
        <w:rPr>
          <w:rFonts w:hint="eastAsia"/>
          <w:color w:val="auto"/>
        </w:rPr>
      </w:pPr>
      <w:r>
        <w:rPr>
          <w:color w:val="auto"/>
        </w:rPr>
        <w:t>消毒</w:t>
      </w:r>
      <w:r>
        <w:rPr>
          <w:rFonts w:hint="eastAsia"/>
          <w:color w:val="auto"/>
        </w:rPr>
        <w:t>防疫</w:t>
      </w:r>
    </w:p>
    <w:p>
      <w:pPr>
        <w:ind w:firstLine="480"/>
        <w:rPr>
          <w:color w:val="auto"/>
        </w:rPr>
      </w:pPr>
      <w:r>
        <w:rPr>
          <w:rFonts w:hint="eastAsia"/>
          <w:color w:val="auto"/>
        </w:rPr>
        <w:t>1）消毒</w:t>
      </w:r>
    </w:p>
    <w:p>
      <w:pPr>
        <w:ind w:firstLine="480"/>
        <w:rPr>
          <w:color w:val="auto"/>
        </w:rPr>
      </w:pPr>
      <w:r>
        <w:rPr>
          <w:color w:val="auto"/>
        </w:rPr>
        <w:t>本项目实施严格的兽医卫生消毒、防疫程序，保证猪群健康。所有与外界接触的进出口均设有消毒池，运送饲料的车辆进入时先经消毒池消毒再用高压水龙头清洗消毒。所有工作人员进场时必须从小门进入并在消毒通道内使用超声波雾化机雾化消毒3分钟，消毒后在门卫室登记。需进入生产区的工作人员必须在生活区隔离，隔离后在浴室洗澡，更换成工作服、工作鞋帽，从浴室直接进入生产区。</w:t>
      </w:r>
      <w:r>
        <w:rPr>
          <w:rFonts w:hint="eastAsia"/>
          <w:color w:val="auto"/>
          <w:lang w:val="en-US" w:eastAsia="zh-CN"/>
        </w:rPr>
        <w:t>猪</w:t>
      </w:r>
      <w:r>
        <w:rPr>
          <w:color w:val="auto"/>
        </w:rPr>
        <w:t>舍以及所使用的物品、设备等均采用消毒剂进行消毒（消毒剂为</w:t>
      </w:r>
      <w:r>
        <w:rPr>
          <w:rFonts w:hint="eastAsia"/>
          <w:color w:val="auto"/>
        </w:rPr>
        <w:t>戊二醛</w:t>
      </w:r>
      <w:r>
        <w:rPr>
          <w:color w:val="auto"/>
        </w:rPr>
        <w:t>）。</w:t>
      </w:r>
    </w:p>
    <w:p>
      <w:pPr>
        <w:ind w:firstLine="480"/>
        <w:rPr>
          <w:color w:val="auto"/>
        </w:rPr>
      </w:pPr>
      <w:r>
        <w:rPr>
          <w:rFonts w:hint="eastAsia"/>
          <w:color w:val="auto"/>
        </w:rPr>
        <w:t>2）防疫</w:t>
      </w:r>
    </w:p>
    <w:p>
      <w:pPr>
        <w:ind w:firstLine="480"/>
        <w:rPr>
          <w:rFonts w:hint="eastAsia"/>
          <w:color w:val="auto"/>
        </w:rPr>
      </w:pPr>
      <w:r>
        <w:rPr>
          <w:rFonts w:hint="eastAsia"/>
          <w:color w:val="auto"/>
        </w:rPr>
        <w:t>①保健及疾病的预防工作</w:t>
      </w:r>
    </w:p>
    <w:p>
      <w:pPr>
        <w:ind w:firstLine="480"/>
        <w:rPr>
          <w:rFonts w:hint="eastAsia"/>
          <w:color w:val="auto"/>
        </w:rPr>
      </w:pPr>
      <w:r>
        <w:rPr>
          <w:rFonts w:hint="eastAsia"/>
          <w:color w:val="auto"/>
        </w:rPr>
        <w:t>坚持每天对全场猪群进行全面检查，了解猪群的基本情况，发现问题及时处理上报。定期对生长猪进行体内外驱虫工作。定期采血检疫，除日常详细记录整个猪群的基本情况，发现可疑病例及时送病料检验外，每年应在猪群中按一定比例采血进行各种疫病的检测普查工作，并定期进行粪便寄生虫卵检查，同时做好资料的收集、登录、分析工作。做好不同阶段病猪的剖检工作，随时掌握本场疫病的动态。坚持定期进行水质检查和对饲料进行微生物学和毒物学检查，看其是否含有沙门氏菌、霉菌毒素等有害物质。及时淘汰治疗效果不佳的病猪和僵猪，防治疫病的可能传播。</w:t>
      </w:r>
    </w:p>
    <w:p>
      <w:pPr>
        <w:ind w:firstLine="480"/>
        <w:rPr>
          <w:rFonts w:hint="eastAsia"/>
          <w:color w:val="auto"/>
        </w:rPr>
      </w:pPr>
      <w:r>
        <w:rPr>
          <w:rFonts w:hint="eastAsia"/>
          <w:color w:val="auto"/>
        </w:rPr>
        <w:t>②发生疫情的应急措施及无害化处理</w:t>
      </w:r>
    </w:p>
    <w:p>
      <w:pPr>
        <w:ind w:firstLine="480"/>
        <w:rPr>
          <w:color w:val="auto"/>
        </w:rPr>
      </w:pPr>
      <w:r>
        <w:rPr>
          <w:rFonts w:hint="eastAsia"/>
          <w:color w:val="auto"/>
        </w:rPr>
        <w:t>a.猪群出现传染病或疑似传染病时，应立即隔离全面彻底消毒迅速向公司报告，制定应急措施并严格执行。</w:t>
      </w:r>
    </w:p>
    <w:p>
      <w:pPr>
        <w:ind w:firstLine="480"/>
        <w:rPr>
          <w:rFonts w:hint="eastAsia"/>
          <w:color w:val="auto"/>
        </w:rPr>
      </w:pPr>
      <w:r>
        <w:rPr>
          <w:rFonts w:hint="eastAsia"/>
          <w:color w:val="auto"/>
        </w:rPr>
        <w:t>b.结合疫病的具体情况，消毒工作，对病猪进行隔离；同时加强猪群的护理工作，必要时可在饲料中添加适当的抗生素以提高猪群抵抗力和防治并发其他疾病。</w:t>
      </w:r>
    </w:p>
    <w:p>
      <w:pPr>
        <w:ind w:firstLine="480"/>
        <w:rPr>
          <w:rFonts w:hint="eastAsia"/>
          <w:color w:val="auto"/>
        </w:rPr>
      </w:pPr>
      <w:r>
        <w:rPr>
          <w:rFonts w:hint="eastAsia"/>
          <w:color w:val="auto"/>
        </w:rPr>
        <w:t>c.做好紧急接种工作，紧急免疫接种应按先健康群、后可疑群，由外向里的顺序进行紧急接种，接种量应加倍，并严格做到每注射一头换一针头。并将使用多的针头和药瓶经过高温消毒后进一步处理。</w:t>
      </w:r>
    </w:p>
    <w:p>
      <w:pPr>
        <w:ind w:firstLine="480"/>
        <w:rPr>
          <w:rFonts w:hint="eastAsia"/>
          <w:color w:val="auto"/>
        </w:rPr>
      </w:pPr>
      <w:r>
        <w:rPr>
          <w:rFonts w:hint="eastAsia"/>
          <w:color w:val="auto"/>
        </w:rPr>
        <w:t>d.如果猪只死亡是因为传染性疾病，企业应按照《中华人民共和国动物防疫法》及时上报至上级部门进行检查处理，并由上级部门制定处理方案。</w:t>
      </w:r>
    </w:p>
    <w:p>
      <w:pPr>
        <w:ind w:firstLine="480"/>
        <w:rPr>
          <w:rFonts w:hint="eastAsia"/>
          <w:color w:val="auto"/>
        </w:rPr>
      </w:pPr>
      <w:r>
        <w:rPr>
          <w:rFonts w:hint="eastAsia"/>
          <w:color w:val="auto"/>
        </w:rPr>
        <w:t>e.做好灭鼠、灭蚊蝇等工作，避免病原向外扩散。</w:t>
      </w:r>
    </w:p>
    <w:p>
      <w:pPr>
        <w:ind w:firstLine="480"/>
        <w:rPr>
          <w:rFonts w:hint="eastAsia"/>
          <w:color w:val="auto"/>
        </w:rPr>
      </w:pPr>
      <w:r>
        <w:rPr>
          <w:rFonts w:hint="eastAsia"/>
          <w:color w:val="auto"/>
        </w:rPr>
        <w:t>f.采集病料并妥善保存，及时送检，送检病料应按该种传染病性质、种类作特殊处理，防治病原污染。</w:t>
      </w:r>
    </w:p>
    <w:p>
      <w:pPr>
        <w:pStyle w:val="265"/>
        <w:rPr>
          <w:rFonts w:hint="eastAsia"/>
          <w:color w:val="auto"/>
        </w:rPr>
      </w:pPr>
      <w:r>
        <w:rPr>
          <w:rFonts w:hint="eastAsia"/>
          <w:color w:val="auto"/>
        </w:rPr>
        <w:t>g.最后一头病猪痊愈或处理完毕，经过一段时间封锁后，不再出现新发病的，发病场所可用生石灰加碱水反复涮洗消毒（2</w:t>
      </w:r>
      <w:r>
        <w:rPr>
          <w:color w:val="auto"/>
        </w:rPr>
        <w:t>-</w:t>
      </w:r>
      <w:r>
        <w:rPr>
          <w:rFonts w:hint="eastAsia"/>
          <w:color w:val="auto"/>
        </w:rPr>
        <w:t>3次以上），并经一定时间空舍后，才能恢复生产。</w:t>
      </w:r>
    </w:p>
    <w:p>
      <w:pPr>
        <w:pStyle w:val="265"/>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h.病死猪处理：本项目运营过程中会不定期产生病死猪，病死猪产生后及时通知并交由</w:t>
      </w:r>
      <w:r>
        <w:rPr>
          <w:rFonts w:hint="eastAsia" w:cs="Times New Roman"/>
          <w:color w:val="auto"/>
          <w:lang w:val="en-US" w:eastAsia="zh-CN"/>
        </w:rPr>
        <w:t>资质单位</w:t>
      </w:r>
      <w:r>
        <w:rPr>
          <w:rFonts w:hint="eastAsia" w:ascii="Times New Roman" w:hAnsi="Times New Roman" w:eastAsia="宋体" w:cs="Times New Roman"/>
          <w:color w:val="auto"/>
          <w:lang w:val="en-US" w:eastAsia="zh-CN"/>
        </w:rPr>
        <w:t>进行</w:t>
      </w:r>
      <w:r>
        <w:rPr>
          <w:rFonts w:hint="eastAsia" w:cs="Times New Roman"/>
          <w:color w:val="auto"/>
          <w:lang w:val="en-US" w:eastAsia="zh-CN"/>
        </w:rPr>
        <w:t>无害化</w:t>
      </w:r>
      <w:r>
        <w:rPr>
          <w:rFonts w:hint="eastAsia" w:ascii="Times New Roman" w:hAnsi="Times New Roman" w:eastAsia="宋体" w:cs="Times New Roman"/>
          <w:color w:val="auto"/>
          <w:lang w:val="en-US" w:eastAsia="zh-CN"/>
        </w:rPr>
        <w:t>处理。要求项目病死猪的收集、暂存、转移等环节应建有台账和记录。</w:t>
      </w:r>
    </w:p>
    <w:p>
      <w:pPr>
        <w:pStyle w:val="9"/>
        <w:numPr>
          <w:ilvl w:val="0"/>
          <w:numId w:val="0"/>
        </w:numPr>
        <w:ind w:leftChars="0"/>
        <w:rPr>
          <w:color w:val="auto"/>
        </w:rPr>
      </w:pPr>
      <w:r>
        <w:rPr>
          <w:rFonts w:hint="eastAsia"/>
          <w:color w:val="auto"/>
          <w:lang w:val="en-US" w:eastAsia="zh-CN"/>
        </w:rPr>
        <w:t>3.6.1.2</w:t>
      </w:r>
      <w:r>
        <w:rPr>
          <w:color w:val="auto"/>
        </w:rPr>
        <w:t>污染治理工艺流程分析</w:t>
      </w:r>
    </w:p>
    <w:p>
      <w:pPr>
        <w:ind w:firstLine="482"/>
        <w:rPr>
          <w:b/>
          <w:color w:val="auto"/>
        </w:rPr>
      </w:pPr>
      <w:r>
        <w:rPr>
          <w:b/>
          <w:color w:val="auto"/>
        </w:rPr>
        <w:t>1、</w:t>
      </w:r>
      <w:r>
        <w:rPr>
          <w:rFonts w:hint="eastAsia"/>
          <w:b/>
          <w:color w:val="auto"/>
        </w:rPr>
        <w:t>清粪工艺过程及产污</w:t>
      </w:r>
    </w:p>
    <w:p>
      <w:pPr>
        <w:adjustRightInd w:val="0"/>
        <w:snapToGrid w:val="0"/>
        <w:ind w:firstLine="480"/>
        <w:rPr>
          <w:bCs/>
          <w:color w:val="auto"/>
        </w:rPr>
      </w:pPr>
      <w:r>
        <w:rPr>
          <w:rFonts w:hint="eastAsia"/>
          <w:bCs/>
          <w:color w:val="auto"/>
        </w:rPr>
        <w:t>生猪饲养过程中，猪生活在漏缝地板上，猪舍内产生猪粪由于猪踩踏及重力作用离开猪舍进入猪舍底部集污池，</w:t>
      </w:r>
      <w:r>
        <w:rPr>
          <w:rFonts w:hint="eastAsia"/>
          <w:bCs/>
          <w:color w:val="auto"/>
          <w:lang w:val="en-US" w:eastAsia="zh-CN"/>
        </w:rPr>
        <w:t>集污池</w:t>
      </w:r>
      <w:r>
        <w:rPr>
          <w:rFonts w:hint="eastAsia"/>
          <w:bCs/>
          <w:color w:val="auto"/>
        </w:rPr>
        <w:t>底部设计成倾斜结构，</w:t>
      </w:r>
      <w:r>
        <w:rPr>
          <w:rFonts w:hint="eastAsia"/>
          <w:bCs/>
          <w:color w:val="auto"/>
          <w:lang w:val="en-US" w:eastAsia="zh-CN"/>
        </w:rPr>
        <w:t>猪粪尿</w:t>
      </w:r>
      <w:r>
        <w:rPr>
          <w:rFonts w:hint="eastAsia"/>
          <w:bCs/>
          <w:color w:val="auto"/>
        </w:rPr>
        <w:t>利用全自动机械刮板进行清</w:t>
      </w:r>
      <w:r>
        <w:rPr>
          <w:rFonts w:hint="eastAsia"/>
          <w:bCs/>
          <w:color w:val="auto"/>
          <w:lang w:val="en-US" w:eastAsia="zh-CN"/>
        </w:rPr>
        <w:t>除</w:t>
      </w:r>
      <w:r>
        <w:rPr>
          <w:rFonts w:hint="eastAsia"/>
          <w:bCs/>
          <w:color w:val="auto"/>
        </w:rPr>
        <w:t>，由进入污水处理系统干湿分离段进行干湿分离。干湿分离后的干物质外售堆肥厂进行堆肥发酵做有机肥基料，液体进入黑膜沼气池厌氧发酵，沼气用于食堂做饭，多余的火炬燃烧。</w:t>
      </w:r>
    </w:p>
    <w:p>
      <w:pPr>
        <w:adjustRightInd w:val="0"/>
        <w:snapToGrid w:val="0"/>
        <w:ind w:firstLine="480"/>
        <w:rPr>
          <w:bCs/>
          <w:color w:val="auto"/>
        </w:rPr>
      </w:pPr>
      <w:r>
        <w:rPr>
          <w:rFonts w:hint="eastAsia"/>
          <w:bCs/>
          <w:color w:val="auto"/>
        </w:rPr>
        <w:t>清粪工艺示意图见图3.</w:t>
      </w:r>
      <w:r>
        <w:rPr>
          <w:rFonts w:hint="eastAsia"/>
          <w:bCs/>
          <w:color w:val="auto"/>
          <w:lang w:val="en-US" w:eastAsia="zh-CN"/>
        </w:rPr>
        <w:t>6</w:t>
      </w:r>
      <w:r>
        <w:rPr>
          <w:rFonts w:hint="eastAsia"/>
          <w:bCs/>
          <w:color w:val="auto"/>
        </w:rPr>
        <w:t>-</w:t>
      </w:r>
      <w:r>
        <w:rPr>
          <w:rFonts w:hint="eastAsia"/>
          <w:bCs/>
          <w:color w:val="auto"/>
          <w:lang w:val="en-US" w:eastAsia="zh-CN"/>
        </w:rPr>
        <w:t>3</w:t>
      </w:r>
      <w:r>
        <w:rPr>
          <w:rFonts w:hint="eastAsia"/>
          <w:bCs/>
          <w:color w:val="auto"/>
        </w:rPr>
        <w:t>所示。</w:t>
      </w:r>
    </w:p>
    <w:p>
      <w:pPr>
        <w:adjustRightInd w:val="0"/>
        <w:snapToGrid w:val="0"/>
        <w:spacing w:line="240" w:lineRule="auto"/>
        <w:ind w:firstLine="0" w:firstLineChars="0"/>
        <w:jc w:val="center"/>
        <w:rPr>
          <w:rFonts w:hint="eastAsia" w:eastAsia="宋体"/>
          <w:bCs/>
          <w:color w:val="auto"/>
          <w:lang w:eastAsia="zh-CN"/>
        </w:rPr>
      </w:pPr>
      <w:r>
        <w:rPr>
          <w:rFonts w:hint="eastAsia" w:eastAsia="宋体"/>
          <w:bCs/>
          <w:color w:val="auto"/>
          <w:lang w:eastAsia="zh-CN"/>
        </w:rPr>
        <w:drawing>
          <wp:inline distT="0" distB="0" distL="114300" distR="114300">
            <wp:extent cx="5362575" cy="2371725"/>
            <wp:effectExtent l="0" t="0" r="9525" b="9525"/>
            <wp:docPr id="19" name="图片 72" descr="B3MJ6ZYNXG}`PF4N@FZJ1M7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2" descr="B3MJ6ZYNXG}`PF4N@FZJ1M7_副本"/>
                    <pic:cNvPicPr>
                      <a:picLocks noChangeAspect="1"/>
                    </pic:cNvPicPr>
                  </pic:nvPicPr>
                  <pic:blipFill>
                    <a:blip r:embed="rId38"/>
                    <a:stretch>
                      <a:fillRect/>
                    </a:stretch>
                  </pic:blipFill>
                  <pic:spPr>
                    <a:xfrm>
                      <a:off x="0" y="0"/>
                      <a:ext cx="5362575" cy="2371725"/>
                    </a:xfrm>
                    <a:prstGeom prst="rect">
                      <a:avLst/>
                    </a:prstGeom>
                    <a:noFill/>
                    <a:ln>
                      <a:noFill/>
                    </a:ln>
                  </pic:spPr>
                </pic:pic>
              </a:graphicData>
            </a:graphic>
          </wp:inline>
        </w:drawing>
      </w:r>
    </w:p>
    <w:p>
      <w:pPr>
        <w:adjustRightInd w:val="0"/>
        <w:snapToGrid w:val="0"/>
        <w:spacing w:before="120" w:beforeLines="50"/>
        <w:ind w:firstLine="0" w:firstLineChars="0"/>
        <w:jc w:val="center"/>
        <w:rPr>
          <w:b/>
          <w:color w:val="auto"/>
          <w:sz w:val="21"/>
          <w:szCs w:val="21"/>
        </w:rPr>
      </w:pPr>
      <w:r>
        <w:rPr>
          <w:rFonts w:hint="eastAsia"/>
          <w:b/>
          <w:color w:val="auto"/>
          <w:sz w:val="21"/>
          <w:szCs w:val="21"/>
        </w:rPr>
        <w:t>图3.</w:t>
      </w:r>
      <w:r>
        <w:rPr>
          <w:rFonts w:hint="eastAsia"/>
          <w:b/>
          <w:color w:val="auto"/>
          <w:sz w:val="21"/>
          <w:szCs w:val="21"/>
          <w:lang w:val="en-US" w:eastAsia="zh-CN"/>
        </w:rPr>
        <w:t>6</w:t>
      </w:r>
      <w:r>
        <w:rPr>
          <w:rFonts w:hint="eastAsia"/>
          <w:b/>
          <w:color w:val="auto"/>
          <w:sz w:val="21"/>
          <w:szCs w:val="21"/>
        </w:rPr>
        <w:t>-</w:t>
      </w:r>
      <w:r>
        <w:rPr>
          <w:rFonts w:hint="eastAsia"/>
          <w:b/>
          <w:color w:val="auto"/>
          <w:sz w:val="21"/>
          <w:szCs w:val="21"/>
          <w:lang w:val="en-US" w:eastAsia="zh-CN"/>
        </w:rPr>
        <w:t xml:space="preserve">3 </w:t>
      </w:r>
      <w:r>
        <w:rPr>
          <w:rFonts w:hint="eastAsia"/>
          <w:b/>
          <w:color w:val="auto"/>
          <w:sz w:val="21"/>
          <w:szCs w:val="21"/>
        </w:rPr>
        <w:t>本项目清粪工艺示意图</w:t>
      </w:r>
    </w:p>
    <w:p>
      <w:pPr>
        <w:ind w:firstLine="480"/>
        <w:rPr>
          <w:bCs/>
          <w:color w:val="auto"/>
        </w:rPr>
      </w:pPr>
      <w:r>
        <w:rPr>
          <w:bCs/>
          <w:color w:val="auto"/>
        </w:rPr>
        <w:t>2015年3月24日环保部文件-环办函【2015】10号，明确指出：“不将清水用于圈舍粪尿日常清理，粪尿产生即依靠重力离开猪舍进入储存池，大大减少了粪污产生量，并实现粪尿及时清理；粪污离开储存池即进行干湿分离和无害化并全部实现综合利用，没有混合排出。我部认为该清粪工艺具备干清粪工艺基本特征，符合相关技术规范的要求。”本项目清粪工艺与环保部复函的对比详见下表。</w:t>
      </w:r>
    </w:p>
    <w:p>
      <w:pPr>
        <w:spacing w:line="240" w:lineRule="auto"/>
        <w:ind w:firstLine="0" w:firstLineChars="0"/>
        <w:jc w:val="center"/>
        <w:rPr>
          <w:b/>
          <w:color w:val="auto"/>
          <w:sz w:val="21"/>
          <w:szCs w:val="21"/>
        </w:rPr>
      </w:pPr>
      <w:r>
        <w:rPr>
          <w:b/>
          <w:color w:val="auto"/>
          <w:sz w:val="21"/>
          <w:szCs w:val="21"/>
        </w:rPr>
        <w:t>表3.5-</w:t>
      </w:r>
      <w:r>
        <w:rPr>
          <w:rFonts w:hint="eastAsia"/>
          <w:b/>
          <w:color w:val="auto"/>
          <w:sz w:val="21"/>
          <w:szCs w:val="21"/>
          <w:lang w:val="en-US" w:eastAsia="zh-CN"/>
        </w:rPr>
        <w:t>5</w:t>
      </w:r>
      <w:r>
        <w:rPr>
          <w:rFonts w:hint="eastAsia"/>
          <w:b/>
          <w:color w:val="auto"/>
          <w:sz w:val="21"/>
          <w:szCs w:val="21"/>
          <w:lang w:val="en-US" w:eastAsia="zh-CN"/>
        </w:rPr>
        <w:t xml:space="preserve"> </w:t>
      </w:r>
      <w:r>
        <w:rPr>
          <w:b/>
          <w:color w:val="auto"/>
          <w:sz w:val="21"/>
          <w:szCs w:val="21"/>
        </w:rPr>
        <w:t>本项目清粪工艺与环保部复函的对比表</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632"/>
        <w:gridCol w:w="537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blHeader/>
        </w:trPr>
        <w:tc>
          <w:tcPr>
            <w:tcW w:w="3632" w:type="dxa"/>
            <w:noWrap w:val="0"/>
            <w:vAlign w:val="center"/>
          </w:tcPr>
          <w:p>
            <w:pPr>
              <w:spacing w:line="240" w:lineRule="auto"/>
              <w:ind w:firstLine="0" w:firstLineChars="0"/>
              <w:jc w:val="center"/>
              <w:rPr>
                <w:b/>
                <w:color w:val="auto"/>
                <w:sz w:val="20"/>
                <w:szCs w:val="20"/>
              </w:rPr>
            </w:pPr>
            <w:r>
              <w:rPr>
                <w:b/>
                <w:color w:val="auto"/>
                <w:sz w:val="20"/>
                <w:szCs w:val="20"/>
              </w:rPr>
              <w:t>环保部复函</w:t>
            </w:r>
          </w:p>
        </w:tc>
        <w:tc>
          <w:tcPr>
            <w:tcW w:w="5371" w:type="dxa"/>
            <w:noWrap w:val="0"/>
            <w:vAlign w:val="center"/>
          </w:tcPr>
          <w:p>
            <w:pPr>
              <w:spacing w:line="240" w:lineRule="auto"/>
              <w:ind w:firstLine="0" w:firstLineChars="0"/>
              <w:jc w:val="center"/>
              <w:rPr>
                <w:b/>
                <w:color w:val="auto"/>
                <w:sz w:val="20"/>
                <w:szCs w:val="20"/>
              </w:rPr>
            </w:pPr>
            <w:r>
              <w:rPr>
                <w:b/>
                <w:color w:val="auto"/>
                <w:sz w:val="20"/>
                <w:szCs w:val="20"/>
              </w:rPr>
              <w:t>本项目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632" w:type="dxa"/>
            <w:noWrap w:val="0"/>
            <w:vAlign w:val="center"/>
          </w:tcPr>
          <w:p>
            <w:pPr>
              <w:spacing w:line="240" w:lineRule="auto"/>
              <w:ind w:firstLine="0" w:firstLineChars="0"/>
              <w:jc w:val="left"/>
              <w:rPr>
                <w:bCs/>
                <w:color w:val="auto"/>
                <w:sz w:val="20"/>
                <w:szCs w:val="20"/>
              </w:rPr>
            </w:pPr>
            <w:r>
              <w:rPr>
                <w:rFonts w:hint="eastAsia"/>
                <w:bCs/>
                <w:color w:val="auto"/>
                <w:sz w:val="20"/>
                <w:szCs w:val="20"/>
              </w:rPr>
              <w:t>不将清水用于圈舍粪尿日常清理，粪尿产生即依靠重力离开猪舍进入储存池，大大减少了粪污产生量，并实现粪尿及时清理；</w:t>
            </w:r>
          </w:p>
        </w:tc>
        <w:tc>
          <w:tcPr>
            <w:tcW w:w="5371" w:type="dxa"/>
            <w:noWrap w:val="0"/>
            <w:vAlign w:val="center"/>
          </w:tcPr>
          <w:p>
            <w:pPr>
              <w:spacing w:line="240" w:lineRule="auto"/>
              <w:ind w:firstLine="0" w:firstLineChars="0"/>
              <w:jc w:val="center"/>
              <w:rPr>
                <w:bCs/>
                <w:color w:val="auto"/>
                <w:sz w:val="20"/>
                <w:szCs w:val="20"/>
              </w:rPr>
            </w:pPr>
            <w:r>
              <w:rPr>
                <w:bCs/>
                <w:color w:val="auto"/>
                <w:sz w:val="20"/>
                <w:szCs w:val="20"/>
              </w:rPr>
              <w:t>本项目日常清理不用水，仅依靠重力作用使粪尿从漏缝地板进入猪舍下面的</w:t>
            </w:r>
            <w:r>
              <w:rPr>
                <w:rFonts w:hint="eastAsia"/>
                <w:bCs/>
                <w:color w:val="auto"/>
                <w:sz w:val="20"/>
                <w:szCs w:val="20"/>
              </w:rPr>
              <w:t>集污池</w:t>
            </w:r>
            <w:r>
              <w:rPr>
                <w:bCs/>
                <w:color w:val="auto"/>
                <w:sz w:val="20"/>
                <w:szCs w:val="20"/>
              </w:rPr>
              <w:t>，并依靠</w:t>
            </w:r>
            <w:r>
              <w:rPr>
                <w:rFonts w:hint="eastAsia"/>
                <w:bCs/>
                <w:color w:val="auto"/>
                <w:sz w:val="20"/>
                <w:szCs w:val="20"/>
                <w:lang w:val="en-US" w:eastAsia="zh-CN"/>
              </w:rPr>
              <w:t>刮板和</w:t>
            </w:r>
            <w:r>
              <w:rPr>
                <w:bCs/>
                <w:color w:val="auto"/>
                <w:sz w:val="20"/>
                <w:szCs w:val="20"/>
              </w:rPr>
              <w:t>重力流至</w:t>
            </w:r>
            <w:r>
              <w:rPr>
                <w:rFonts w:hint="eastAsia"/>
                <w:bCs/>
                <w:color w:val="auto"/>
                <w:sz w:val="20"/>
                <w:szCs w:val="20"/>
                <w:lang w:val="en-US" w:eastAsia="zh-CN"/>
              </w:rPr>
              <w:t>收集</w:t>
            </w:r>
            <w:r>
              <w:rPr>
                <w:bCs/>
                <w:color w:val="auto"/>
                <w:sz w:val="20"/>
                <w:szCs w:val="20"/>
              </w:rPr>
              <w:t>池，只在转栏时进行集中消毒清理</w:t>
            </w:r>
            <w:r>
              <w:rPr>
                <w:rFonts w:hint="eastAsia"/>
                <w:bCs/>
                <w:color w:val="auto"/>
                <w:sz w:val="20"/>
                <w:szCs w:val="20"/>
              </w:rPr>
              <w:t>，大大减少了粪污产生量。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632" w:type="dxa"/>
            <w:noWrap w:val="0"/>
            <w:vAlign w:val="center"/>
          </w:tcPr>
          <w:p>
            <w:pPr>
              <w:spacing w:line="240" w:lineRule="auto"/>
              <w:ind w:firstLine="0" w:firstLineChars="0"/>
              <w:jc w:val="left"/>
              <w:rPr>
                <w:bCs/>
                <w:color w:val="auto"/>
                <w:sz w:val="20"/>
                <w:szCs w:val="20"/>
              </w:rPr>
            </w:pPr>
            <w:r>
              <w:rPr>
                <w:rFonts w:hint="eastAsia"/>
                <w:bCs/>
                <w:color w:val="auto"/>
                <w:sz w:val="20"/>
                <w:szCs w:val="20"/>
              </w:rPr>
              <w:t>粪污离开储存池即进行干湿分离和无害化并全部实现综合利用，没有混合排出。</w:t>
            </w:r>
          </w:p>
        </w:tc>
        <w:tc>
          <w:tcPr>
            <w:tcW w:w="5371" w:type="dxa"/>
            <w:noWrap w:val="0"/>
            <w:vAlign w:val="center"/>
          </w:tcPr>
          <w:p>
            <w:pPr>
              <w:spacing w:line="240" w:lineRule="auto"/>
              <w:ind w:firstLine="0" w:firstLineChars="0"/>
              <w:jc w:val="center"/>
              <w:rPr>
                <w:bCs/>
                <w:color w:val="auto"/>
                <w:sz w:val="20"/>
                <w:szCs w:val="20"/>
              </w:rPr>
            </w:pPr>
            <w:r>
              <w:rPr>
                <w:rFonts w:hint="eastAsia"/>
                <w:bCs/>
                <w:color w:val="auto"/>
                <w:sz w:val="20"/>
                <w:szCs w:val="20"/>
              </w:rPr>
              <w:t>本项目粪污水离开粪污储存池后即进行干湿分离和无害化处理，经干湿分离后的干物质外售堆肥厂进行堆肥发酵做有机肥基料，废水经厌氧发酵后沼液、沼渣综合利用，可以实现粪污离开粪池即进行干湿分离和无害化并全部实现综合利用，不混合排出。</w:t>
            </w:r>
          </w:p>
        </w:tc>
      </w:tr>
    </w:tbl>
    <w:p>
      <w:pPr>
        <w:spacing w:before="120" w:beforeLines="50"/>
        <w:ind w:firstLine="480"/>
        <w:rPr>
          <w:bCs/>
          <w:color w:val="auto"/>
        </w:rPr>
      </w:pPr>
      <w:r>
        <w:rPr>
          <w:rFonts w:hint="eastAsia"/>
          <w:bCs/>
          <w:color w:val="auto"/>
        </w:rPr>
        <w:t>综上，根据本项目清粪工艺属于干清粪工艺的一种。</w:t>
      </w:r>
    </w:p>
    <w:p>
      <w:pPr>
        <w:ind w:firstLine="480"/>
        <w:rPr>
          <w:rFonts w:hint="eastAsia"/>
          <w:bCs/>
          <w:color w:val="auto"/>
        </w:rPr>
      </w:pPr>
      <w:r>
        <w:rPr>
          <w:rFonts w:hint="eastAsia"/>
          <w:bCs/>
          <w:color w:val="auto"/>
        </w:rPr>
        <w:t>整个清粪系统不会额外产生废气、废水、固废，只会产生水泵噪声。</w:t>
      </w:r>
    </w:p>
    <w:p>
      <w:pPr>
        <w:adjustRightInd w:val="0"/>
        <w:snapToGrid w:val="0"/>
        <w:ind w:firstLine="482"/>
        <w:rPr>
          <w:b/>
          <w:color w:val="auto"/>
        </w:rPr>
      </w:pPr>
      <w:r>
        <w:rPr>
          <w:b/>
          <w:color w:val="auto"/>
        </w:rPr>
        <w:t>2、粪污水处理工艺流程</w:t>
      </w:r>
    </w:p>
    <w:p>
      <w:pPr>
        <w:pStyle w:val="16"/>
        <w:spacing w:line="360" w:lineRule="auto"/>
        <w:ind w:firstLine="480"/>
        <w:rPr>
          <w:rFonts w:hint="eastAsia" w:ascii="Times New Roman" w:hAnsi="Times New Roman"/>
          <w:color w:val="auto"/>
        </w:rPr>
      </w:pPr>
      <w:r>
        <w:rPr>
          <w:rFonts w:hint="eastAsia" w:ascii="Times New Roman" w:hAnsi="Times New Roman"/>
          <w:color w:val="auto"/>
        </w:rPr>
        <w:t>本工程粪污水处理工艺依照“种养结合”原则，设计结合《畜禽养殖业污染治理工程技术规范》（HJ497-2009）中模式Ⅱ和《四川省畜禽养殖污染防治技术指南》中的种养循环要求对污水进行处理。</w:t>
      </w:r>
    </w:p>
    <w:p>
      <w:pPr>
        <w:pStyle w:val="16"/>
        <w:spacing w:line="360" w:lineRule="auto"/>
        <w:ind w:firstLine="480"/>
        <w:rPr>
          <w:rFonts w:hint="eastAsia" w:ascii="Times New Roman" w:hAnsi="Times New Roman"/>
          <w:color w:val="auto"/>
        </w:rPr>
      </w:pPr>
      <w:r>
        <w:rPr>
          <w:rFonts w:hint="eastAsia" w:ascii="Times New Roman" w:hAnsi="Times New Roman"/>
          <w:color w:val="auto"/>
        </w:rPr>
        <w:t>食堂位于办公楼内，且用水量不大，食堂用水经隔油池处理进入项目污水处理系统进行处理。</w:t>
      </w:r>
    </w:p>
    <w:p>
      <w:pPr>
        <w:pStyle w:val="16"/>
        <w:spacing w:line="360" w:lineRule="auto"/>
        <w:ind w:firstLine="480"/>
        <w:rPr>
          <w:rFonts w:ascii="Times New Roman" w:hAnsi="Times New Roman"/>
          <w:color w:val="auto"/>
        </w:rPr>
      </w:pPr>
      <w:r>
        <w:rPr>
          <w:rFonts w:hint="eastAsia" w:ascii="Times New Roman" w:hAnsi="Times New Roman"/>
          <w:color w:val="auto"/>
        </w:rPr>
        <w:t>工艺流程简述：本项目采用“固液分离+厌氧发酵”工艺处理项目粪污水和职工生活污水。</w:t>
      </w:r>
    </w:p>
    <w:p>
      <w:pPr>
        <w:pStyle w:val="16"/>
        <w:spacing w:line="440" w:lineRule="exact"/>
        <w:ind w:firstLine="480"/>
        <w:rPr>
          <w:rFonts w:ascii="Times New Roman" w:hAnsi="Times New Roman"/>
          <w:color w:val="auto"/>
        </w:rPr>
      </w:pPr>
      <w:r>
        <w:rPr>
          <w:rFonts w:ascii="Times New Roman" w:hAnsi="Times New Roman"/>
          <w:color w:val="auto"/>
        </w:rPr>
        <w:t>项目</w:t>
      </w:r>
      <w:bookmarkStart w:id="133" w:name="_Hlk46334629"/>
      <w:r>
        <w:rPr>
          <w:rFonts w:ascii="Times New Roman" w:hAnsi="Times New Roman"/>
          <w:color w:val="auto"/>
        </w:rPr>
        <w:t>粪污水</w:t>
      </w:r>
      <w:bookmarkEnd w:id="133"/>
      <w:r>
        <w:rPr>
          <w:rFonts w:ascii="Times New Roman" w:hAnsi="Times New Roman"/>
          <w:color w:val="auto"/>
        </w:rPr>
        <w:t>处理工艺流程见图3.</w:t>
      </w:r>
      <w:r>
        <w:rPr>
          <w:rFonts w:hint="eastAsia" w:ascii="Times New Roman" w:hAnsi="Times New Roman"/>
          <w:color w:val="auto"/>
          <w:lang w:val="en-US" w:eastAsia="zh-CN"/>
        </w:rPr>
        <w:t>6</w:t>
      </w:r>
      <w:r>
        <w:rPr>
          <w:rFonts w:ascii="Times New Roman" w:hAnsi="Times New Roman"/>
          <w:color w:val="auto"/>
        </w:rPr>
        <w:t>-</w:t>
      </w:r>
      <w:r>
        <w:rPr>
          <w:rFonts w:hint="eastAsia" w:ascii="Times New Roman" w:hAnsi="Times New Roman"/>
          <w:color w:val="auto"/>
          <w:lang w:val="en-US" w:eastAsia="zh-CN"/>
        </w:rPr>
        <w:t>4</w:t>
      </w:r>
      <w:r>
        <w:rPr>
          <w:rFonts w:ascii="Times New Roman" w:hAnsi="Times New Roman"/>
          <w:color w:val="auto"/>
        </w:rPr>
        <w:t>。</w:t>
      </w:r>
    </w:p>
    <w:p>
      <w:pPr>
        <w:pStyle w:val="166"/>
        <w:spacing w:before="0" w:beforeLines="0" w:line="240" w:lineRule="auto"/>
        <w:rPr>
          <w:color w:val="auto"/>
        </w:rPr>
      </w:pPr>
    </w:p>
    <w:p>
      <w:pPr>
        <w:pStyle w:val="166"/>
        <w:spacing w:before="120" w:beforeLines="0" w:line="360" w:lineRule="auto"/>
        <w:rPr>
          <w:color w:val="auto"/>
        </w:rPr>
      </w:pPr>
      <w:r>
        <w:rPr>
          <w:color w:val="auto"/>
        </w:rPr>
        <w:object>
          <v:shape id="_x0000_i1099" o:spt="75" type="#_x0000_t75" style="height:303pt;width:349.25pt;" o:ole="t" filled="f" o:preferrelative="t" stroked="f" coordsize="21600,21600">
            <v:path/>
            <v:fill on="f" focussize="0,0"/>
            <v:stroke on="f"/>
            <v:imagedata r:id="rId40" o:title=""/>
            <o:lock v:ext="edit" aspectratio="f"/>
            <w10:wrap type="none"/>
            <w10:anchorlock/>
          </v:shape>
          <o:OLEObject Type="Embed" ProgID="Visio.Drawing.11" ShapeID="_x0000_i1099" DrawAspect="Content" ObjectID="_1468075728" r:id="rId39">
            <o:LockedField>false</o:LockedField>
          </o:OLEObject>
        </w:object>
      </w:r>
    </w:p>
    <w:p>
      <w:pPr>
        <w:pStyle w:val="166"/>
        <w:spacing w:before="120" w:beforeLines="0" w:line="360" w:lineRule="auto"/>
        <w:rPr>
          <w:color w:val="auto"/>
        </w:rPr>
      </w:pPr>
      <w:r>
        <w:rPr>
          <w:color w:val="auto"/>
        </w:rPr>
        <w:t>图3.</w:t>
      </w:r>
      <w:r>
        <w:rPr>
          <w:rFonts w:hint="eastAsia"/>
          <w:color w:val="auto"/>
          <w:lang w:val="en-US" w:eastAsia="zh-CN"/>
        </w:rPr>
        <w:t>6</w:t>
      </w:r>
      <w:r>
        <w:rPr>
          <w:color w:val="auto"/>
        </w:rPr>
        <w:t>-</w:t>
      </w:r>
      <w:r>
        <w:rPr>
          <w:rFonts w:hint="eastAsia"/>
          <w:color w:val="auto"/>
          <w:lang w:val="en-US" w:eastAsia="zh-CN"/>
        </w:rPr>
        <w:t xml:space="preserve">4 </w:t>
      </w:r>
      <w:r>
        <w:rPr>
          <w:color w:val="auto"/>
        </w:rPr>
        <w:t>项目粪污水处理工艺流程图</w:t>
      </w:r>
    </w:p>
    <w:p>
      <w:pPr>
        <w:pStyle w:val="16"/>
        <w:spacing w:line="360" w:lineRule="auto"/>
        <w:ind w:firstLine="482"/>
        <w:rPr>
          <w:rFonts w:ascii="Times New Roman" w:hAnsi="Times New Roman"/>
          <w:b/>
          <w:color w:val="auto"/>
        </w:rPr>
      </w:pPr>
      <w:r>
        <w:rPr>
          <w:rFonts w:ascii="Times New Roman" w:hAnsi="Times New Roman"/>
          <w:b/>
          <w:color w:val="auto"/>
        </w:rPr>
        <w:t>工艺流程详细说明：</w:t>
      </w:r>
    </w:p>
    <w:p>
      <w:pPr>
        <w:ind w:firstLine="480"/>
        <w:rPr>
          <w:b/>
          <w:bCs/>
          <w:color w:val="auto"/>
        </w:rPr>
      </w:pPr>
      <w:r>
        <w:rPr>
          <w:rFonts w:hint="eastAsia"/>
          <w:b/>
          <w:bCs/>
          <w:color w:val="auto"/>
        </w:rPr>
        <w:t>（1）隔油池</w:t>
      </w:r>
    </w:p>
    <w:p>
      <w:pPr>
        <w:ind w:firstLine="480"/>
        <w:rPr>
          <w:color w:val="auto"/>
        </w:rPr>
      </w:pPr>
      <w:r>
        <w:rPr>
          <w:rFonts w:hint="eastAsia"/>
          <w:color w:val="auto"/>
        </w:rPr>
        <w:t>隔油池能有效处理餐饮废水中的动植物油。</w:t>
      </w:r>
    </w:p>
    <w:p>
      <w:pPr>
        <w:ind w:firstLine="480"/>
        <w:rPr>
          <w:b/>
          <w:bCs/>
          <w:color w:val="auto"/>
        </w:rPr>
      </w:pPr>
      <w:r>
        <w:rPr>
          <w:b/>
          <w:bCs/>
          <w:color w:val="auto"/>
        </w:rPr>
        <w:t>（2）</w:t>
      </w:r>
      <w:r>
        <w:rPr>
          <w:rFonts w:hint="eastAsia"/>
          <w:b/>
          <w:bCs/>
          <w:color w:val="auto"/>
        </w:rPr>
        <w:t>污水收集池</w:t>
      </w:r>
    </w:p>
    <w:p>
      <w:pPr>
        <w:ind w:firstLine="480"/>
        <w:rPr>
          <w:color w:val="auto"/>
        </w:rPr>
      </w:pPr>
      <w:r>
        <w:rPr>
          <w:color w:val="auto"/>
        </w:rPr>
        <w:t>收集经格栅池后的废水混合均匀后提升进入固液分离机进行固液分离，并起均匀调节水质、水量作用，</w:t>
      </w:r>
      <w:r>
        <w:rPr>
          <w:rFonts w:hint="eastAsia"/>
          <w:color w:val="auto"/>
          <w:lang w:val="en-US" w:eastAsia="zh-CN"/>
        </w:rPr>
        <w:t>企业设置两个</w:t>
      </w:r>
      <w:r>
        <w:rPr>
          <w:color w:val="auto"/>
        </w:rPr>
        <w:t>半地埋式钢混结构</w:t>
      </w:r>
      <w:r>
        <w:rPr>
          <w:rFonts w:hint="eastAsia"/>
          <w:color w:val="auto"/>
        </w:rPr>
        <w:t>收集池</w:t>
      </w:r>
      <w:r>
        <w:rPr>
          <w:color w:val="auto"/>
        </w:rPr>
        <w:t>，</w:t>
      </w:r>
      <w:r>
        <w:rPr>
          <w:rFonts w:hint="eastAsia"/>
          <w:color w:val="auto"/>
          <w:lang w:val="en-US" w:eastAsia="zh-CN"/>
        </w:rPr>
        <w:t>R=6m，H=5m，容积约565m</w:t>
      </w:r>
      <w:r>
        <w:rPr>
          <w:rFonts w:hint="eastAsia"/>
          <w:color w:val="auto"/>
          <w:vertAlign w:val="superscript"/>
          <w:lang w:val="en-US" w:eastAsia="zh-CN"/>
        </w:rPr>
        <w:t>3</w:t>
      </w:r>
      <w:r>
        <w:rPr>
          <w:rFonts w:hint="eastAsia"/>
          <w:color w:val="auto"/>
          <w:lang w:val="en-US" w:eastAsia="zh-CN"/>
        </w:rPr>
        <w:t>/个，分别用于收集1-3#，4-6#猪舍污粪，</w:t>
      </w:r>
      <w:r>
        <w:rPr>
          <w:color w:val="auto"/>
        </w:rPr>
        <w:t>水力停留时间：</w:t>
      </w:r>
      <w:r>
        <w:rPr>
          <w:rFonts w:hint="eastAsia"/>
          <w:color w:val="auto"/>
          <w:lang w:val="en-US" w:eastAsia="zh-CN"/>
        </w:rPr>
        <w:t>48</w:t>
      </w:r>
      <w:r>
        <w:rPr>
          <w:color w:val="auto"/>
        </w:rPr>
        <w:t>h。</w:t>
      </w:r>
    </w:p>
    <w:p>
      <w:pPr>
        <w:ind w:firstLine="480"/>
        <w:rPr>
          <w:b/>
          <w:bCs/>
          <w:color w:val="auto"/>
        </w:rPr>
      </w:pPr>
      <w:r>
        <w:rPr>
          <w:b/>
          <w:bCs/>
          <w:color w:val="auto"/>
        </w:rPr>
        <w:t>（3）固液分离机</w:t>
      </w:r>
    </w:p>
    <w:p>
      <w:pPr>
        <w:ind w:firstLine="480"/>
        <w:rPr>
          <w:color w:val="auto"/>
        </w:rPr>
      </w:pPr>
      <w:r>
        <w:rPr>
          <w:rFonts w:hint="eastAsia"/>
          <w:color w:val="auto"/>
        </w:rPr>
        <w:t>采用“固液分离”工艺，粪污水收集后进入收集池，再通过无堵浆液泵将猪粪尿抽送至固液分离机（在固液分离机中先经筛网进行初步分离，然后再经螺旋挤压机挤出猪粪固形物中的水份，分离效率可达</w:t>
      </w:r>
      <w:r>
        <w:rPr>
          <w:color w:val="auto"/>
        </w:rPr>
        <w:t>6</w:t>
      </w:r>
      <w:r>
        <w:rPr>
          <w:rFonts w:hint="eastAsia"/>
          <w:color w:val="auto"/>
        </w:rPr>
        <w:t>0%以上），分离后的固态猪粪送至干粪堆场临时堆放；液体进入厌氧发酵段继续处理。</w:t>
      </w:r>
    </w:p>
    <w:p>
      <w:pPr>
        <w:ind w:firstLine="480"/>
        <w:rPr>
          <w:b/>
          <w:bCs w:val="0"/>
          <w:color w:val="auto"/>
        </w:rPr>
      </w:pPr>
      <w:r>
        <w:rPr>
          <w:rFonts w:hint="eastAsia"/>
          <w:b/>
          <w:bCs w:val="0"/>
          <w:color w:val="auto"/>
        </w:rPr>
        <w:t>（4）</w:t>
      </w:r>
      <w:r>
        <w:rPr>
          <w:b/>
          <w:bCs w:val="0"/>
          <w:color w:val="auto"/>
        </w:rPr>
        <w:t>黑膜沼气池</w:t>
      </w:r>
    </w:p>
    <w:p>
      <w:pPr>
        <w:ind w:firstLine="480"/>
        <w:rPr>
          <w:color w:val="auto"/>
        </w:rPr>
      </w:pPr>
      <w:r>
        <w:rPr>
          <w:color w:val="auto"/>
        </w:rPr>
        <w:t>本项目采用</w:t>
      </w:r>
      <w:r>
        <w:rPr>
          <w:rFonts w:ascii="宋体" w:hAnsi="宋体"/>
          <w:color w:val="auto"/>
        </w:rPr>
        <w:t>“</w:t>
      </w:r>
      <w:r>
        <w:rPr>
          <w:color w:val="auto"/>
        </w:rPr>
        <w:t>HDPE黑膜沼气池</w:t>
      </w:r>
      <w:r>
        <w:rPr>
          <w:rFonts w:ascii="宋体" w:hAnsi="宋体"/>
          <w:color w:val="auto"/>
        </w:rPr>
        <w:t>”</w:t>
      </w:r>
      <w:r>
        <w:rPr>
          <w:color w:val="auto"/>
        </w:rPr>
        <w:t>进行厌氧生物处理，在厌氧环境中，在一定的温度、湿度、酸碱度的条件下，通过微生物发酵作用，产生沼气，同时降低污水浓度。</w:t>
      </w:r>
    </w:p>
    <w:p>
      <w:pPr>
        <w:ind w:firstLine="480"/>
        <w:rPr>
          <w:color w:val="auto"/>
        </w:rPr>
      </w:pPr>
      <w:r>
        <w:rPr>
          <w:rFonts w:hint="eastAsia"/>
          <w:color w:val="auto"/>
        </w:rPr>
        <w:t>黑膜沼气池，俗名盖泻湖、覆膜沼气池和土工膜沼气池，学名“全封闭厌氧塘”，它生产沼气的原理同传统沼气池一样，是利用HDPE膜材防渗、防漏的特点，在挖好的土坑里面铺设一层HDPE防渗膜，根据厌氧发酵工艺要求在池内安装进出水口、排渣管和沼气收集管，土坑池子上口再加盖HDPE防渗膜焊接密封，四周锚固沟固定，形成一个密闭的空间，养殖污水经厌氧发酵，实现污水处理和生产沼气的双重效果。同时，利用黑膜吸收太阳热量，提高沼气生产效率。</w:t>
      </w:r>
      <w:r>
        <w:rPr>
          <w:rFonts w:hint="eastAsia"/>
          <w:color w:val="auto"/>
          <w:lang w:val="en-US" w:eastAsia="zh-CN"/>
        </w:rPr>
        <w:t>项目黑膜沼气池有效容积约1500m</w:t>
      </w:r>
      <w:r>
        <w:rPr>
          <w:rFonts w:hint="eastAsia"/>
          <w:color w:val="auto"/>
          <w:vertAlign w:val="superscript"/>
          <w:lang w:val="en-US" w:eastAsia="zh-CN"/>
        </w:rPr>
        <w:t>3</w:t>
      </w:r>
      <w:r>
        <w:rPr>
          <w:rFonts w:hint="eastAsia"/>
          <w:color w:val="auto"/>
          <w:lang w:val="en-US" w:eastAsia="zh-CN"/>
        </w:rPr>
        <w:t>。</w:t>
      </w:r>
      <w:r>
        <w:rPr>
          <w:rFonts w:hint="eastAsia"/>
          <w:color w:val="auto"/>
        </w:rPr>
        <w:t xml:space="preserve"> </w:t>
      </w:r>
      <w:r>
        <w:rPr>
          <w:color w:val="auto"/>
        </w:rPr>
        <w:t xml:space="preserve"> </w:t>
      </w:r>
    </w:p>
    <w:p>
      <w:pPr>
        <w:ind w:firstLine="480"/>
        <w:rPr>
          <w:color w:val="auto"/>
        </w:rPr>
      </w:pPr>
      <w:r>
        <w:rPr>
          <w:color w:val="auto"/>
        </w:rPr>
        <w:t>水力停留时间为30天。</w:t>
      </w:r>
    </w:p>
    <w:p>
      <w:pPr>
        <w:spacing w:line="240" w:lineRule="auto"/>
        <w:ind w:firstLine="0" w:firstLineChars="0"/>
        <w:jc w:val="center"/>
        <w:rPr>
          <w:b/>
          <w:color w:val="auto"/>
          <w:sz w:val="21"/>
          <w:szCs w:val="21"/>
          <w:lang/>
        </w:rPr>
      </w:pPr>
      <w:r>
        <w:rPr>
          <w:rFonts w:hint="eastAsia"/>
          <w:color w:val="auto"/>
          <w:lang/>
        </w:rPr>
        <mc:AlternateContent>
          <mc:Choice Requires="wps">
            <w:drawing>
              <wp:anchor distT="0" distB="0" distL="114300" distR="114300" simplePos="0" relativeHeight="251661312" behindDoc="0" locked="0" layoutInCell="1" allowOverlap="1">
                <wp:simplePos x="0" y="0"/>
                <wp:positionH relativeFrom="column">
                  <wp:posOffset>2552700</wp:posOffset>
                </wp:positionH>
                <wp:positionV relativeFrom="paragraph">
                  <wp:posOffset>1372870</wp:posOffset>
                </wp:positionV>
                <wp:extent cx="552450" cy="243205"/>
                <wp:effectExtent l="0" t="0" r="0" b="0"/>
                <wp:wrapNone/>
                <wp:docPr id="5" name="文本框 68"/>
                <wp:cNvGraphicFramePr/>
                <a:graphic xmlns:a="http://schemas.openxmlformats.org/drawingml/2006/main">
                  <a:graphicData uri="http://schemas.microsoft.com/office/word/2010/wordprocessingShape">
                    <wps:wsp>
                      <wps:cNvSpPr txBox="1"/>
                      <wps:spPr>
                        <a:xfrm>
                          <a:off x="0" y="0"/>
                          <a:ext cx="552450" cy="243205"/>
                        </a:xfrm>
                        <a:prstGeom prst="rect">
                          <a:avLst/>
                        </a:prstGeom>
                        <a:noFill/>
                        <a:ln>
                          <a:noFill/>
                        </a:ln>
                      </wps:spPr>
                      <wps:txbx>
                        <w:txbxContent>
                          <w:p>
                            <w:pPr>
                              <w:adjustRightInd w:val="0"/>
                              <w:snapToGrid w:val="0"/>
                              <w:spacing w:line="240" w:lineRule="auto"/>
                              <w:ind w:firstLine="0" w:firstLineChars="0"/>
                              <w:rPr>
                                <w:color w:val="FFFFFF"/>
                                <w:sz w:val="21"/>
                                <w:szCs w:val="21"/>
                              </w:rPr>
                            </w:pPr>
                            <w:r>
                              <w:rPr>
                                <w:rFonts w:hint="eastAsia"/>
                                <w:color w:val="FFFFFF"/>
                                <w:sz w:val="21"/>
                                <w:szCs w:val="21"/>
                              </w:rPr>
                              <w:t>沼液</w:t>
                            </w:r>
                          </w:p>
                        </w:txbxContent>
                      </wps:txbx>
                      <wps:bodyPr wrap="square" upright="1"/>
                    </wps:wsp>
                  </a:graphicData>
                </a:graphic>
              </wp:anchor>
            </w:drawing>
          </mc:Choice>
          <mc:Fallback>
            <w:pict>
              <v:shape id="文本框 68" o:spid="_x0000_s1026" o:spt="202" type="#_x0000_t202" style="position:absolute;left:0pt;margin-left:201pt;margin-top:108.1pt;height:19.15pt;width:43.5pt;z-index:251661312;mso-width-relative:page;mso-height-relative:page;" filled="f" stroked="f" coordsize="21600,21600" o:gfxdata="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H0sCLYAAAACwEAAA8AAAAAAAAAAQAgAAAAIgAAAGRycy9kb3ducmV2LnhtbFBLAQIUABQA&#10;AAAIAIdO4kDWffiVtwEAAFwDAAAOAAAAAAAAAAEAIAAAACcBAABkcnMvZTJvRG9jLnhtbFBLBQYA&#10;AAAABgAGAFkBAABQBQAAAAA=&#10;">
                <v:fill on="f" focussize="0,0"/>
                <v:stroke on="f"/>
                <v:imagedata o:title=""/>
                <o:lock v:ext="edit" aspectratio="f"/>
                <v:textbox>
                  <w:txbxContent>
                    <w:p>
                      <w:pPr>
                        <w:adjustRightInd w:val="0"/>
                        <w:snapToGrid w:val="0"/>
                        <w:spacing w:line="240" w:lineRule="auto"/>
                        <w:ind w:firstLine="0" w:firstLineChars="0"/>
                        <w:rPr>
                          <w:color w:val="FFFFFF"/>
                          <w:sz w:val="21"/>
                          <w:szCs w:val="21"/>
                        </w:rPr>
                      </w:pPr>
                      <w:r>
                        <w:rPr>
                          <w:rFonts w:hint="eastAsia"/>
                          <w:color w:val="FFFFFF"/>
                          <w:sz w:val="21"/>
                          <w:szCs w:val="21"/>
                        </w:rPr>
                        <w:t>沼液</w:t>
                      </w:r>
                    </w:p>
                  </w:txbxContent>
                </v:textbox>
              </v:shape>
            </w:pict>
          </mc:Fallback>
        </mc:AlternateContent>
      </w:r>
      <w:r>
        <w:rPr>
          <w:rFonts w:hint="eastAsia"/>
          <w:color w:val="auto"/>
          <w:lang/>
        </w:rPr>
        <mc:AlternateContent>
          <mc:Choice Requires="wps">
            <w:drawing>
              <wp:anchor distT="0" distB="0" distL="114300" distR="114300" simplePos="0" relativeHeight="251660288" behindDoc="0" locked="0" layoutInCell="1" allowOverlap="1">
                <wp:simplePos x="0" y="0"/>
                <wp:positionH relativeFrom="column">
                  <wp:posOffset>2547620</wp:posOffset>
                </wp:positionH>
                <wp:positionV relativeFrom="paragraph">
                  <wp:posOffset>810260</wp:posOffset>
                </wp:positionV>
                <wp:extent cx="552450" cy="243205"/>
                <wp:effectExtent l="0" t="0" r="0" b="0"/>
                <wp:wrapNone/>
                <wp:docPr id="4" name="文本框 67"/>
                <wp:cNvGraphicFramePr/>
                <a:graphic xmlns:a="http://schemas.openxmlformats.org/drawingml/2006/main">
                  <a:graphicData uri="http://schemas.microsoft.com/office/word/2010/wordprocessingShape">
                    <wps:wsp>
                      <wps:cNvSpPr txBox="1"/>
                      <wps:spPr>
                        <a:xfrm>
                          <a:off x="0" y="0"/>
                          <a:ext cx="552450" cy="243205"/>
                        </a:xfrm>
                        <a:prstGeom prst="rect">
                          <a:avLst/>
                        </a:prstGeom>
                        <a:noFill/>
                        <a:ln>
                          <a:noFill/>
                        </a:ln>
                      </wps:spPr>
                      <wps:txbx>
                        <w:txbxContent>
                          <w:p>
                            <w:pPr>
                              <w:adjustRightInd w:val="0"/>
                              <w:snapToGrid w:val="0"/>
                              <w:spacing w:line="240" w:lineRule="auto"/>
                              <w:ind w:firstLine="0" w:firstLineChars="0"/>
                              <w:rPr>
                                <w:color w:val="FFFFFF"/>
                                <w:sz w:val="21"/>
                                <w:szCs w:val="21"/>
                              </w:rPr>
                            </w:pPr>
                            <w:r>
                              <w:rPr>
                                <w:rFonts w:hint="eastAsia"/>
                                <w:color w:val="FFFFFF"/>
                                <w:sz w:val="21"/>
                                <w:szCs w:val="21"/>
                              </w:rPr>
                              <w:t>沼气</w:t>
                            </w:r>
                          </w:p>
                        </w:txbxContent>
                      </wps:txbx>
                      <wps:bodyPr wrap="square" upright="1"/>
                    </wps:wsp>
                  </a:graphicData>
                </a:graphic>
              </wp:anchor>
            </w:drawing>
          </mc:Choice>
          <mc:Fallback>
            <w:pict>
              <v:shape id="文本框 67" o:spid="_x0000_s1026" o:spt="202" type="#_x0000_t202" style="position:absolute;left:0pt;margin-left:200.6pt;margin-top:63.8pt;height:19.15pt;width:43.5pt;z-index:251660288;mso-width-relative:page;mso-height-relative:page;" filled="f" stroked="f" coordsize="21600,21600" o:gfxdata="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Wv7w29cAAAALAQAADwAAAAAAAAABACAAAAAiAAAAZHJzL2Rvd25yZXYueG1sUEsBAhQAFAAA&#10;AAgAh07iQA2H7aO3AQAAXAMAAA4AAAAAAAAAAQAgAAAAJgEAAGRycy9lMm9Eb2MueG1sUEsFBgAA&#10;AAAGAAYAWQEAAE8FAAAAAA==&#10;">
                <v:fill on="f" focussize="0,0"/>
                <v:stroke on="f"/>
                <v:imagedata o:title=""/>
                <o:lock v:ext="edit" aspectratio="f"/>
                <v:textbox>
                  <w:txbxContent>
                    <w:p>
                      <w:pPr>
                        <w:adjustRightInd w:val="0"/>
                        <w:snapToGrid w:val="0"/>
                        <w:spacing w:line="240" w:lineRule="auto"/>
                        <w:ind w:firstLine="0" w:firstLineChars="0"/>
                        <w:rPr>
                          <w:color w:val="FFFFFF"/>
                          <w:sz w:val="21"/>
                          <w:szCs w:val="21"/>
                        </w:rPr>
                      </w:pPr>
                      <w:r>
                        <w:rPr>
                          <w:rFonts w:hint="eastAsia"/>
                          <w:color w:val="FFFFFF"/>
                          <w:sz w:val="21"/>
                          <w:szCs w:val="21"/>
                        </w:rPr>
                        <w:t>沼气</w:t>
                      </w:r>
                    </w:p>
                  </w:txbxContent>
                </v:textbox>
              </v:shape>
            </w:pict>
          </mc:Fallback>
        </mc:AlternateContent>
      </w:r>
      <w:r>
        <w:rPr>
          <w:rFonts w:hint="eastAsia"/>
          <w:color w:val="auto"/>
        </w:rPr>
        <w:drawing>
          <wp:inline distT="0" distB="0" distL="114300" distR="114300">
            <wp:extent cx="4681855" cy="2203450"/>
            <wp:effectExtent l="0" t="0" r="4445" b="635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41"/>
                    <a:stretch>
                      <a:fillRect/>
                    </a:stretch>
                  </pic:blipFill>
                  <pic:spPr>
                    <a:xfrm>
                      <a:off x="0" y="0"/>
                      <a:ext cx="4681855" cy="2203450"/>
                    </a:xfrm>
                    <a:prstGeom prst="rect">
                      <a:avLst/>
                    </a:prstGeom>
                    <a:noFill/>
                    <a:ln>
                      <a:noFill/>
                    </a:ln>
                  </pic:spPr>
                </pic:pic>
              </a:graphicData>
            </a:graphic>
          </wp:inline>
        </w:drawing>
      </w:r>
    </w:p>
    <w:p>
      <w:pPr>
        <w:adjustRightInd w:val="0"/>
        <w:snapToGrid w:val="0"/>
        <w:spacing w:before="120" w:beforeLines="50"/>
        <w:ind w:firstLine="0" w:firstLineChars="0"/>
        <w:jc w:val="center"/>
        <w:rPr>
          <w:rFonts w:hint="eastAsia"/>
          <w:b/>
          <w:color w:val="auto"/>
          <w:sz w:val="21"/>
          <w:szCs w:val="21"/>
        </w:rPr>
      </w:pPr>
      <w:r>
        <w:rPr>
          <w:b/>
          <w:color w:val="auto"/>
          <w:sz w:val="21"/>
          <w:szCs w:val="21"/>
          <w:lang/>
        </w:rPr>
        <w:t>图</w:t>
      </w:r>
      <w:r>
        <w:rPr>
          <w:rFonts w:hint="eastAsia"/>
          <w:b/>
          <w:color w:val="auto"/>
          <w:sz w:val="21"/>
          <w:szCs w:val="21"/>
          <w:lang/>
        </w:rPr>
        <w:t>3</w:t>
      </w:r>
      <w:r>
        <w:rPr>
          <w:b/>
          <w:color w:val="auto"/>
          <w:sz w:val="21"/>
          <w:szCs w:val="21"/>
          <w:lang/>
        </w:rPr>
        <w:t>.</w:t>
      </w:r>
      <w:r>
        <w:rPr>
          <w:rFonts w:hint="eastAsia"/>
          <w:b/>
          <w:color w:val="auto"/>
          <w:sz w:val="21"/>
          <w:szCs w:val="21"/>
          <w:lang w:val="en-US" w:eastAsia="zh-CN"/>
        </w:rPr>
        <w:t>6</w:t>
      </w:r>
      <w:r>
        <w:rPr>
          <w:rFonts w:hint="eastAsia"/>
          <w:b/>
          <w:color w:val="auto"/>
          <w:sz w:val="21"/>
          <w:szCs w:val="21"/>
          <w:lang/>
        </w:rPr>
        <w:t>-</w:t>
      </w:r>
      <w:r>
        <w:rPr>
          <w:rFonts w:hint="eastAsia"/>
          <w:b/>
          <w:color w:val="auto"/>
          <w:sz w:val="21"/>
          <w:szCs w:val="21"/>
          <w:lang w:val="en-US" w:eastAsia="zh-CN"/>
        </w:rPr>
        <w:t xml:space="preserve">5 </w:t>
      </w:r>
      <w:r>
        <w:rPr>
          <w:rFonts w:hint="eastAsia"/>
          <w:b/>
          <w:color w:val="auto"/>
          <w:sz w:val="21"/>
          <w:szCs w:val="21"/>
        </w:rPr>
        <w:t>黑膜沼气池结构示意图</w:t>
      </w:r>
    </w:p>
    <w:p>
      <w:pPr>
        <w:ind w:firstLine="482"/>
        <w:rPr>
          <w:b/>
          <w:bCs w:val="0"/>
          <w:color w:val="auto"/>
        </w:rPr>
      </w:pPr>
      <w:r>
        <w:rPr>
          <w:rFonts w:hint="eastAsia"/>
          <w:b/>
          <w:bCs w:val="0"/>
          <w:color w:val="auto"/>
        </w:rPr>
        <w:t>（</w:t>
      </w:r>
      <w:r>
        <w:rPr>
          <w:b/>
          <w:bCs w:val="0"/>
          <w:color w:val="auto"/>
        </w:rPr>
        <w:t>5</w:t>
      </w:r>
      <w:r>
        <w:rPr>
          <w:rFonts w:hint="eastAsia"/>
          <w:b/>
          <w:bCs w:val="0"/>
          <w:color w:val="auto"/>
        </w:rPr>
        <w:t>）沼液利用系统</w:t>
      </w:r>
    </w:p>
    <w:p>
      <w:pPr>
        <w:autoSpaceDE w:val="0"/>
        <w:autoSpaceDN w:val="0"/>
        <w:adjustRightInd w:val="0"/>
        <w:snapToGrid w:val="0"/>
        <w:ind w:firstLine="470" w:firstLineChars="196"/>
        <w:rPr>
          <w:b w:val="0"/>
          <w:bCs/>
          <w:color w:val="auto"/>
        </w:rPr>
      </w:pPr>
      <w:r>
        <w:rPr>
          <w:rFonts w:hint="eastAsia"/>
          <w:b w:val="0"/>
          <w:bCs/>
          <w:color w:val="auto"/>
        </w:rPr>
        <w:t>1）利用方式</w:t>
      </w:r>
    </w:p>
    <w:p>
      <w:pPr>
        <w:autoSpaceDE w:val="0"/>
        <w:autoSpaceDN w:val="0"/>
        <w:adjustRightInd w:val="0"/>
        <w:snapToGrid w:val="0"/>
        <w:ind w:firstLine="470" w:firstLineChars="196"/>
        <w:rPr>
          <w:b w:val="0"/>
          <w:bCs/>
          <w:color w:val="auto"/>
        </w:rPr>
      </w:pPr>
      <w:r>
        <w:rPr>
          <w:rFonts w:hint="eastAsia"/>
          <w:b w:val="0"/>
          <w:bCs/>
          <w:color w:val="auto"/>
        </w:rPr>
        <w:t>污水处理后的沼液在</w:t>
      </w:r>
      <w:r>
        <w:rPr>
          <w:rFonts w:hint="eastAsia"/>
          <w:b w:val="0"/>
          <w:bCs/>
          <w:color w:val="auto"/>
          <w:lang w:eastAsia="zh-CN"/>
        </w:rPr>
        <w:t>沼液暂存池</w:t>
      </w:r>
      <w:r>
        <w:rPr>
          <w:rFonts w:hint="eastAsia"/>
          <w:b w:val="0"/>
          <w:bCs/>
          <w:color w:val="auto"/>
        </w:rPr>
        <w:t>中储存，由于其含有丰富的机质、腐殖酸、粗蛋白、氮、磷、钾和多种微量元素等，是缓速兼备的优质农用肥，因此，沼液可作为肥料用于农田，实现资源化利用。</w:t>
      </w:r>
    </w:p>
    <w:p>
      <w:pPr>
        <w:autoSpaceDE w:val="0"/>
        <w:autoSpaceDN w:val="0"/>
        <w:adjustRightInd w:val="0"/>
        <w:snapToGrid w:val="0"/>
        <w:ind w:firstLine="470" w:firstLineChars="196"/>
        <w:rPr>
          <w:b w:val="0"/>
          <w:bCs/>
          <w:color w:val="auto"/>
        </w:rPr>
      </w:pPr>
      <w:r>
        <w:rPr>
          <w:rFonts w:hint="eastAsia"/>
          <w:b w:val="0"/>
          <w:bCs/>
          <w:color w:val="auto"/>
        </w:rPr>
        <w:t>本项目粪便水在黑膜沼气池经过厌氧发酵后，沼液输送至</w:t>
      </w:r>
      <w:r>
        <w:rPr>
          <w:rFonts w:hint="eastAsia"/>
          <w:b w:val="0"/>
          <w:bCs/>
          <w:color w:val="auto"/>
          <w:lang w:eastAsia="zh-CN"/>
        </w:rPr>
        <w:t>沼液暂存池</w:t>
      </w:r>
      <w:r>
        <w:rPr>
          <w:rFonts w:hint="eastAsia"/>
          <w:b w:val="0"/>
          <w:bCs/>
          <w:color w:val="auto"/>
        </w:rPr>
        <w:t>，非施肥季节沼液储存在</w:t>
      </w:r>
      <w:r>
        <w:rPr>
          <w:rFonts w:hint="eastAsia"/>
          <w:b w:val="0"/>
          <w:bCs/>
          <w:color w:val="auto"/>
          <w:lang w:eastAsia="zh-CN"/>
        </w:rPr>
        <w:t>沼液暂存池</w:t>
      </w:r>
      <w:r>
        <w:rPr>
          <w:rFonts w:hint="eastAsia"/>
          <w:b w:val="0"/>
          <w:bCs/>
          <w:color w:val="auto"/>
        </w:rPr>
        <w:t>，在农田施肥季节用于农田施肥，沼液输送采用专用罐车的方式</w:t>
      </w:r>
      <w:r>
        <w:rPr>
          <w:b w:val="0"/>
          <w:bCs/>
          <w:color w:val="auto"/>
        </w:rPr>
        <w:t>输送至</w:t>
      </w:r>
      <w:r>
        <w:rPr>
          <w:rFonts w:ascii="Times New Roman" w:hAnsi="Times New Roman" w:eastAsia="宋体" w:cs="Times New Roman"/>
          <w:b w:val="0"/>
          <w:bCs/>
          <w:color w:val="auto"/>
        </w:rPr>
        <w:t>田间暂存池，再通过布置的支管阀门控制或小型水泵抽至农田</w:t>
      </w:r>
      <w:r>
        <w:rPr>
          <w:b w:val="0"/>
          <w:bCs/>
          <w:color w:val="auto"/>
        </w:rPr>
        <w:t>。</w:t>
      </w:r>
    </w:p>
    <w:p>
      <w:pPr>
        <w:autoSpaceDE w:val="0"/>
        <w:autoSpaceDN w:val="0"/>
        <w:adjustRightInd w:val="0"/>
        <w:snapToGrid w:val="0"/>
        <w:ind w:firstLine="470" w:firstLineChars="196"/>
        <w:rPr>
          <w:b w:val="0"/>
          <w:bCs/>
          <w:color w:val="auto"/>
        </w:rPr>
      </w:pPr>
      <w:r>
        <w:rPr>
          <w:rFonts w:hint="eastAsia"/>
          <w:b w:val="0"/>
          <w:bCs/>
          <w:color w:val="auto"/>
        </w:rPr>
        <w:t>2）沼液暂存池</w:t>
      </w:r>
    </w:p>
    <w:p>
      <w:pPr>
        <w:autoSpaceDE w:val="0"/>
        <w:autoSpaceDN w:val="0"/>
        <w:adjustRightInd w:val="0"/>
        <w:snapToGrid w:val="0"/>
        <w:ind w:firstLine="470" w:firstLineChars="196"/>
        <w:rPr>
          <w:b w:val="0"/>
          <w:bCs/>
          <w:color w:val="auto"/>
        </w:rPr>
      </w:pPr>
      <w:r>
        <w:rPr>
          <w:rFonts w:hint="eastAsia"/>
          <w:b w:val="0"/>
          <w:bCs/>
          <w:color w:val="auto"/>
        </w:rPr>
        <w:t>①相关规定</w:t>
      </w:r>
    </w:p>
    <w:p>
      <w:pPr>
        <w:autoSpaceDE w:val="0"/>
        <w:autoSpaceDN w:val="0"/>
        <w:adjustRightInd w:val="0"/>
        <w:snapToGrid w:val="0"/>
        <w:ind w:firstLine="480"/>
        <w:jc w:val="left"/>
        <w:rPr>
          <w:rFonts w:hint="eastAsia"/>
          <w:b w:val="0"/>
          <w:bCs/>
          <w:color w:val="auto"/>
        </w:rPr>
      </w:pPr>
      <w:r>
        <w:rPr>
          <w:rFonts w:hint="eastAsia"/>
          <w:b w:val="0"/>
          <w:bCs/>
          <w:color w:val="auto"/>
        </w:rPr>
        <w:t>《畜禽养殖业污染防治技术规范》（HJ/T 81-2001）中6.2.2 条规定：畜禽养殖场污水排入农田之前必须进行预处理（采用格栅、厌氧、沉淀等工艺、流程），并应配套设置田间贮存池，以解决农田在非施肥期间污水出路问题，田间贮存池的总容积不得低于当地农林作物生产用肥的最大间隔时间内畜禽养殖场排放污水的总值。</w:t>
      </w:r>
    </w:p>
    <w:p>
      <w:pPr>
        <w:autoSpaceDE w:val="0"/>
        <w:autoSpaceDN w:val="0"/>
        <w:adjustRightInd w:val="0"/>
        <w:snapToGrid w:val="0"/>
        <w:ind w:firstLine="480"/>
        <w:jc w:val="left"/>
        <w:rPr>
          <w:b w:val="0"/>
          <w:bCs/>
          <w:color w:val="auto"/>
        </w:rPr>
      </w:pPr>
      <w:r>
        <w:rPr>
          <w:rFonts w:hint="eastAsia"/>
          <w:b w:val="0"/>
          <w:bCs/>
          <w:color w:val="auto"/>
        </w:rPr>
        <w:t>《畜禽养殖业污染治理工程技术规范》（HT 497-2009）中6.1.2.3 规定：贮存池的总有效容积应根据贮存期确定。种养结合的养殖场，贮存池的贮存期不得低于当地农作物生产用肥的最大间隔时间和冬季封冻或雨季最长降雨期，一般不得小于30天的排放总量。</w:t>
      </w:r>
    </w:p>
    <w:p>
      <w:pPr>
        <w:autoSpaceDE w:val="0"/>
        <w:autoSpaceDN w:val="0"/>
        <w:adjustRightInd w:val="0"/>
        <w:snapToGrid w:val="0"/>
        <w:ind w:firstLine="470" w:firstLineChars="196"/>
        <w:rPr>
          <w:b w:val="0"/>
          <w:bCs/>
          <w:color w:val="auto"/>
        </w:rPr>
      </w:pPr>
      <w:r>
        <w:rPr>
          <w:rFonts w:hint="eastAsia"/>
          <w:b w:val="0"/>
          <w:bCs/>
          <w:color w:val="auto"/>
        </w:rPr>
        <w:t>《2011年四川省规模化畜禽养殖主要污染物减排核查方案（试行）》（川环发﹝2011﹞20号）文件规定：“沼液贮存设施总容积应满足3个月粪污贮存要求。粪污贮存设施应有防渗设施，防止污染地下水。”</w:t>
      </w:r>
    </w:p>
    <w:p>
      <w:pPr>
        <w:autoSpaceDE w:val="0"/>
        <w:autoSpaceDN w:val="0"/>
        <w:adjustRightInd w:val="0"/>
        <w:snapToGrid w:val="0"/>
        <w:ind w:firstLine="470" w:firstLineChars="196"/>
        <w:rPr>
          <w:rFonts w:hint="eastAsia"/>
          <w:b w:val="0"/>
          <w:bCs/>
          <w:color w:val="auto"/>
        </w:rPr>
      </w:pPr>
      <w:r>
        <w:rPr>
          <w:rFonts w:hint="eastAsia"/>
          <w:b w:val="0"/>
          <w:bCs/>
          <w:color w:val="auto"/>
        </w:rPr>
        <w:t>《</w:t>
      </w:r>
      <w:r>
        <w:rPr>
          <w:b w:val="0"/>
          <w:bCs/>
          <w:color w:val="auto"/>
        </w:rPr>
        <w:t>四川省畜禽养殖污染防治技术指南</w:t>
      </w:r>
      <w:r>
        <w:rPr>
          <w:rFonts w:hint="eastAsia"/>
          <w:b w:val="0"/>
          <w:bCs/>
          <w:color w:val="auto"/>
        </w:rPr>
        <w:t>》（川农业函〔2017〕647号）文件规定：畜禽养殖过程中产生的污水应坚持种养结合的原则，经无害化处理后尽量充分还田，实现污水资源化利用。畜禽养殖场污水引入农田前必须进行预处理（采用格栅、厌氧、沉淀等工艺流程），应配套设置田间储存池，解决农田在非施肥期间的污水出路问题。田间储存池的总容积不得低于当地农林作物生产用肥的最大间隔时间内畜禽养殖场排放污水的总量。</w:t>
      </w:r>
    </w:p>
    <w:p>
      <w:pPr>
        <w:autoSpaceDE w:val="0"/>
        <w:autoSpaceDN w:val="0"/>
        <w:adjustRightInd w:val="0"/>
        <w:snapToGrid w:val="0"/>
        <w:ind w:firstLine="470" w:firstLineChars="196"/>
        <w:rPr>
          <w:b w:val="0"/>
          <w:bCs/>
          <w:color w:val="auto"/>
        </w:rPr>
      </w:pPr>
      <w:r>
        <w:rPr>
          <w:rFonts w:hint="eastAsia"/>
          <w:b w:val="0"/>
          <w:bCs/>
          <w:color w:val="auto"/>
        </w:rPr>
        <w:t>②本项目</w:t>
      </w:r>
      <w:r>
        <w:rPr>
          <w:rFonts w:hint="eastAsia"/>
          <w:b w:val="0"/>
          <w:bCs/>
          <w:color w:val="auto"/>
          <w:lang w:eastAsia="zh-CN"/>
        </w:rPr>
        <w:t>沼液暂存池</w:t>
      </w:r>
      <w:r>
        <w:rPr>
          <w:rFonts w:hint="eastAsia"/>
          <w:b w:val="0"/>
          <w:bCs/>
          <w:color w:val="auto"/>
        </w:rPr>
        <w:t>的容积及相应的防渗措施</w:t>
      </w:r>
    </w:p>
    <w:p>
      <w:pPr>
        <w:autoSpaceDE w:val="0"/>
        <w:autoSpaceDN w:val="0"/>
        <w:adjustRightInd w:val="0"/>
        <w:snapToGrid w:val="0"/>
        <w:ind w:firstLine="470" w:firstLineChars="196"/>
        <w:rPr>
          <w:b w:val="0"/>
          <w:bCs/>
          <w:color w:val="auto"/>
        </w:rPr>
      </w:pPr>
      <w:r>
        <w:rPr>
          <w:b w:val="0"/>
          <w:bCs/>
          <w:color w:val="auto"/>
        </w:rPr>
        <w:t>根据</w:t>
      </w:r>
      <w:r>
        <w:rPr>
          <w:rFonts w:hint="eastAsia"/>
          <w:b w:val="0"/>
          <w:bCs/>
          <w:color w:val="auto"/>
        </w:rPr>
        <w:t>种养结合的原则，本项目粪污污水经无害化处理后进行还田利用，非施肥季节沼液暂存在沼液暂存池和田间暂存池。</w:t>
      </w:r>
    </w:p>
    <w:p>
      <w:pPr>
        <w:autoSpaceDE w:val="0"/>
        <w:autoSpaceDN w:val="0"/>
        <w:adjustRightInd w:val="0"/>
        <w:snapToGrid w:val="0"/>
        <w:ind w:firstLine="470" w:firstLineChars="196"/>
        <w:rPr>
          <w:b w:val="0"/>
          <w:bCs/>
          <w:color w:val="auto"/>
        </w:rPr>
      </w:pPr>
      <w:r>
        <w:rPr>
          <w:rFonts w:hint="eastAsia"/>
          <w:b w:val="0"/>
          <w:bCs/>
          <w:color w:val="auto"/>
        </w:rPr>
        <w:t>参考《畜禽养殖污水贮存设施设计要求》畜禽养殖污水贮存设施容积</w:t>
      </w:r>
    </w:p>
    <w:p>
      <w:pPr>
        <w:autoSpaceDE w:val="0"/>
        <w:autoSpaceDN w:val="0"/>
        <w:adjustRightInd w:val="0"/>
        <w:snapToGrid w:val="0"/>
        <w:ind w:firstLine="470" w:firstLineChars="196"/>
        <w:jc w:val="center"/>
        <w:rPr>
          <w:b w:val="0"/>
          <w:bCs/>
          <w:color w:val="auto"/>
        </w:rPr>
      </w:pPr>
      <w:r>
        <w:rPr>
          <w:b w:val="0"/>
          <w:bCs/>
          <w:i/>
          <w:color w:val="auto"/>
          <w:kern w:val="0"/>
        </w:rPr>
        <w:t>V</w:t>
      </w:r>
      <w:r>
        <w:rPr>
          <w:b w:val="0"/>
          <w:bCs/>
          <w:color w:val="auto"/>
          <w:kern w:val="0"/>
        </w:rPr>
        <w:t>=</w:t>
      </w:r>
      <w:r>
        <w:rPr>
          <w:b w:val="0"/>
          <w:bCs/>
          <w:i/>
          <w:color w:val="auto"/>
          <w:kern w:val="0"/>
        </w:rPr>
        <w:t>L</w:t>
      </w:r>
      <w:r>
        <w:rPr>
          <w:b w:val="0"/>
          <w:bCs/>
          <w:color w:val="auto"/>
          <w:kern w:val="0"/>
          <w:sz w:val="16"/>
          <w:szCs w:val="16"/>
          <w:vertAlign w:val="subscript"/>
        </w:rPr>
        <w:t>W</w:t>
      </w:r>
      <w:r>
        <w:rPr>
          <w:b w:val="0"/>
          <w:bCs/>
          <w:color w:val="auto"/>
          <w:kern w:val="0"/>
        </w:rPr>
        <w:t>+</w:t>
      </w:r>
      <w:r>
        <w:rPr>
          <w:b w:val="0"/>
          <w:bCs/>
          <w:i/>
          <w:color w:val="auto"/>
          <w:kern w:val="0"/>
        </w:rPr>
        <w:t>R</w:t>
      </w:r>
      <w:r>
        <w:rPr>
          <w:b w:val="0"/>
          <w:bCs/>
          <w:color w:val="auto"/>
          <w:kern w:val="0"/>
          <w:sz w:val="16"/>
          <w:szCs w:val="16"/>
        </w:rPr>
        <w:t>0</w:t>
      </w:r>
      <w:r>
        <w:rPr>
          <w:b w:val="0"/>
          <w:bCs/>
          <w:color w:val="auto"/>
          <w:kern w:val="0"/>
        </w:rPr>
        <w:t>+</w:t>
      </w:r>
      <w:r>
        <w:rPr>
          <w:b w:val="0"/>
          <w:bCs/>
          <w:i/>
          <w:color w:val="auto"/>
          <w:kern w:val="0"/>
        </w:rPr>
        <w:t>P</w:t>
      </w:r>
    </w:p>
    <w:p>
      <w:pPr>
        <w:autoSpaceDE w:val="0"/>
        <w:autoSpaceDN w:val="0"/>
        <w:adjustRightInd w:val="0"/>
        <w:snapToGrid w:val="0"/>
        <w:ind w:firstLine="470" w:firstLineChars="196"/>
        <w:rPr>
          <w:b w:val="0"/>
          <w:bCs/>
          <w:color w:val="auto"/>
        </w:rPr>
      </w:pPr>
      <w:r>
        <w:rPr>
          <w:b w:val="0"/>
          <w:bCs/>
          <w:color w:val="auto"/>
        </w:rPr>
        <w:t>式中：</w:t>
      </w:r>
      <w:r>
        <w:rPr>
          <w:b w:val="0"/>
          <w:bCs/>
          <w:i/>
          <w:color w:val="auto"/>
          <w:kern w:val="0"/>
        </w:rPr>
        <w:t>L</w:t>
      </w:r>
      <w:r>
        <w:rPr>
          <w:b w:val="0"/>
          <w:bCs/>
          <w:color w:val="auto"/>
          <w:kern w:val="0"/>
          <w:sz w:val="16"/>
          <w:szCs w:val="16"/>
          <w:vertAlign w:val="subscript"/>
        </w:rPr>
        <w:t>W</w:t>
      </w:r>
      <w:r>
        <w:rPr>
          <w:b w:val="0"/>
          <w:bCs/>
          <w:color w:val="auto"/>
        </w:rPr>
        <w:t>——养殖污水体积，单位为立方米（m</w:t>
      </w:r>
      <w:r>
        <w:rPr>
          <w:b w:val="0"/>
          <w:bCs/>
          <w:color w:val="auto"/>
          <w:vertAlign w:val="superscript"/>
        </w:rPr>
        <w:t>3</w:t>
      </w:r>
      <w:r>
        <w:rPr>
          <w:b w:val="0"/>
          <w:bCs/>
          <w:color w:val="auto"/>
        </w:rPr>
        <w:t>）；</w:t>
      </w:r>
    </w:p>
    <w:p>
      <w:pPr>
        <w:autoSpaceDE w:val="0"/>
        <w:autoSpaceDN w:val="0"/>
        <w:adjustRightInd w:val="0"/>
        <w:snapToGrid w:val="0"/>
        <w:ind w:firstLine="1190" w:firstLineChars="496"/>
        <w:rPr>
          <w:b w:val="0"/>
          <w:bCs/>
          <w:color w:val="auto"/>
        </w:rPr>
      </w:pPr>
      <w:r>
        <w:rPr>
          <w:b w:val="0"/>
          <w:bCs/>
          <w:i/>
          <w:color w:val="auto"/>
        </w:rPr>
        <w:t>R</w:t>
      </w:r>
      <w:r>
        <w:rPr>
          <w:b w:val="0"/>
          <w:bCs/>
          <w:color w:val="auto"/>
        </w:rPr>
        <w:t>o——降雨体积，单位为立方米（m</w:t>
      </w:r>
      <w:r>
        <w:rPr>
          <w:b w:val="0"/>
          <w:bCs/>
          <w:color w:val="auto"/>
          <w:vertAlign w:val="superscript"/>
        </w:rPr>
        <w:t>3</w:t>
      </w:r>
      <w:r>
        <w:rPr>
          <w:b w:val="0"/>
          <w:bCs/>
          <w:color w:val="auto"/>
        </w:rPr>
        <w:t>）；</w:t>
      </w:r>
    </w:p>
    <w:p>
      <w:pPr>
        <w:autoSpaceDE w:val="0"/>
        <w:autoSpaceDN w:val="0"/>
        <w:adjustRightInd w:val="0"/>
        <w:snapToGrid w:val="0"/>
        <w:ind w:firstLine="1190" w:firstLineChars="496"/>
        <w:rPr>
          <w:b w:val="0"/>
          <w:bCs/>
          <w:color w:val="auto"/>
        </w:rPr>
      </w:pPr>
      <w:r>
        <w:rPr>
          <w:b w:val="0"/>
          <w:bCs/>
          <w:i/>
          <w:iCs/>
          <w:color w:val="auto"/>
        </w:rPr>
        <w:t>P</w:t>
      </w:r>
      <w:r>
        <w:rPr>
          <w:b w:val="0"/>
          <w:bCs/>
          <w:color w:val="auto"/>
        </w:rPr>
        <w:t>——预留体积，单位为立方米（m</w:t>
      </w:r>
      <w:r>
        <w:rPr>
          <w:b w:val="0"/>
          <w:bCs/>
          <w:color w:val="auto"/>
          <w:vertAlign w:val="superscript"/>
        </w:rPr>
        <w:t>3</w:t>
      </w:r>
      <w:r>
        <w:rPr>
          <w:b w:val="0"/>
          <w:bCs/>
          <w:color w:val="auto"/>
        </w:rPr>
        <w:t>）；规范要求P宜预留0.9m高的空间，预留体积按照设施的实际长和宽以及预留高度进行计算。</w:t>
      </w:r>
    </w:p>
    <w:p>
      <w:pPr>
        <w:autoSpaceDE w:val="0"/>
        <w:autoSpaceDN w:val="0"/>
        <w:adjustRightInd w:val="0"/>
        <w:snapToGrid w:val="0"/>
        <w:ind w:firstLine="470" w:firstLineChars="196"/>
        <w:rPr>
          <w:b w:val="0"/>
          <w:bCs/>
          <w:color w:val="auto"/>
        </w:rPr>
      </w:pPr>
      <w:r>
        <w:rPr>
          <w:rFonts w:hint="eastAsia"/>
          <w:b w:val="0"/>
          <w:bCs/>
          <w:color w:val="auto"/>
        </w:rPr>
        <w:t>本项目消纳区农作物主要为水稻和油菜，用肥的最大间隔时间一般小于</w:t>
      </w:r>
      <w:r>
        <w:rPr>
          <w:b w:val="0"/>
          <w:bCs/>
          <w:color w:val="auto"/>
        </w:rPr>
        <w:t>9</w:t>
      </w:r>
      <w:r>
        <w:rPr>
          <w:rFonts w:hint="eastAsia"/>
          <w:b w:val="0"/>
          <w:bCs/>
          <w:color w:val="auto"/>
        </w:rPr>
        <w:t>0天，冬季封冻期或雨季最长降雨期（</w:t>
      </w:r>
      <w:r>
        <w:rPr>
          <w:rFonts w:hint="eastAsia"/>
          <w:b w:val="0"/>
          <w:bCs/>
          <w:color w:val="auto"/>
          <w:lang w:val="en-US" w:eastAsia="zh-CN"/>
        </w:rPr>
        <w:t>项目所在地</w:t>
      </w:r>
      <w:r>
        <w:rPr>
          <w:rFonts w:hint="eastAsia"/>
          <w:b w:val="0"/>
          <w:bCs/>
          <w:color w:val="auto"/>
        </w:rPr>
        <w:t>气候温和，冬季平均气温在</w:t>
      </w:r>
      <w:r>
        <w:rPr>
          <w:rFonts w:hint="eastAsia"/>
          <w:b w:val="0"/>
          <w:bCs/>
          <w:color w:val="auto"/>
          <w:lang w:val="en-US" w:eastAsia="zh-CN"/>
        </w:rPr>
        <w:t>5.2</w:t>
      </w:r>
      <w:r>
        <w:rPr>
          <w:rFonts w:hint="eastAsia"/>
          <w:b w:val="0"/>
          <w:bCs/>
          <w:color w:val="auto"/>
        </w:rPr>
        <w:t>℃，雨量多集中在6月下旬—</w:t>
      </w:r>
      <w:r>
        <w:rPr>
          <w:rFonts w:hint="eastAsia"/>
          <w:b w:val="0"/>
          <w:bCs/>
          <w:color w:val="auto"/>
          <w:lang w:val="en-US" w:eastAsia="zh-CN"/>
        </w:rPr>
        <w:t>8</w:t>
      </w:r>
      <w:r>
        <w:rPr>
          <w:rFonts w:hint="eastAsia"/>
          <w:b w:val="0"/>
          <w:bCs/>
          <w:color w:val="auto"/>
        </w:rPr>
        <w:t>月）一般不超过20天。根据当地农业施肥实际要求，</w:t>
      </w:r>
      <w:r>
        <w:rPr>
          <w:rFonts w:hint="eastAsia"/>
          <w:b w:val="0"/>
          <w:bCs/>
          <w:color w:val="auto"/>
          <w:lang w:eastAsia="zh-CN"/>
        </w:rPr>
        <w:t>沼液暂存池</w:t>
      </w:r>
      <w:r>
        <w:rPr>
          <w:rFonts w:hint="eastAsia"/>
          <w:b w:val="0"/>
          <w:bCs/>
          <w:color w:val="auto"/>
        </w:rPr>
        <w:t>沼液停滞最大间隔天数为</w:t>
      </w:r>
      <w:r>
        <w:rPr>
          <w:b w:val="0"/>
          <w:bCs/>
          <w:color w:val="auto"/>
        </w:rPr>
        <w:t>90</w:t>
      </w:r>
      <w:r>
        <w:rPr>
          <w:rFonts w:hint="eastAsia"/>
          <w:b w:val="0"/>
          <w:bCs/>
          <w:color w:val="auto"/>
        </w:rPr>
        <w:t>天。本项目进入沼液暂存池废水量夏季为</w:t>
      </w:r>
      <w:r>
        <w:rPr>
          <w:rFonts w:hint="eastAsia"/>
          <w:b w:val="0"/>
          <w:bCs/>
          <w:color w:val="auto"/>
          <w:lang w:val="en-US" w:eastAsia="zh-CN"/>
        </w:rPr>
        <w:t>30.063</w:t>
      </w:r>
      <w:r>
        <w:rPr>
          <w:rFonts w:hint="eastAsia"/>
          <w:b w:val="0"/>
          <w:bCs/>
          <w:color w:val="auto"/>
        </w:rPr>
        <w:t>m</w:t>
      </w:r>
      <w:r>
        <w:rPr>
          <w:rFonts w:hint="eastAsia"/>
          <w:b w:val="0"/>
          <w:bCs/>
          <w:color w:val="auto"/>
          <w:vertAlign w:val="superscript"/>
        </w:rPr>
        <w:t>3</w:t>
      </w:r>
      <w:r>
        <w:rPr>
          <w:rFonts w:hint="eastAsia"/>
          <w:b w:val="0"/>
          <w:bCs/>
          <w:color w:val="auto"/>
        </w:rPr>
        <w:t>/d，非施肥季节养殖污水产生量约为901.89m</w:t>
      </w:r>
      <w:r>
        <w:rPr>
          <w:rFonts w:hint="eastAsia"/>
          <w:b w:val="0"/>
          <w:bCs/>
          <w:color w:val="auto"/>
          <w:vertAlign w:val="superscript"/>
        </w:rPr>
        <w:t>3</w:t>
      </w:r>
      <w:r>
        <w:rPr>
          <w:rFonts w:hint="eastAsia"/>
          <w:b w:val="0"/>
          <w:bCs/>
          <w:color w:val="auto"/>
        </w:rPr>
        <w:t>。本项目拟设置1座容积为</w:t>
      </w:r>
      <w:r>
        <w:rPr>
          <w:rFonts w:hint="eastAsia"/>
          <w:b w:val="0"/>
          <w:bCs/>
          <w:color w:val="auto"/>
          <w:lang w:val="en-US" w:eastAsia="zh-CN"/>
        </w:rPr>
        <w:t>6500</w:t>
      </w:r>
      <w:r>
        <w:rPr>
          <w:rFonts w:hint="eastAsia"/>
          <w:b w:val="0"/>
          <w:bCs/>
          <w:color w:val="auto"/>
        </w:rPr>
        <w:t>m</w:t>
      </w:r>
      <w:r>
        <w:rPr>
          <w:rFonts w:hint="eastAsia"/>
          <w:b w:val="0"/>
          <w:bCs/>
          <w:color w:val="auto"/>
          <w:vertAlign w:val="superscript"/>
        </w:rPr>
        <w:t>3</w:t>
      </w:r>
      <w:r>
        <w:rPr>
          <w:rFonts w:hint="eastAsia"/>
          <w:b w:val="0"/>
          <w:bCs/>
          <w:color w:val="auto"/>
          <w:lang w:eastAsia="zh-CN"/>
        </w:rPr>
        <w:t>（</w:t>
      </w:r>
      <w:r>
        <w:rPr>
          <w:rFonts w:hint="eastAsia"/>
          <w:b w:val="0"/>
          <w:bCs/>
          <w:color w:val="auto"/>
          <w:lang w:val="en-US" w:eastAsia="zh-CN"/>
        </w:rPr>
        <w:t>65m*25m*4m</w:t>
      </w:r>
      <w:r>
        <w:rPr>
          <w:rFonts w:hint="eastAsia"/>
          <w:b w:val="0"/>
          <w:bCs/>
          <w:color w:val="auto"/>
          <w:lang w:eastAsia="zh-CN"/>
        </w:rPr>
        <w:t>）沼液暂存池</w:t>
      </w:r>
      <w:r>
        <w:rPr>
          <w:rFonts w:hint="eastAsia"/>
          <w:b w:val="0"/>
          <w:bCs/>
          <w:color w:val="auto"/>
        </w:rPr>
        <w:t>和总容积约</w:t>
      </w:r>
      <w:r>
        <w:rPr>
          <w:rFonts w:hint="eastAsia"/>
          <w:b w:val="0"/>
          <w:bCs/>
          <w:color w:val="auto"/>
          <w:lang w:val="en-US" w:eastAsia="zh-CN"/>
        </w:rPr>
        <w:t>1500</w:t>
      </w:r>
      <w:r>
        <w:rPr>
          <w:rFonts w:hint="eastAsia"/>
          <w:b w:val="0"/>
          <w:bCs/>
          <w:color w:val="auto"/>
        </w:rPr>
        <w:t>m</w:t>
      </w:r>
      <w:r>
        <w:rPr>
          <w:b w:val="0"/>
          <w:bCs/>
          <w:color w:val="auto"/>
          <w:vertAlign w:val="superscript"/>
        </w:rPr>
        <w:t>3</w:t>
      </w:r>
      <w:r>
        <w:rPr>
          <w:rFonts w:hint="eastAsia"/>
          <w:b w:val="0"/>
          <w:bCs/>
          <w:color w:val="auto"/>
        </w:rPr>
        <w:t>的田间暂存池，</w:t>
      </w:r>
      <w:r>
        <w:rPr>
          <w:b w:val="0"/>
          <w:bCs/>
          <w:color w:val="auto"/>
        </w:rPr>
        <w:t>预留</w:t>
      </w:r>
      <w:r>
        <w:rPr>
          <w:rFonts w:hint="eastAsia"/>
          <w:b w:val="0"/>
          <w:bCs/>
          <w:color w:val="auto"/>
        </w:rPr>
        <w:t>0</w:t>
      </w:r>
      <w:r>
        <w:rPr>
          <w:b w:val="0"/>
          <w:bCs/>
          <w:color w:val="auto"/>
        </w:rPr>
        <w:t>.9m高体积的要求</w:t>
      </w:r>
      <w:r>
        <w:rPr>
          <w:rFonts w:hint="eastAsia"/>
          <w:b w:val="0"/>
          <w:bCs/>
          <w:color w:val="auto"/>
        </w:rPr>
        <w:t>下，能够存</w:t>
      </w:r>
      <w:r>
        <w:rPr>
          <w:rFonts w:hint="eastAsia"/>
          <w:b w:val="0"/>
          <w:bCs/>
          <w:color w:val="auto"/>
          <w:lang w:val="en-US" w:eastAsia="zh-CN"/>
        </w:rPr>
        <w:t>不小于167</w:t>
      </w:r>
      <w:r>
        <w:rPr>
          <w:b w:val="0"/>
          <w:bCs/>
          <w:color w:val="auto"/>
        </w:rPr>
        <w:t>天的沼液量</w:t>
      </w:r>
      <w:r>
        <w:rPr>
          <w:rFonts w:hint="eastAsia"/>
          <w:b w:val="0"/>
          <w:bCs/>
          <w:color w:val="auto"/>
        </w:rPr>
        <w:t>。</w:t>
      </w:r>
    </w:p>
    <w:p>
      <w:pPr>
        <w:autoSpaceDE w:val="0"/>
        <w:autoSpaceDN w:val="0"/>
        <w:adjustRightInd w:val="0"/>
        <w:snapToGrid w:val="0"/>
        <w:ind w:firstLine="470" w:firstLineChars="196"/>
        <w:rPr>
          <w:color w:val="auto"/>
        </w:rPr>
      </w:pPr>
      <w:r>
        <w:rPr>
          <w:rFonts w:hint="eastAsia"/>
          <w:b w:val="0"/>
          <w:bCs/>
          <w:color w:val="auto"/>
        </w:rPr>
        <w:t>本项目</w:t>
      </w:r>
      <w:r>
        <w:rPr>
          <w:rFonts w:hint="eastAsia"/>
          <w:b w:val="0"/>
          <w:bCs/>
          <w:color w:val="auto"/>
          <w:lang w:eastAsia="zh-CN"/>
        </w:rPr>
        <w:t>沼液暂存池</w:t>
      </w:r>
      <w:r>
        <w:rPr>
          <w:rFonts w:hint="eastAsia"/>
          <w:b w:val="0"/>
          <w:bCs/>
          <w:color w:val="auto"/>
        </w:rPr>
        <w:t>和田间暂存池有效容积分别约为</w:t>
      </w:r>
      <w:r>
        <w:rPr>
          <w:rFonts w:hint="eastAsia"/>
          <w:b w:val="0"/>
          <w:bCs/>
          <w:color w:val="auto"/>
          <w:lang w:val="en-US" w:eastAsia="zh-CN"/>
        </w:rPr>
        <w:t>6500</w:t>
      </w:r>
      <w:r>
        <w:rPr>
          <w:rFonts w:hint="eastAsia"/>
          <w:b w:val="0"/>
          <w:bCs/>
          <w:color w:val="auto"/>
        </w:rPr>
        <w:t>m</w:t>
      </w:r>
      <w:r>
        <w:rPr>
          <w:rFonts w:hint="eastAsia"/>
          <w:b w:val="0"/>
          <w:bCs/>
          <w:color w:val="auto"/>
          <w:vertAlign w:val="superscript"/>
        </w:rPr>
        <w:t>3</w:t>
      </w:r>
      <w:r>
        <w:rPr>
          <w:rFonts w:hint="eastAsia"/>
          <w:b w:val="0"/>
          <w:bCs/>
          <w:color w:val="auto"/>
        </w:rPr>
        <w:t>和</w:t>
      </w:r>
      <w:r>
        <w:rPr>
          <w:b w:val="0"/>
          <w:bCs/>
          <w:color w:val="auto"/>
        </w:rPr>
        <w:t>1</w:t>
      </w:r>
      <w:r>
        <w:rPr>
          <w:rFonts w:hint="eastAsia"/>
          <w:b w:val="0"/>
          <w:bCs/>
          <w:color w:val="auto"/>
          <w:lang w:val="en-US" w:eastAsia="zh-CN"/>
        </w:rPr>
        <w:t>5</w:t>
      </w:r>
      <w:r>
        <w:rPr>
          <w:b w:val="0"/>
          <w:bCs/>
          <w:color w:val="auto"/>
        </w:rPr>
        <w:t>00</w:t>
      </w:r>
      <w:r>
        <w:rPr>
          <w:rFonts w:hint="eastAsia"/>
          <w:b w:val="0"/>
          <w:bCs/>
          <w:color w:val="auto"/>
        </w:rPr>
        <w:t>m</w:t>
      </w:r>
      <w:r>
        <w:rPr>
          <w:b w:val="0"/>
          <w:bCs/>
          <w:color w:val="auto"/>
          <w:vertAlign w:val="superscript"/>
        </w:rPr>
        <w:t>3</w:t>
      </w:r>
      <w:r>
        <w:rPr>
          <w:rFonts w:hint="eastAsia"/>
          <w:b w:val="0"/>
          <w:bCs/>
          <w:color w:val="auto"/>
        </w:rPr>
        <w:t>，因此可以满足《畜禽养殖业污染治理工程技术规范》（HT 497-2009）6.1.2.3 中规定的“贮存池的贮存期不得低于当地农作物生产用肥的最大间隔时间和冬季封冻或雨季最长降雨期，一般不得小于30天的排放总量”、《2011年四川省规模化畜禽养殖主要污染物减排核查方案（试行）》（川环</w:t>
      </w:r>
      <w:r>
        <w:rPr>
          <w:rFonts w:hint="eastAsia"/>
          <w:color w:val="auto"/>
        </w:rPr>
        <w:t>发﹝2011﹞20号）中规定的“沼液贮存设施总容积应满足3个月粪污贮存要求”的相关要求。</w:t>
      </w:r>
    </w:p>
    <w:p>
      <w:pPr>
        <w:ind w:firstLine="482"/>
        <w:rPr>
          <w:color w:val="auto"/>
        </w:rPr>
      </w:pPr>
      <w:r>
        <w:rPr>
          <w:rFonts w:hint="eastAsia"/>
          <w:b/>
          <w:color w:val="auto"/>
          <w:lang w:eastAsia="zh-CN"/>
        </w:rPr>
        <w:t>事故应急池</w:t>
      </w:r>
      <w:r>
        <w:rPr>
          <w:b/>
          <w:color w:val="auto"/>
        </w:rPr>
        <w:t>：</w:t>
      </w:r>
      <w:r>
        <w:rPr>
          <w:color w:val="auto"/>
        </w:rPr>
        <w:t>若废水处理设施</w:t>
      </w:r>
      <w:r>
        <w:rPr>
          <w:rFonts w:hint="eastAsia"/>
          <w:color w:val="auto"/>
        </w:rPr>
        <w:t>（黑膜沼气池）</w:t>
      </w:r>
      <w:r>
        <w:rPr>
          <w:color w:val="auto"/>
        </w:rPr>
        <w:t>发生故障，应将废水切换至</w:t>
      </w:r>
      <w:r>
        <w:rPr>
          <w:rFonts w:hint="eastAsia"/>
          <w:color w:val="auto"/>
          <w:lang w:eastAsia="zh-CN"/>
        </w:rPr>
        <w:t>事故应急池</w:t>
      </w:r>
      <w:r>
        <w:rPr>
          <w:color w:val="auto"/>
        </w:rPr>
        <w:t>，</w:t>
      </w:r>
      <w:r>
        <w:rPr>
          <w:color w:val="auto"/>
          <w:kern w:val="0"/>
        </w:rPr>
        <w:t>并及时检修</w:t>
      </w:r>
      <w:r>
        <w:rPr>
          <w:color w:val="auto"/>
        </w:rPr>
        <w:t>废水处理设施</w:t>
      </w:r>
      <w:r>
        <w:rPr>
          <w:color w:val="auto"/>
          <w:kern w:val="0"/>
        </w:rPr>
        <w:t>，</w:t>
      </w:r>
      <w:r>
        <w:rPr>
          <w:color w:val="auto"/>
        </w:rPr>
        <w:t>待废水处理设施抢修完毕后，再将</w:t>
      </w:r>
      <w:r>
        <w:rPr>
          <w:rFonts w:hint="eastAsia"/>
          <w:color w:val="auto"/>
          <w:lang w:eastAsia="zh-CN"/>
        </w:rPr>
        <w:t>事故应急池</w:t>
      </w:r>
      <w:r>
        <w:rPr>
          <w:color w:val="auto"/>
        </w:rPr>
        <w:t>内废水逐步纳入污水处理系统。</w:t>
      </w:r>
      <w:r>
        <w:rPr>
          <w:rFonts w:hint="eastAsia"/>
          <w:color w:val="auto"/>
          <w:lang w:eastAsia="zh-CN"/>
        </w:rPr>
        <w:t>事故应急池</w:t>
      </w:r>
      <w:r>
        <w:rPr>
          <w:color w:val="auto"/>
        </w:rPr>
        <w:t>应做好防雨、防渗、防漏设施。环评建议：应急池规模按照10天废水量设计，因此，应急池容积</w:t>
      </w:r>
      <w:r>
        <w:rPr>
          <w:rFonts w:hint="eastAsia"/>
          <w:color w:val="auto"/>
          <w:lang w:val="en-US" w:eastAsia="zh-CN"/>
        </w:rPr>
        <w:t>不低于300.63</w:t>
      </w:r>
      <w:r>
        <w:rPr>
          <w:color w:val="auto"/>
        </w:rPr>
        <w:t>m</w:t>
      </w:r>
      <w:r>
        <w:rPr>
          <w:color w:val="auto"/>
          <w:vertAlign w:val="superscript"/>
        </w:rPr>
        <w:t>3</w:t>
      </w:r>
      <w:r>
        <w:rPr>
          <w:color w:val="auto"/>
        </w:rPr>
        <w:t>，</w:t>
      </w:r>
      <w:r>
        <w:rPr>
          <w:rFonts w:hint="eastAsia"/>
          <w:color w:val="auto"/>
        </w:rPr>
        <w:t>本项目拟设置一座应急收集池，</w:t>
      </w:r>
      <w:r>
        <w:rPr>
          <w:rFonts w:hint="eastAsia"/>
          <w:color w:val="auto"/>
          <w:lang w:eastAsia="zh-CN"/>
        </w:rPr>
        <w:t>事故应急池</w:t>
      </w:r>
      <w:r>
        <w:rPr>
          <w:rFonts w:hint="eastAsia"/>
          <w:color w:val="auto"/>
        </w:rPr>
        <w:t>容积为</w:t>
      </w:r>
      <w:r>
        <w:rPr>
          <w:rFonts w:hint="eastAsia"/>
          <w:color w:val="auto"/>
          <w:lang w:val="en-US" w:eastAsia="zh-CN"/>
        </w:rPr>
        <w:t>35</w:t>
      </w:r>
      <w:r>
        <w:rPr>
          <w:color w:val="auto"/>
        </w:rPr>
        <w:t>0</w:t>
      </w:r>
      <w:r>
        <w:rPr>
          <w:rFonts w:hint="eastAsia"/>
          <w:color w:val="auto"/>
        </w:rPr>
        <w:t>m</w:t>
      </w:r>
      <w:r>
        <w:rPr>
          <w:color w:val="auto"/>
          <w:vertAlign w:val="superscript"/>
        </w:rPr>
        <w:t>3</w:t>
      </w:r>
      <w:r>
        <w:rPr>
          <w:rFonts w:hint="eastAsia"/>
          <w:color w:val="auto"/>
        </w:rPr>
        <w:t>，可收集约1</w:t>
      </w:r>
      <w:r>
        <w:rPr>
          <w:rFonts w:hint="eastAsia"/>
          <w:color w:val="auto"/>
          <w:lang w:val="en-US" w:eastAsia="zh-CN"/>
        </w:rPr>
        <w:t>1</w:t>
      </w:r>
      <w:r>
        <w:rPr>
          <w:rFonts w:hint="eastAsia"/>
          <w:color w:val="auto"/>
        </w:rPr>
        <w:t>天的废水量，满足事故状态下对废水的收集</w:t>
      </w:r>
      <w:r>
        <w:rPr>
          <w:color w:val="auto"/>
        </w:rPr>
        <w:t>。</w:t>
      </w:r>
    </w:p>
    <w:p>
      <w:pPr>
        <w:ind w:firstLine="482"/>
        <w:rPr>
          <w:color w:val="auto"/>
        </w:rPr>
      </w:pPr>
      <w:r>
        <w:rPr>
          <w:b/>
          <w:bCs/>
          <w:color w:val="auto"/>
        </w:rPr>
        <w:t>评价要求：</w:t>
      </w:r>
      <w:r>
        <w:rPr>
          <w:color w:val="auto"/>
        </w:rPr>
        <w:t>暂存池需做好防渗、防雨措施，确保废水不下渗、不外溢，合理施肥量。则项目废水暂存与</w:t>
      </w:r>
      <w:r>
        <w:rPr>
          <w:rFonts w:hint="eastAsia"/>
          <w:color w:val="auto"/>
        </w:rPr>
        <w:t>施肥</w:t>
      </w:r>
      <w:r>
        <w:rPr>
          <w:color w:val="auto"/>
        </w:rPr>
        <w:t>不会对</w:t>
      </w:r>
      <w:r>
        <w:rPr>
          <w:rFonts w:hint="eastAsia"/>
          <w:color w:val="auto"/>
        </w:rPr>
        <w:t>区域</w:t>
      </w:r>
      <w:r>
        <w:rPr>
          <w:color w:val="auto"/>
        </w:rPr>
        <w:t>地表水环境造成影响。</w:t>
      </w:r>
    </w:p>
    <w:p>
      <w:pPr>
        <w:ind w:firstLine="480"/>
        <w:rPr>
          <w:rFonts w:hint="eastAsia"/>
          <w:color w:val="auto"/>
        </w:rPr>
      </w:pPr>
      <w:r>
        <w:rPr>
          <w:rFonts w:hint="eastAsia"/>
          <w:color w:val="auto"/>
        </w:rPr>
        <w:t>在上述整个过程中产生的废气主要为恶臭气体（NH</w:t>
      </w:r>
      <w:r>
        <w:rPr>
          <w:rFonts w:hint="eastAsia"/>
          <w:color w:val="auto"/>
          <w:vertAlign w:val="subscript"/>
        </w:rPr>
        <w:t>3</w:t>
      </w:r>
      <w:r>
        <w:rPr>
          <w:rFonts w:hint="eastAsia"/>
          <w:color w:val="auto"/>
        </w:rPr>
        <w:t>、H</w:t>
      </w:r>
      <w:r>
        <w:rPr>
          <w:rFonts w:hint="eastAsia"/>
          <w:color w:val="auto"/>
          <w:vertAlign w:val="subscript"/>
        </w:rPr>
        <w:t>2</w:t>
      </w:r>
      <w:r>
        <w:rPr>
          <w:rFonts w:hint="eastAsia"/>
          <w:color w:val="auto"/>
        </w:rPr>
        <w:t>S）；废水主要为干粪堆场渗滤液；噪声主要为机械设备运行噪声；固废主要为猪粪、沼渣和废脱硫剂。</w:t>
      </w:r>
    </w:p>
    <w:p>
      <w:pPr>
        <w:ind w:firstLine="482"/>
        <w:rPr>
          <w:rFonts w:hint="eastAsia"/>
          <w:b/>
          <w:color w:val="auto"/>
        </w:rPr>
      </w:pPr>
      <w:r>
        <w:rPr>
          <w:b/>
          <w:color w:val="auto"/>
        </w:rPr>
        <w:t>3、</w:t>
      </w:r>
      <w:r>
        <w:rPr>
          <w:rFonts w:hint="eastAsia"/>
          <w:b/>
          <w:color w:val="auto"/>
        </w:rPr>
        <w:t>沼气利用工程</w:t>
      </w:r>
    </w:p>
    <w:p>
      <w:pPr>
        <w:ind w:firstLine="480"/>
        <w:rPr>
          <w:color w:val="auto"/>
        </w:rPr>
      </w:pPr>
      <w:r>
        <w:rPr>
          <w:color w:val="auto"/>
        </w:rPr>
        <w:t>根据《畜禽养殖业污染防治技术政策》（环发[2010]151号）中有关内容，厌氧发酵产生的沼气应进行收集，并根据利用途径进行脱水、脱硫等净化处理。沼气宜作为燃料直接利用。</w:t>
      </w:r>
    </w:p>
    <w:p>
      <w:pPr>
        <w:ind w:firstLine="480"/>
        <w:rPr>
          <w:color w:val="auto"/>
        </w:rPr>
      </w:pPr>
      <w:r>
        <w:rPr>
          <w:rFonts w:hint="eastAsia"/>
          <w:color w:val="auto"/>
        </w:rPr>
        <w:t>沼气储存在黑膜沼气池内，通过内部的集气管道收集</w:t>
      </w:r>
      <w:r>
        <w:rPr>
          <w:rFonts w:hint="eastAsia"/>
          <w:color w:val="auto"/>
          <w:lang w:val="en-US" w:eastAsia="zh-CN"/>
        </w:rPr>
        <w:t>产生</w:t>
      </w:r>
      <w:r>
        <w:rPr>
          <w:rFonts w:hint="eastAsia"/>
          <w:color w:val="auto"/>
        </w:rPr>
        <w:t>的沼气，通过风机将沼气引入脱水、脱硫装置后利用。</w:t>
      </w:r>
    </w:p>
    <w:p>
      <w:pPr>
        <w:ind w:firstLine="482"/>
        <w:rPr>
          <w:b/>
          <w:color w:val="auto"/>
        </w:rPr>
      </w:pPr>
      <w:r>
        <w:rPr>
          <w:b/>
          <w:color w:val="auto"/>
        </w:rPr>
        <w:t>5</w:t>
      </w:r>
      <w:r>
        <w:rPr>
          <w:rFonts w:hint="eastAsia"/>
          <w:b/>
          <w:color w:val="auto"/>
        </w:rPr>
        <w:t>、</w:t>
      </w:r>
      <w:r>
        <w:rPr>
          <w:rFonts w:hint="eastAsia"/>
          <w:b/>
          <w:color w:val="auto"/>
          <w:lang w:val="en-US" w:eastAsia="zh-CN"/>
        </w:rPr>
        <w:t>猪粪、沼渣利用</w:t>
      </w:r>
    </w:p>
    <w:p>
      <w:pPr>
        <w:wordWrap w:val="0"/>
        <w:ind w:firstLine="480"/>
        <w:rPr>
          <w:color w:val="auto"/>
        </w:rPr>
      </w:pPr>
      <w:r>
        <w:rPr>
          <w:rFonts w:hint="eastAsia"/>
          <w:color w:val="auto"/>
        </w:rPr>
        <w:t>项目场区设干粪堆场一处，用于暂存粪污固液分离后的固体成分和沼渣，定期外售堆肥厂进行堆肥处理。暂存过程中会产生渗滤液，通过收集系统收集至黑膜沼气池中进行厌氧处理。</w:t>
      </w:r>
    </w:p>
    <w:p>
      <w:pPr>
        <w:wordWrap w:val="0"/>
        <w:ind w:firstLine="482"/>
        <w:rPr>
          <w:rFonts w:hint="eastAsia"/>
          <w:color w:val="auto"/>
        </w:rPr>
      </w:pPr>
      <w:r>
        <w:rPr>
          <w:rFonts w:hint="eastAsia"/>
          <w:b/>
          <w:bCs/>
          <w:color w:val="auto"/>
        </w:rPr>
        <w:t>产污环节</w:t>
      </w:r>
      <w:r>
        <w:rPr>
          <w:rFonts w:hint="eastAsia"/>
          <w:color w:val="auto"/>
        </w:rPr>
        <w:t>：渗滤液。</w:t>
      </w:r>
    </w:p>
    <w:p>
      <w:pPr>
        <w:pStyle w:val="2"/>
        <w:rPr>
          <w:rFonts w:hint="eastAsia"/>
          <w:color w:val="auto"/>
        </w:rPr>
      </w:pPr>
    </w:p>
    <w:p>
      <w:pPr>
        <w:pStyle w:val="9"/>
        <w:numPr>
          <w:ilvl w:val="0"/>
          <w:numId w:val="0"/>
        </w:numPr>
        <w:tabs>
          <w:tab w:val="left" w:pos="360"/>
        </w:tabs>
        <w:ind w:leftChars="0"/>
        <w:rPr>
          <w:rFonts w:eastAsia="黑体"/>
          <w:color w:val="auto"/>
          <w:sz w:val="28"/>
          <w:szCs w:val="28"/>
        </w:rPr>
      </w:pPr>
      <w:r>
        <w:rPr>
          <w:rFonts w:hint="eastAsia"/>
          <w:color w:val="auto"/>
          <w:sz w:val="28"/>
          <w:szCs w:val="28"/>
          <w:lang w:val="en-US" w:eastAsia="zh-CN"/>
        </w:rPr>
        <w:t>3.6.1.3</w:t>
      </w:r>
      <w:r>
        <w:rPr>
          <w:rFonts w:eastAsia="黑体"/>
          <w:color w:val="auto"/>
          <w:sz w:val="28"/>
          <w:szCs w:val="28"/>
        </w:rPr>
        <w:t>水平衡分析</w:t>
      </w:r>
    </w:p>
    <w:p>
      <w:pPr>
        <w:ind w:firstLine="480"/>
        <w:rPr>
          <w:color w:val="auto"/>
        </w:rPr>
      </w:pPr>
      <w:r>
        <w:rPr>
          <w:color w:val="auto"/>
        </w:rPr>
        <w:t>本项目运营期用水主要包括猪饮用水、猪舍冲洗用水、消毒用水、职工生活用水、绿化用水、湿帘用水等。</w:t>
      </w:r>
    </w:p>
    <w:p>
      <w:pPr>
        <w:wordWrap w:val="0"/>
        <w:ind w:firstLine="482"/>
        <w:rPr>
          <w:b/>
          <w:color w:val="auto"/>
        </w:rPr>
      </w:pPr>
      <w:r>
        <w:rPr>
          <w:b/>
          <w:color w:val="auto"/>
        </w:rPr>
        <w:t>1、猪饮用水</w:t>
      </w:r>
    </w:p>
    <w:p>
      <w:pPr>
        <w:wordWrap w:val="0"/>
        <w:ind w:firstLine="480"/>
        <w:rPr>
          <w:color w:val="auto"/>
        </w:rPr>
      </w:pPr>
      <w:r>
        <w:rPr>
          <w:color w:val="auto"/>
        </w:rPr>
        <w:t>猪的饮水量与猪的日龄、生产水平、外界温度、气候变化、水温、供水方式、饲料种类、饲喂方法及猪的活动量有关。根据企业生猪饲养经验以及国内外研究结论，本项目参照《养猪生产》（中国农业出版社.刘海良译），一般情况下不同品种、性别、生长期猪只所需饮水量见表3.</w:t>
      </w:r>
      <w:r>
        <w:rPr>
          <w:rFonts w:hint="eastAsia"/>
          <w:color w:val="auto"/>
          <w:lang w:val="en-US" w:eastAsia="zh-CN"/>
        </w:rPr>
        <w:t>6</w:t>
      </w:r>
      <w:r>
        <w:rPr>
          <w:color w:val="auto"/>
        </w:rPr>
        <w:t>-</w:t>
      </w:r>
      <w:r>
        <w:rPr>
          <w:rFonts w:hint="eastAsia"/>
          <w:color w:val="auto"/>
          <w:lang w:val="en-US" w:eastAsia="zh-CN"/>
        </w:rPr>
        <w:t>1</w:t>
      </w:r>
      <w:r>
        <w:rPr>
          <w:color w:val="auto"/>
        </w:rPr>
        <w:t>。</w:t>
      </w:r>
    </w:p>
    <w:p>
      <w:pPr>
        <w:pStyle w:val="166"/>
        <w:spacing w:before="0" w:beforeLines="0" w:line="240" w:lineRule="auto"/>
        <w:rPr>
          <w:rFonts w:eastAsia="黑体"/>
          <w:color w:val="auto"/>
          <w:szCs w:val="21"/>
        </w:rPr>
      </w:pPr>
      <w:r>
        <w:rPr>
          <w:color w:val="auto"/>
        </w:rPr>
        <w:t>表3.</w:t>
      </w:r>
      <w:r>
        <w:rPr>
          <w:rFonts w:hint="eastAsia"/>
          <w:color w:val="auto"/>
          <w:lang w:val="en-US" w:eastAsia="zh-CN"/>
        </w:rPr>
        <w:t>6</w:t>
      </w:r>
      <w:r>
        <w:rPr>
          <w:color w:val="auto"/>
        </w:rPr>
        <w:t>-</w:t>
      </w:r>
      <w:r>
        <w:rPr>
          <w:rFonts w:hint="eastAsia"/>
          <w:color w:val="auto"/>
          <w:lang w:val="en-US" w:eastAsia="zh-CN"/>
        </w:rPr>
        <w:t xml:space="preserve">1 </w:t>
      </w:r>
      <w:r>
        <w:rPr>
          <w:color w:val="auto"/>
        </w:rPr>
        <w:t>猪在各生长阶段和生理功能情况下的估计耗水量</w:t>
      </w:r>
    </w:p>
    <w:tbl>
      <w:tblPr>
        <w:tblStyle w:val="51"/>
        <w:tblW w:w="0" w:type="auto"/>
        <w:jc w:val="center"/>
        <w:tblLayout w:type="fixed"/>
        <w:tblCellMar>
          <w:top w:w="0" w:type="dxa"/>
          <w:left w:w="0" w:type="dxa"/>
          <w:bottom w:w="0" w:type="dxa"/>
          <w:right w:w="0" w:type="dxa"/>
        </w:tblCellMar>
      </w:tblPr>
      <w:tblGrid>
        <w:gridCol w:w="1702"/>
        <w:gridCol w:w="2678"/>
        <w:gridCol w:w="2708"/>
        <w:gridCol w:w="1699"/>
      </w:tblGrid>
      <w:tr>
        <w:tblPrEx>
          <w:tblCellMar>
            <w:top w:w="0" w:type="dxa"/>
            <w:left w:w="0" w:type="dxa"/>
            <w:bottom w:w="0" w:type="dxa"/>
            <w:right w:w="0" w:type="dxa"/>
          </w:tblCellMar>
        </w:tblPrEx>
        <w:trPr>
          <w:wBefore w:w="0" w:type="dxa"/>
          <w:wAfter w:w="0" w:type="dxa"/>
          <w:trHeight w:val="340" w:hRule="atLeast"/>
          <w:jc w:val="center"/>
        </w:trPr>
        <w:tc>
          <w:tcPr>
            <w:tcW w:w="1702" w:type="dxa"/>
            <w:tcBorders>
              <w:top w:val="single" w:color="auto" w:sz="12" w:space="0"/>
              <w:bottom w:val="single" w:color="000000" w:sz="4" w:space="0"/>
              <w:right w:val="single" w:color="000000" w:sz="6" w:space="0"/>
            </w:tcBorders>
            <w:noWrap w:val="0"/>
            <w:vAlign w:val="center"/>
          </w:tcPr>
          <w:p>
            <w:pPr>
              <w:pStyle w:val="332"/>
              <w:kinsoku w:val="0"/>
              <w:overflowPunct w:val="0"/>
              <w:spacing w:before="43"/>
              <w:jc w:val="center"/>
              <w:rPr>
                <w:b/>
                <w:color w:val="auto"/>
                <w:sz w:val="20"/>
                <w:szCs w:val="20"/>
              </w:rPr>
            </w:pPr>
            <w:r>
              <w:rPr>
                <w:b/>
                <w:color w:val="auto"/>
                <w:sz w:val="20"/>
                <w:szCs w:val="20"/>
              </w:rPr>
              <w:t>猪的不同阶段</w:t>
            </w:r>
          </w:p>
        </w:tc>
        <w:tc>
          <w:tcPr>
            <w:tcW w:w="2678" w:type="dxa"/>
            <w:tcBorders>
              <w:top w:val="single" w:color="auto" w:sz="12" w:space="0"/>
              <w:left w:val="single" w:color="000000" w:sz="6" w:space="0"/>
              <w:bottom w:val="single" w:color="000000" w:sz="4" w:space="0"/>
              <w:right w:val="single" w:color="000000" w:sz="6" w:space="0"/>
            </w:tcBorders>
            <w:noWrap w:val="0"/>
            <w:vAlign w:val="center"/>
          </w:tcPr>
          <w:p>
            <w:pPr>
              <w:pStyle w:val="332"/>
              <w:kinsoku w:val="0"/>
              <w:overflowPunct w:val="0"/>
              <w:spacing w:before="43"/>
              <w:jc w:val="center"/>
              <w:rPr>
                <w:b/>
                <w:color w:val="auto"/>
                <w:sz w:val="20"/>
                <w:szCs w:val="20"/>
              </w:rPr>
            </w:pPr>
            <w:r>
              <w:rPr>
                <w:b/>
                <w:color w:val="auto"/>
                <w:sz w:val="20"/>
                <w:szCs w:val="20"/>
              </w:rPr>
              <w:t>日消耗水量（升）</w:t>
            </w:r>
          </w:p>
        </w:tc>
        <w:tc>
          <w:tcPr>
            <w:tcW w:w="2708" w:type="dxa"/>
            <w:tcBorders>
              <w:top w:val="single" w:color="auto" w:sz="12" w:space="0"/>
              <w:left w:val="single" w:color="000000" w:sz="6" w:space="0"/>
              <w:bottom w:val="single" w:color="000000" w:sz="4" w:space="0"/>
              <w:right w:val="single" w:color="000000" w:sz="6" w:space="0"/>
            </w:tcBorders>
            <w:noWrap w:val="0"/>
            <w:vAlign w:val="center"/>
          </w:tcPr>
          <w:p>
            <w:pPr>
              <w:pStyle w:val="332"/>
              <w:kinsoku w:val="0"/>
              <w:overflowPunct w:val="0"/>
              <w:spacing w:before="43"/>
              <w:jc w:val="center"/>
              <w:rPr>
                <w:b/>
                <w:color w:val="auto"/>
                <w:sz w:val="20"/>
                <w:szCs w:val="20"/>
              </w:rPr>
            </w:pPr>
            <w:r>
              <w:rPr>
                <w:b/>
                <w:color w:val="auto"/>
                <w:sz w:val="20"/>
                <w:szCs w:val="20"/>
              </w:rPr>
              <w:t>猪的不同阶段</w:t>
            </w:r>
          </w:p>
        </w:tc>
        <w:tc>
          <w:tcPr>
            <w:tcW w:w="1699" w:type="dxa"/>
            <w:tcBorders>
              <w:top w:val="single" w:color="auto" w:sz="12" w:space="0"/>
              <w:left w:val="single" w:color="000000" w:sz="6" w:space="0"/>
              <w:bottom w:val="single" w:color="000000" w:sz="4" w:space="0"/>
            </w:tcBorders>
            <w:noWrap w:val="0"/>
            <w:vAlign w:val="center"/>
          </w:tcPr>
          <w:p>
            <w:pPr>
              <w:pStyle w:val="332"/>
              <w:kinsoku w:val="0"/>
              <w:overflowPunct w:val="0"/>
              <w:spacing w:before="43"/>
              <w:jc w:val="center"/>
              <w:rPr>
                <w:b/>
                <w:color w:val="auto"/>
                <w:sz w:val="20"/>
                <w:szCs w:val="20"/>
              </w:rPr>
            </w:pPr>
            <w:r>
              <w:rPr>
                <w:b/>
                <w:color w:val="auto"/>
                <w:sz w:val="20"/>
                <w:szCs w:val="20"/>
              </w:rPr>
              <w:t>日消耗水量（升）</w:t>
            </w:r>
          </w:p>
        </w:tc>
      </w:tr>
      <w:tr>
        <w:trPr>
          <w:wBefore w:w="0" w:type="dxa"/>
          <w:wAfter w:w="0" w:type="dxa"/>
          <w:trHeight w:val="340" w:hRule="atLeast"/>
          <w:jc w:val="center"/>
        </w:trPr>
        <w:tc>
          <w:tcPr>
            <w:tcW w:w="1702" w:type="dxa"/>
            <w:tcBorders>
              <w:top w:val="single" w:color="000000" w:sz="4" w:space="0"/>
              <w:bottom w:val="single" w:color="000000" w:sz="4" w:space="0"/>
              <w:right w:val="single" w:color="000000" w:sz="6" w:space="0"/>
            </w:tcBorders>
            <w:noWrap w:val="0"/>
            <w:vAlign w:val="center"/>
          </w:tcPr>
          <w:p>
            <w:pPr>
              <w:pStyle w:val="332"/>
              <w:kinsoku w:val="0"/>
              <w:overflowPunct w:val="0"/>
              <w:spacing w:before="42"/>
              <w:jc w:val="center"/>
              <w:rPr>
                <w:color w:val="auto"/>
                <w:sz w:val="20"/>
                <w:szCs w:val="20"/>
              </w:rPr>
            </w:pPr>
            <w:r>
              <w:rPr>
                <w:color w:val="auto"/>
                <w:sz w:val="20"/>
                <w:szCs w:val="20"/>
              </w:rPr>
              <w:t>哺乳仔猪</w:t>
            </w:r>
          </w:p>
        </w:tc>
        <w:tc>
          <w:tcPr>
            <w:tcW w:w="2678" w:type="dxa"/>
            <w:tcBorders>
              <w:top w:val="single" w:color="000000" w:sz="4" w:space="0"/>
              <w:left w:val="single" w:color="000000" w:sz="6" w:space="0"/>
              <w:bottom w:val="single" w:color="000000" w:sz="4" w:space="0"/>
              <w:right w:val="single" w:color="000000" w:sz="6" w:space="0"/>
            </w:tcBorders>
            <w:noWrap w:val="0"/>
            <w:vAlign w:val="center"/>
          </w:tcPr>
          <w:p>
            <w:pPr>
              <w:pStyle w:val="332"/>
              <w:kinsoku w:val="0"/>
              <w:overflowPunct w:val="0"/>
              <w:spacing w:before="42"/>
              <w:jc w:val="center"/>
              <w:rPr>
                <w:color w:val="auto"/>
                <w:sz w:val="20"/>
                <w:szCs w:val="20"/>
              </w:rPr>
            </w:pPr>
            <w:r>
              <w:rPr>
                <w:color w:val="auto"/>
                <w:sz w:val="20"/>
                <w:szCs w:val="20"/>
              </w:rPr>
              <w:t>适当数量以保证满足补饲量</w:t>
            </w:r>
          </w:p>
        </w:tc>
        <w:tc>
          <w:tcPr>
            <w:tcW w:w="2708" w:type="dxa"/>
            <w:tcBorders>
              <w:top w:val="single" w:color="000000" w:sz="4" w:space="0"/>
              <w:left w:val="single" w:color="000000" w:sz="6" w:space="0"/>
              <w:bottom w:val="single" w:color="000000" w:sz="4" w:space="0"/>
              <w:right w:val="single" w:color="000000" w:sz="6" w:space="0"/>
            </w:tcBorders>
            <w:noWrap w:val="0"/>
            <w:vAlign w:val="center"/>
          </w:tcPr>
          <w:p>
            <w:pPr>
              <w:pStyle w:val="332"/>
              <w:kinsoku w:val="0"/>
              <w:overflowPunct w:val="0"/>
              <w:spacing w:before="42"/>
              <w:jc w:val="center"/>
              <w:rPr>
                <w:color w:val="auto"/>
                <w:sz w:val="20"/>
                <w:szCs w:val="20"/>
              </w:rPr>
            </w:pPr>
            <w:r>
              <w:rPr>
                <w:color w:val="auto"/>
                <w:sz w:val="20"/>
                <w:szCs w:val="20"/>
              </w:rPr>
              <w:t>育肥猪</w:t>
            </w:r>
          </w:p>
        </w:tc>
        <w:tc>
          <w:tcPr>
            <w:tcW w:w="1699" w:type="dxa"/>
            <w:tcBorders>
              <w:top w:val="single" w:color="000000" w:sz="4" w:space="0"/>
              <w:left w:val="single" w:color="000000" w:sz="6" w:space="0"/>
              <w:bottom w:val="single" w:color="000000" w:sz="4" w:space="0"/>
            </w:tcBorders>
            <w:noWrap w:val="0"/>
            <w:vAlign w:val="center"/>
          </w:tcPr>
          <w:p>
            <w:pPr>
              <w:pStyle w:val="332"/>
              <w:kinsoku w:val="0"/>
              <w:overflowPunct w:val="0"/>
              <w:spacing w:before="91"/>
              <w:jc w:val="center"/>
              <w:rPr>
                <w:color w:val="auto"/>
                <w:sz w:val="20"/>
                <w:szCs w:val="20"/>
              </w:rPr>
            </w:pPr>
            <w:r>
              <w:rPr>
                <w:color w:val="auto"/>
                <w:sz w:val="20"/>
                <w:szCs w:val="20"/>
              </w:rPr>
              <w:t>3.8~7.5</w:t>
            </w:r>
          </w:p>
        </w:tc>
      </w:tr>
      <w:tr>
        <w:tblPrEx>
          <w:tblCellMar>
            <w:top w:w="0" w:type="dxa"/>
            <w:left w:w="0" w:type="dxa"/>
            <w:bottom w:w="0" w:type="dxa"/>
            <w:right w:w="0" w:type="dxa"/>
          </w:tblCellMar>
        </w:tblPrEx>
        <w:trPr>
          <w:wBefore w:w="0" w:type="dxa"/>
          <w:wAfter w:w="0" w:type="dxa"/>
          <w:trHeight w:val="340" w:hRule="atLeast"/>
          <w:jc w:val="center"/>
        </w:trPr>
        <w:tc>
          <w:tcPr>
            <w:tcW w:w="1702" w:type="dxa"/>
            <w:tcBorders>
              <w:top w:val="single" w:color="000000" w:sz="4" w:space="0"/>
              <w:bottom w:val="single" w:color="000000" w:sz="4" w:space="0"/>
              <w:right w:val="single" w:color="000000" w:sz="6" w:space="0"/>
            </w:tcBorders>
            <w:noWrap w:val="0"/>
            <w:vAlign w:val="center"/>
          </w:tcPr>
          <w:p>
            <w:pPr>
              <w:pStyle w:val="332"/>
              <w:kinsoku w:val="0"/>
              <w:overflowPunct w:val="0"/>
              <w:spacing w:before="42"/>
              <w:jc w:val="center"/>
              <w:rPr>
                <w:color w:val="auto"/>
                <w:sz w:val="20"/>
                <w:szCs w:val="20"/>
              </w:rPr>
            </w:pPr>
            <w:r>
              <w:rPr>
                <w:color w:val="auto"/>
                <w:sz w:val="20"/>
                <w:szCs w:val="20"/>
              </w:rPr>
              <w:t>断乳仔猪</w:t>
            </w:r>
          </w:p>
        </w:tc>
        <w:tc>
          <w:tcPr>
            <w:tcW w:w="2678" w:type="dxa"/>
            <w:tcBorders>
              <w:top w:val="single" w:color="000000" w:sz="4" w:space="0"/>
              <w:left w:val="single" w:color="000000" w:sz="6" w:space="0"/>
              <w:bottom w:val="single" w:color="000000" w:sz="4" w:space="0"/>
              <w:right w:val="single" w:color="000000" w:sz="6" w:space="0"/>
            </w:tcBorders>
            <w:noWrap w:val="0"/>
            <w:vAlign w:val="center"/>
          </w:tcPr>
          <w:p>
            <w:pPr>
              <w:pStyle w:val="332"/>
              <w:kinsoku w:val="0"/>
              <w:overflowPunct w:val="0"/>
              <w:spacing w:before="91"/>
              <w:jc w:val="center"/>
              <w:rPr>
                <w:color w:val="auto"/>
                <w:sz w:val="20"/>
                <w:szCs w:val="20"/>
              </w:rPr>
            </w:pPr>
            <w:r>
              <w:rPr>
                <w:color w:val="auto"/>
                <w:sz w:val="20"/>
                <w:szCs w:val="20"/>
              </w:rPr>
              <w:t>1.3~2.5</w:t>
            </w:r>
          </w:p>
        </w:tc>
        <w:tc>
          <w:tcPr>
            <w:tcW w:w="2708" w:type="dxa"/>
            <w:tcBorders>
              <w:top w:val="single" w:color="000000" w:sz="4" w:space="0"/>
              <w:left w:val="single" w:color="000000" w:sz="6" w:space="0"/>
              <w:bottom w:val="single" w:color="000000" w:sz="4" w:space="0"/>
              <w:right w:val="single" w:color="000000" w:sz="6" w:space="0"/>
            </w:tcBorders>
            <w:noWrap w:val="0"/>
            <w:vAlign w:val="center"/>
          </w:tcPr>
          <w:p>
            <w:pPr>
              <w:pStyle w:val="332"/>
              <w:kinsoku w:val="0"/>
              <w:overflowPunct w:val="0"/>
              <w:spacing w:before="42"/>
              <w:jc w:val="center"/>
              <w:rPr>
                <w:color w:val="auto"/>
                <w:sz w:val="20"/>
                <w:szCs w:val="20"/>
              </w:rPr>
            </w:pPr>
            <w:r>
              <w:rPr>
                <w:color w:val="auto"/>
                <w:sz w:val="20"/>
                <w:szCs w:val="20"/>
              </w:rPr>
              <w:t>断乳母猪、后备母猪及公猪</w:t>
            </w:r>
          </w:p>
        </w:tc>
        <w:tc>
          <w:tcPr>
            <w:tcW w:w="1699" w:type="dxa"/>
            <w:tcBorders>
              <w:top w:val="single" w:color="000000" w:sz="4" w:space="0"/>
              <w:left w:val="single" w:color="000000" w:sz="6" w:space="0"/>
              <w:bottom w:val="single" w:color="000000" w:sz="4" w:space="0"/>
            </w:tcBorders>
            <w:noWrap w:val="0"/>
            <w:vAlign w:val="center"/>
          </w:tcPr>
          <w:p>
            <w:pPr>
              <w:pStyle w:val="332"/>
              <w:kinsoku w:val="0"/>
              <w:overflowPunct w:val="0"/>
              <w:spacing w:before="91"/>
              <w:jc w:val="center"/>
              <w:rPr>
                <w:color w:val="auto"/>
                <w:sz w:val="20"/>
                <w:szCs w:val="20"/>
              </w:rPr>
            </w:pPr>
            <w:r>
              <w:rPr>
                <w:color w:val="auto"/>
                <w:sz w:val="20"/>
                <w:szCs w:val="20"/>
              </w:rPr>
              <w:t>13~17</w:t>
            </w:r>
          </w:p>
        </w:tc>
      </w:tr>
      <w:tr>
        <w:tblPrEx>
          <w:tblCellMar>
            <w:top w:w="0" w:type="dxa"/>
            <w:left w:w="0" w:type="dxa"/>
            <w:bottom w:w="0" w:type="dxa"/>
            <w:right w:w="0" w:type="dxa"/>
          </w:tblCellMar>
        </w:tblPrEx>
        <w:trPr>
          <w:wBefore w:w="0" w:type="dxa"/>
          <w:wAfter w:w="0" w:type="dxa"/>
          <w:jc w:val="center"/>
        </w:trPr>
        <w:tc>
          <w:tcPr>
            <w:tcW w:w="1702" w:type="dxa"/>
            <w:tcBorders>
              <w:top w:val="single" w:color="000000" w:sz="4" w:space="0"/>
              <w:bottom w:val="single" w:color="auto" w:sz="12" w:space="0"/>
              <w:right w:val="single" w:color="000000" w:sz="6" w:space="0"/>
            </w:tcBorders>
            <w:noWrap w:val="0"/>
            <w:vAlign w:val="center"/>
          </w:tcPr>
          <w:p>
            <w:pPr>
              <w:pStyle w:val="332"/>
              <w:kinsoku w:val="0"/>
              <w:overflowPunct w:val="0"/>
              <w:spacing w:before="41"/>
              <w:jc w:val="center"/>
              <w:rPr>
                <w:color w:val="auto"/>
                <w:sz w:val="20"/>
                <w:szCs w:val="20"/>
              </w:rPr>
            </w:pPr>
            <w:r>
              <w:rPr>
                <w:color w:val="auto"/>
                <w:sz w:val="20"/>
                <w:szCs w:val="20"/>
              </w:rPr>
              <w:t>生长猪</w:t>
            </w:r>
          </w:p>
        </w:tc>
        <w:tc>
          <w:tcPr>
            <w:tcW w:w="2678" w:type="dxa"/>
            <w:tcBorders>
              <w:top w:val="single" w:color="000000" w:sz="4" w:space="0"/>
              <w:left w:val="single" w:color="000000" w:sz="6" w:space="0"/>
              <w:bottom w:val="single" w:color="auto" w:sz="12" w:space="0"/>
              <w:right w:val="single" w:color="000000" w:sz="6" w:space="0"/>
            </w:tcBorders>
            <w:noWrap w:val="0"/>
            <w:vAlign w:val="center"/>
          </w:tcPr>
          <w:p>
            <w:pPr>
              <w:pStyle w:val="332"/>
              <w:kinsoku w:val="0"/>
              <w:overflowPunct w:val="0"/>
              <w:spacing w:before="91"/>
              <w:jc w:val="center"/>
              <w:rPr>
                <w:color w:val="auto"/>
                <w:sz w:val="20"/>
                <w:szCs w:val="20"/>
              </w:rPr>
            </w:pPr>
            <w:r>
              <w:rPr>
                <w:color w:val="auto"/>
                <w:sz w:val="20"/>
                <w:szCs w:val="20"/>
              </w:rPr>
              <w:t>2.5~3.8</w:t>
            </w:r>
          </w:p>
        </w:tc>
        <w:tc>
          <w:tcPr>
            <w:tcW w:w="2708" w:type="dxa"/>
            <w:tcBorders>
              <w:top w:val="single" w:color="000000" w:sz="4" w:space="0"/>
              <w:left w:val="single" w:color="000000" w:sz="6" w:space="0"/>
              <w:bottom w:val="single" w:color="auto" w:sz="12" w:space="0"/>
              <w:right w:val="single" w:color="000000" w:sz="6" w:space="0"/>
            </w:tcBorders>
            <w:noWrap w:val="0"/>
            <w:vAlign w:val="center"/>
          </w:tcPr>
          <w:p>
            <w:pPr>
              <w:pStyle w:val="332"/>
              <w:kinsoku w:val="0"/>
              <w:overflowPunct w:val="0"/>
              <w:spacing w:before="41"/>
              <w:jc w:val="center"/>
              <w:rPr>
                <w:color w:val="auto"/>
                <w:sz w:val="20"/>
                <w:szCs w:val="20"/>
              </w:rPr>
            </w:pPr>
            <w:r>
              <w:rPr>
                <w:color w:val="auto"/>
                <w:sz w:val="20"/>
                <w:szCs w:val="20"/>
              </w:rPr>
              <w:t>哺乳母猪及后备母猪</w:t>
            </w:r>
          </w:p>
        </w:tc>
        <w:tc>
          <w:tcPr>
            <w:tcW w:w="1699" w:type="dxa"/>
            <w:tcBorders>
              <w:top w:val="single" w:color="000000" w:sz="4" w:space="0"/>
              <w:left w:val="single" w:color="000000" w:sz="6" w:space="0"/>
              <w:bottom w:val="single" w:color="auto" w:sz="12" w:space="0"/>
            </w:tcBorders>
            <w:noWrap w:val="0"/>
            <w:vAlign w:val="center"/>
          </w:tcPr>
          <w:p>
            <w:pPr>
              <w:pStyle w:val="332"/>
              <w:kinsoku w:val="0"/>
              <w:overflowPunct w:val="0"/>
              <w:spacing w:before="91"/>
              <w:jc w:val="center"/>
              <w:rPr>
                <w:color w:val="auto"/>
                <w:sz w:val="20"/>
                <w:szCs w:val="20"/>
              </w:rPr>
            </w:pPr>
            <w:r>
              <w:rPr>
                <w:color w:val="auto"/>
                <w:sz w:val="20"/>
                <w:szCs w:val="20"/>
              </w:rPr>
              <w:t>18~23</w:t>
            </w:r>
          </w:p>
        </w:tc>
      </w:tr>
    </w:tbl>
    <w:p>
      <w:pPr>
        <w:wordWrap w:val="0"/>
        <w:spacing w:before="120" w:beforeLines="50"/>
        <w:ind w:firstLine="480"/>
        <w:rPr>
          <w:rFonts w:hint="eastAsia"/>
          <w:color w:val="auto"/>
          <w:highlight w:val="yellow"/>
        </w:rPr>
      </w:pPr>
      <w:r>
        <w:rPr>
          <w:rFonts w:hint="eastAsia"/>
          <w:color w:val="auto"/>
          <w:lang w:val="en-US" w:eastAsia="zh-CN"/>
        </w:rPr>
        <w:t>本项目仅涉及猪只育肥，</w:t>
      </w:r>
      <w:r>
        <w:rPr>
          <w:color w:val="auto"/>
        </w:rPr>
        <w:t>评价用水量按生长阶段的最大值计算，则本项目猪只饮用水量见表3.</w:t>
      </w:r>
      <w:r>
        <w:rPr>
          <w:rFonts w:hint="eastAsia"/>
          <w:color w:val="auto"/>
          <w:lang w:val="en-US" w:eastAsia="zh-CN"/>
        </w:rPr>
        <w:t>6</w:t>
      </w:r>
      <w:r>
        <w:rPr>
          <w:color w:val="auto"/>
        </w:rPr>
        <w:t>-</w:t>
      </w:r>
      <w:r>
        <w:rPr>
          <w:rFonts w:hint="eastAsia"/>
          <w:color w:val="auto"/>
          <w:lang w:val="en-US" w:eastAsia="zh-CN"/>
        </w:rPr>
        <w:t>2</w:t>
      </w:r>
      <w:r>
        <w:rPr>
          <w:color w:val="auto"/>
        </w:rPr>
        <w:t>。</w:t>
      </w:r>
    </w:p>
    <w:p>
      <w:pPr>
        <w:pStyle w:val="166"/>
        <w:spacing w:before="0" w:beforeLines="0" w:line="240" w:lineRule="auto"/>
        <w:rPr>
          <w:color w:val="auto"/>
        </w:rPr>
      </w:pPr>
      <w:r>
        <w:rPr>
          <w:color w:val="auto"/>
        </w:rPr>
        <w:t>表3.</w:t>
      </w:r>
      <w:r>
        <w:rPr>
          <w:rFonts w:hint="eastAsia"/>
          <w:color w:val="auto"/>
          <w:lang w:val="en-US" w:eastAsia="zh-CN"/>
        </w:rPr>
        <w:t>6</w:t>
      </w:r>
      <w:r>
        <w:rPr>
          <w:color w:val="auto"/>
        </w:rPr>
        <w:t>-</w:t>
      </w:r>
      <w:r>
        <w:rPr>
          <w:rFonts w:hint="eastAsia"/>
          <w:color w:val="auto"/>
          <w:lang w:val="en-US" w:eastAsia="zh-CN"/>
        </w:rPr>
        <w:t xml:space="preserve">2 </w:t>
      </w:r>
      <w:r>
        <w:rPr>
          <w:color w:val="auto"/>
        </w:rPr>
        <w:t>项目猪只饮用水量情况表</w:t>
      </w:r>
      <w:r>
        <w:rPr>
          <w:rFonts w:hint="eastAsia"/>
          <w:color w:val="auto"/>
        </w:rPr>
        <w:t xml:space="preserve"> </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205"/>
        <w:gridCol w:w="1569"/>
        <w:gridCol w:w="1047"/>
        <w:gridCol w:w="2253"/>
        <w:gridCol w:w="1713"/>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trHeight w:val="340" w:hRule="atLeast"/>
          <w:tblHeader/>
        </w:trPr>
        <w:tc>
          <w:tcPr>
            <w:tcW w:w="2205" w:type="dxa"/>
            <w:noWrap w:val="0"/>
            <w:vAlign w:val="center"/>
          </w:tcPr>
          <w:p>
            <w:pPr>
              <w:pStyle w:val="332"/>
              <w:kinsoku w:val="0"/>
              <w:overflowPunct w:val="0"/>
              <w:spacing w:line="241" w:lineRule="exact"/>
              <w:jc w:val="center"/>
              <w:rPr>
                <w:b/>
                <w:color w:val="auto"/>
                <w:sz w:val="20"/>
                <w:szCs w:val="20"/>
              </w:rPr>
            </w:pPr>
            <w:r>
              <w:rPr>
                <w:b/>
                <w:color w:val="auto"/>
                <w:sz w:val="20"/>
                <w:szCs w:val="20"/>
              </w:rPr>
              <w:t>类型</w:t>
            </w:r>
          </w:p>
        </w:tc>
        <w:tc>
          <w:tcPr>
            <w:tcW w:w="1569" w:type="dxa"/>
            <w:noWrap w:val="0"/>
            <w:vAlign w:val="center"/>
          </w:tcPr>
          <w:p>
            <w:pPr>
              <w:pStyle w:val="332"/>
              <w:kinsoku w:val="0"/>
              <w:overflowPunct w:val="0"/>
              <w:spacing w:line="257" w:lineRule="exact"/>
              <w:jc w:val="center"/>
              <w:rPr>
                <w:b/>
                <w:color w:val="auto"/>
                <w:sz w:val="20"/>
                <w:szCs w:val="20"/>
              </w:rPr>
            </w:pPr>
            <w:r>
              <w:rPr>
                <w:b/>
                <w:color w:val="auto"/>
                <w:sz w:val="20"/>
                <w:szCs w:val="20"/>
              </w:rPr>
              <w:t>用水系数（L/d）</w:t>
            </w:r>
          </w:p>
        </w:tc>
        <w:tc>
          <w:tcPr>
            <w:tcW w:w="1047" w:type="dxa"/>
            <w:noWrap w:val="0"/>
            <w:vAlign w:val="center"/>
          </w:tcPr>
          <w:p>
            <w:pPr>
              <w:pStyle w:val="332"/>
              <w:kinsoku w:val="0"/>
              <w:overflowPunct w:val="0"/>
              <w:spacing w:line="241" w:lineRule="exact"/>
              <w:ind w:right="1"/>
              <w:jc w:val="center"/>
              <w:rPr>
                <w:b/>
                <w:color w:val="auto"/>
                <w:sz w:val="20"/>
                <w:szCs w:val="20"/>
              </w:rPr>
            </w:pPr>
            <w:r>
              <w:rPr>
                <w:b/>
                <w:color w:val="auto"/>
                <w:sz w:val="20"/>
                <w:szCs w:val="20"/>
              </w:rPr>
              <w:t>周期</w:t>
            </w:r>
          </w:p>
        </w:tc>
        <w:tc>
          <w:tcPr>
            <w:tcW w:w="2253" w:type="dxa"/>
            <w:noWrap w:val="0"/>
            <w:vAlign w:val="center"/>
          </w:tcPr>
          <w:p>
            <w:pPr>
              <w:pStyle w:val="332"/>
              <w:kinsoku w:val="0"/>
              <w:overflowPunct w:val="0"/>
              <w:spacing w:line="241" w:lineRule="exact"/>
              <w:ind w:right="1"/>
              <w:jc w:val="center"/>
              <w:rPr>
                <w:b/>
                <w:color w:val="auto"/>
                <w:sz w:val="20"/>
                <w:szCs w:val="20"/>
              </w:rPr>
            </w:pPr>
            <w:r>
              <w:rPr>
                <w:b/>
                <w:color w:val="auto"/>
                <w:sz w:val="20"/>
                <w:szCs w:val="20"/>
              </w:rPr>
              <w:t>猪只数量（常年存栏）</w:t>
            </w:r>
          </w:p>
        </w:tc>
        <w:tc>
          <w:tcPr>
            <w:tcW w:w="1713" w:type="dxa"/>
            <w:noWrap w:val="0"/>
            <w:vAlign w:val="center"/>
          </w:tcPr>
          <w:p>
            <w:pPr>
              <w:pStyle w:val="332"/>
              <w:kinsoku w:val="0"/>
              <w:overflowPunct w:val="0"/>
              <w:spacing w:line="257" w:lineRule="exact"/>
              <w:jc w:val="center"/>
              <w:rPr>
                <w:b/>
                <w:color w:val="auto"/>
                <w:sz w:val="20"/>
                <w:szCs w:val="20"/>
              </w:rPr>
            </w:pPr>
            <w:r>
              <w:rPr>
                <w:b/>
                <w:color w:val="auto"/>
                <w:sz w:val="20"/>
                <w:szCs w:val="20"/>
              </w:rPr>
              <w:t>用水量（m</w:t>
            </w:r>
            <w:r>
              <w:rPr>
                <w:b/>
                <w:color w:val="auto"/>
                <w:position w:val="7"/>
                <w:sz w:val="20"/>
                <w:szCs w:val="20"/>
              </w:rPr>
              <w:t>3</w:t>
            </w:r>
            <w:r>
              <w:rPr>
                <w:b/>
                <w:color w:val="auto"/>
                <w:sz w:val="20"/>
                <w:szCs w:val="20"/>
              </w:rPr>
              <w:t>/a）</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trHeight w:val="340" w:hRule="atLeast"/>
        </w:trPr>
        <w:tc>
          <w:tcPr>
            <w:tcW w:w="2205" w:type="dxa"/>
            <w:noWrap w:val="0"/>
            <w:vAlign w:val="center"/>
          </w:tcPr>
          <w:p>
            <w:pPr>
              <w:pStyle w:val="332"/>
              <w:kinsoku w:val="0"/>
              <w:overflowPunct w:val="0"/>
              <w:spacing w:line="242" w:lineRule="exact"/>
              <w:jc w:val="center"/>
              <w:rPr>
                <w:color w:val="auto"/>
                <w:sz w:val="20"/>
                <w:szCs w:val="20"/>
              </w:rPr>
            </w:pPr>
            <w:r>
              <w:rPr>
                <w:color w:val="auto"/>
                <w:sz w:val="20"/>
                <w:szCs w:val="20"/>
              </w:rPr>
              <w:t>育肥猪</w:t>
            </w:r>
          </w:p>
        </w:tc>
        <w:tc>
          <w:tcPr>
            <w:tcW w:w="1569" w:type="dxa"/>
            <w:noWrap w:val="0"/>
            <w:vAlign w:val="center"/>
          </w:tcPr>
          <w:p>
            <w:pPr>
              <w:pStyle w:val="332"/>
              <w:kinsoku w:val="0"/>
              <w:overflowPunct w:val="0"/>
              <w:spacing w:before="16"/>
              <w:jc w:val="center"/>
              <w:rPr>
                <w:color w:val="auto"/>
                <w:sz w:val="20"/>
                <w:szCs w:val="20"/>
              </w:rPr>
            </w:pPr>
            <w:r>
              <w:rPr>
                <w:color w:val="auto"/>
                <w:sz w:val="20"/>
                <w:szCs w:val="20"/>
              </w:rPr>
              <w:t>7.5</w:t>
            </w:r>
          </w:p>
        </w:tc>
        <w:tc>
          <w:tcPr>
            <w:tcW w:w="1047" w:type="dxa"/>
            <w:noWrap w:val="0"/>
            <w:vAlign w:val="center"/>
          </w:tcPr>
          <w:p>
            <w:pPr>
              <w:pStyle w:val="332"/>
              <w:kinsoku w:val="0"/>
              <w:overflowPunct w:val="0"/>
              <w:spacing w:before="16"/>
              <w:jc w:val="center"/>
              <w:rPr>
                <w:rFonts w:hint="default" w:eastAsia="宋体"/>
                <w:color w:val="auto"/>
                <w:sz w:val="20"/>
                <w:szCs w:val="20"/>
                <w:lang w:val="en-US" w:eastAsia="zh-CN"/>
              </w:rPr>
            </w:pPr>
            <w:r>
              <w:rPr>
                <w:rFonts w:hint="eastAsia"/>
                <w:color w:val="auto"/>
                <w:sz w:val="20"/>
                <w:szCs w:val="20"/>
                <w:lang w:val="en-US" w:eastAsia="zh-CN"/>
              </w:rPr>
              <w:t>180</w:t>
            </w:r>
            <w:r>
              <w:rPr>
                <w:color w:val="auto"/>
                <w:sz w:val="20"/>
                <w:szCs w:val="20"/>
              </w:rPr>
              <w:t>d×2</w:t>
            </w:r>
          </w:p>
        </w:tc>
        <w:tc>
          <w:tcPr>
            <w:tcW w:w="2253" w:type="dxa"/>
            <w:noWrap w:val="0"/>
            <w:vAlign w:val="center"/>
          </w:tcPr>
          <w:p>
            <w:pPr>
              <w:pStyle w:val="332"/>
              <w:kinsoku w:val="0"/>
              <w:overflowPunct w:val="0"/>
              <w:spacing w:before="16"/>
              <w:jc w:val="center"/>
              <w:rPr>
                <w:rFonts w:hint="default" w:eastAsia="宋体"/>
                <w:color w:val="auto"/>
                <w:sz w:val="20"/>
                <w:szCs w:val="20"/>
                <w:lang w:val="en-US" w:eastAsia="zh-CN"/>
              </w:rPr>
            </w:pPr>
            <w:r>
              <w:rPr>
                <w:rFonts w:hint="eastAsia"/>
                <w:color w:val="auto"/>
                <w:sz w:val="20"/>
                <w:szCs w:val="20"/>
                <w:lang w:val="en-US" w:eastAsia="zh-CN"/>
              </w:rPr>
              <w:t>7000</w:t>
            </w:r>
          </w:p>
        </w:tc>
        <w:tc>
          <w:tcPr>
            <w:tcW w:w="1713" w:type="dxa"/>
            <w:noWrap w:val="0"/>
            <w:vAlign w:val="center"/>
          </w:tcPr>
          <w:p>
            <w:pPr>
              <w:pStyle w:val="332"/>
              <w:kinsoku w:val="0"/>
              <w:overflowPunct w:val="0"/>
              <w:spacing w:before="16"/>
              <w:jc w:val="center"/>
              <w:rPr>
                <w:color w:val="auto"/>
                <w:sz w:val="20"/>
                <w:szCs w:val="20"/>
              </w:rPr>
            </w:pPr>
            <w:r>
              <w:rPr>
                <w:rFonts w:hint="eastAsia"/>
                <w:color w:val="auto"/>
                <w:sz w:val="20"/>
                <w:szCs w:val="20"/>
              </w:rPr>
              <w:t>18900</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PrEx>
        <w:trPr>
          <w:trHeight w:val="340" w:hRule="atLeast"/>
        </w:trPr>
        <w:tc>
          <w:tcPr>
            <w:tcW w:w="7074" w:type="dxa"/>
            <w:gridSpan w:val="4"/>
            <w:noWrap w:val="0"/>
            <w:vAlign w:val="center"/>
          </w:tcPr>
          <w:p>
            <w:pPr>
              <w:pStyle w:val="332"/>
              <w:kinsoku w:val="0"/>
              <w:overflowPunct w:val="0"/>
              <w:spacing w:line="241" w:lineRule="exact"/>
              <w:ind w:right="1"/>
              <w:jc w:val="center"/>
              <w:rPr>
                <w:color w:val="auto"/>
                <w:sz w:val="20"/>
                <w:szCs w:val="20"/>
              </w:rPr>
            </w:pPr>
            <w:r>
              <w:rPr>
                <w:color w:val="auto"/>
                <w:sz w:val="20"/>
                <w:szCs w:val="20"/>
              </w:rPr>
              <w:t>折算为每天用量</w:t>
            </w:r>
            <w:r>
              <w:rPr>
                <w:rFonts w:hint="eastAsia"/>
                <w:color w:val="auto"/>
                <w:sz w:val="20"/>
                <w:szCs w:val="20"/>
              </w:rPr>
              <w:t>（</w:t>
            </w:r>
            <w:r>
              <w:rPr>
                <w:color w:val="auto"/>
                <w:sz w:val="20"/>
                <w:szCs w:val="20"/>
              </w:rPr>
              <w:t>m</w:t>
            </w:r>
            <w:r>
              <w:rPr>
                <w:color w:val="auto"/>
                <w:position w:val="7"/>
                <w:sz w:val="20"/>
                <w:szCs w:val="20"/>
              </w:rPr>
              <w:t>3</w:t>
            </w:r>
            <w:r>
              <w:rPr>
                <w:color w:val="auto"/>
                <w:sz w:val="20"/>
                <w:szCs w:val="20"/>
              </w:rPr>
              <w:t>/d</w:t>
            </w:r>
            <w:r>
              <w:rPr>
                <w:rFonts w:hint="eastAsia"/>
                <w:color w:val="auto"/>
                <w:sz w:val="20"/>
                <w:szCs w:val="20"/>
              </w:rPr>
              <w:t>）</w:t>
            </w:r>
          </w:p>
        </w:tc>
        <w:tc>
          <w:tcPr>
            <w:tcW w:w="1713" w:type="dxa"/>
            <w:noWrap w:val="0"/>
            <w:vAlign w:val="center"/>
          </w:tcPr>
          <w:p>
            <w:pPr>
              <w:pStyle w:val="332"/>
              <w:kinsoku w:val="0"/>
              <w:overflowPunct w:val="0"/>
              <w:spacing w:before="16"/>
              <w:jc w:val="center"/>
              <w:rPr>
                <w:rFonts w:hint="eastAsia"/>
                <w:color w:val="auto"/>
                <w:sz w:val="20"/>
                <w:szCs w:val="20"/>
              </w:rPr>
            </w:pPr>
            <w:r>
              <w:rPr>
                <w:rFonts w:hint="eastAsia"/>
                <w:color w:val="auto"/>
                <w:sz w:val="20"/>
                <w:szCs w:val="20"/>
              </w:rPr>
              <w:t>52.5</w:t>
            </w:r>
          </w:p>
        </w:tc>
      </w:tr>
    </w:tbl>
    <w:p>
      <w:pPr>
        <w:wordWrap w:val="0"/>
        <w:spacing w:before="120" w:beforeLines="50"/>
        <w:ind w:firstLine="480"/>
        <w:rPr>
          <w:color w:val="auto"/>
        </w:rPr>
      </w:pPr>
      <w:r>
        <w:rPr>
          <w:color w:val="auto"/>
        </w:rPr>
        <w:t>由表3.5-4可知，本项目猪只饮用水水量为</w:t>
      </w:r>
      <w:r>
        <w:rPr>
          <w:rFonts w:hint="eastAsia"/>
          <w:color w:val="auto"/>
        </w:rPr>
        <w:t>18900</w:t>
      </w:r>
      <w:r>
        <w:rPr>
          <w:color w:val="auto"/>
        </w:rPr>
        <w:t>m</w:t>
      </w:r>
      <w:r>
        <w:rPr>
          <w:color w:val="auto"/>
          <w:vertAlign w:val="superscript"/>
        </w:rPr>
        <w:t>3</w:t>
      </w:r>
      <w:r>
        <w:rPr>
          <w:color w:val="auto"/>
        </w:rPr>
        <w:t>/a，折算为每天用水量为</w:t>
      </w:r>
      <w:r>
        <w:rPr>
          <w:rFonts w:hint="eastAsia"/>
          <w:color w:val="auto"/>
        </w:rPr>
        <w:t>52.5</w:t>
      </w:r>
      <w:r>
        <w:rPr>
          <w:color w:val="auto"/>
        </w:rPr>
        <w:t>m</w:t>
      </w:r>
      <w:r>
        <w:rPr>
          <w:color w:val="auto"/>
          <w:vertAlign w:val="superscript"/>
        </w:rPr>
        <w:t>3</w:t>
      </w:r>
      <w:r>
        <w:rPr>
          <w:color w:val="auto"/>
        </w:rPr>
        <w:t>/d。</w:t>
      </w:r>
    </w:p>
    <w:p>
      <w:pPr>
        <w:pStyle w:val="16"/>
        <w:spacing w:line="360" w:lineRule="auto"/>
        <w:ind w:firstLine="482"/>
        <w:rPr>
          <w:rFonts w:hint="eastAsia" w:ascii="Times New Roman" w:hAnsi="Times New Roman"/>
          <w:color w:val="auto"/>
        </w:rPr>
      </w:pPr>
      <w:r>
        <w:rPr>
          <w:rFonts w:ascii="Times New Roman" w:hAnsi="Times New Roman"/>
          <w:b/>
          <w:color w:val="auto"/>
        </w:rPr>
        <w:t>猪尿排放量</w:t>
      </w:r>
      <w:r>
        <w:rPr>
          <w:rFonts w:hint="eastAsia" w:ascii="Times New Roman" w:hAnsi="Times New Roman"/>
          <w:color w:val="auto"/>
        </w:rPr>
        <w:t>：</w:t>
      </w:r>
    </w:p>
    <w:p>
      <w:pPr>
        <w:pStyle w:val="16"/>
        <w:spacing w:line="360" w:lineRule="auto"/>
        <w:ind w:firstLine="480"/>
        <w:rPr>
          <w:rFonts w:ascii="Times New Roman" w:hAnsi="Times New Roman"/>
          <w:color w:val="auto"/>
        </w:rPr>
      </w:pPr>
      <w:r>
        <w:rPr>
          <w:rFonts w:ascii="Times New Roman" w:hAnsi="Times New Roman"/>
          <w:color w:val="auto"/>
        </w:rPr>
        <w:t>猪尿与猪的品种、性别、生长期、饲料甚至天气等诸多因素有关，但一般波动不会太大。根据</w:t>
      </w:r>
      <w:r>
        <w:rPr>
          <w:rFonts w:hint="eastAsia" w:ascii="Times New Roman" w:hAnsi="Times New Roman"/>
          <w:color w:val="auto"/>
        </w:rPr>
        <w:t>《&lt;畜禽养殖污染防治最佳可行技术指南（试行）</w:t>
      </w:r>
      <w:r>
        <w:rPr>
          <w:rFonts w:ascii="Times New Roman" w:hAnsi="Times New Roman"/>
          <w:color w:val="auto"/>
        </w:rPr>
        <w:t>&gt;</w:t>
      </w:r>
      <w:r>
        <w:rPr>
          <w:rFonts w:hint="eastAsia" w:ascii="Times New Roman" w:hAnsi="Times New Roman"/>
          <w:color w:val="auto"/>
        </w:rPr>
        <w:t>编制说明》</w:t>
      </w:r>
      <w:r>
        <w:rPr>
          <w:rFonts w:ascii="Times New Roman" w:hAnsi="Times New Roman"/>
          <w:color w:val="auto"/>
        </w:rPr>
        <w:t>，一般猪的排尿量与饮水量的关系如下公式：</w:t>
      </w:r>
      <w:r>
        <w:rPr>
          <w:rFonts w:hint="eastAsia" w:ascii="Times New Roman" w:hAnsi="Times New Roman"/>
          <w:color w:val="auto"/>
        </w:rPr>
        <w:t xml:space="preserve"> </w:t>
      </w:r>
      <w:r>
        <w:rPr>
          <w:rFonts w:ascii="Times New Roman" w:hAnsi="Times New Roman"/>
          <w:color w:val="auto"/>
        </w:rPr>
        <w:t xml:space="preserve"> </w:t>
      </w:r>
    </w:p>
    <w:p>
      <w:pPr>
        <w:pStyle w:val="16"/>
        <w:ind w:firstLine="0" w:firstLineChars="0"/>
        <w:jc w:val="center"/>
        <w:rPr>
          <w:rFonts w:ascii="Times New Roman" w:hAnsi="Times New Roman"/>
          <w:i/>
          <w:iCs/>
          <w:color w:val="auto"/>
        </w:rPr>
      </w:pPr>
      <w:r>
        <w:rPr>
          <w:rFonts w:ascii="Times New Roman" w:hAnsi="Times New Roman"/>
          <w:i/>
          <w:iCs/>
          <w:color w:val="auto"/>
        </w:rPr>
        <w:t>Yu</w:t>
      </w:r>
      <w:r>
        <w:rPr>
          <w:rFonts w:ascii="Times New Roman" w:hAnsi="Times New Roman"/>
          <w:color w:val="auto"/>
        </w:rPr>
        <w:t>=0.025+0.438</w:t>
      </w:r>
      <w:r>
        <w:rPr>
          <w:rFonts w:ascii="Times New Roman" w:hAnsi="Times New Roman"/>
          <w:i/>
          <w:iCs/>
          <w:color w:val="auto"/>
        </w:rPr>
        <w:t>W</w:t>
      </w:r>
    </w:p>
    <w:p>
      <w:pPr>
        <w:pStyle w:val="16"/>
        <w:spacing w:line="440" w:lineRule="exact"/>
        <w:ind w:firstLine="480"/>
        <w:rPr>
          <w:rFonts w:ascii="Times New Roman" w:hAnsi="Times New Roman"/>
          <w:color w:val="auto"/>
        </w:rPr>
      </w:pPr>
      <w:r>
        <w:rPr>
          <w:rFonts w:ascii="Times New Roman" w:hAnsi="Times New Roman"/>
          <w:color w:val="auto"/>
        </w:rPr>
        <w:t>式中：</w:t>
      </w:r>
      <w:r>
        <w:rPr>
          <w:rFonts w:ascii="Times New Roman" w:hAnsi="Times New Roman"/>
          <w:i/>
          <w:iCs/>
          <w:color w:val="auto"/>
        </w:rPr>
        <w:t xml:space="preserve">Yu </w:t>
      </w:r>
      <w:r>
        <w:rPr>
          <w:rFonts w:ascii="Times New Roman" w:hAnsi="Times New Roman"/>
          <w:color w:val="auto"/>
        </w:rPr>
        <w:t>——排尿量，kg；</w:t>
      </w:r>
      <w:r>
        <w:rPr>
          <w:rFonts w:ascii="Times New Roman" w:hAnsi="Times New Roman"/>
          <w:i/>
          <w:iCs/>
          <w:color w:val="auto"/>
        </w:rPr>
        <w:t>W</w:t>
      </w:r>
      <w:r>
        <w:rPr>
          <w:rFonts w:ascii="Times New Roman" w:hAnsi="Times New Roman"/>
          <w:color w:val="auto"/>
        </w:rPr>
        <w:t>——饮水量，kg。</w:t>
      </w:r>
    </w:p>
    <w:p>
      <w:pPr>
        <w:wordWrap w:val="0"/>
        <w:spacing w:before="120" w:beforeLines="50"/>
        <w:ind w:firstLine="480"/>
        <w:rPr>
          <w:color w:val="auto"/>
        </w:rPr>
      </w:pPr>
      <w:r>
        <w:rPr>
          <w:color w:val="auto"/>
        </w:rPr>
        <w:t>本次评价用水量按各生长阶段的最大值计算，则本项目猪只排尿量见表3.5-3。</w:t>
      </w:r>
    </w:p>
    <w:p>
      <w:pPr>
        <w:pStyle w:val="166"/>
        <w:spacing w:before="0" w:beforeLines="0" w:line="240" w:lineRule="auto"/>
        <w:rPr>
          <w:rFonts w:hint="eastAsia"/>
          <w:color w:val="auto"/>
        </w:rPr>
      </w:pPr>
      <w:r>
        <w:rPr>
          <w:color w:val="auto"/>
        </w:rPr>
        <w:t>表 3.</w:t>
      </w:r>
      <w:r>
        <w:rPr>
          <w:rFonts w:hint="eastAsia"/>
          <w:color w:val="auto"/>
          <w:lang w:val="en-US" w:eastAsia="zh-CN"/>
        </w:rPr>
        <w:t>6</w:t>
      </w:r>
      <w:r>
        <w:rPr>
          <w:color w:val="auto"/>
        </w:rPr>
        <w:t>-</w:t>
      </w:r>
      <w:r>
        <w:rPr>
          <w:rFonts w:hint="eastAsia"/>
          <w:color w:val="auto"/>
          <w:lang w:val="en-US" w:eastAsia="zh-CN"/>
        </w:rPr>
        <w:t xml:space="preserve">3 </w:t>
      </w:r>
      <w:r>
        <w:rPr>
          <w:color w:val="auto"/>
        </w:rPr>
        <w:t>项目猪只排尿量情况表</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206"/>
        <w:gridCol w:w="1569"/>
        <w:gridCol w:w="1047"/>
        <w:gridCol w:w="2253"/>
        <w:gridCol w:w="1712"/>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2206" w:type="dxa"/>
            <w:noWrap w:val="0"/>
            <w:vAlign w:val="center"/>
          </w:tcPr>
          <w:p>
            <w:pPr>
              <w:pStyle w:val="332"/>
              <w:kinsoku w:val="0"/>
              <w:overflowPunct w:val="0"/>
              <w:snapToGrid w:val="0"/>
              <w:jc w:val="center"/>
              <w:rPr>
                <w:b/>
                <w:color w:val="auto"/>
                <w:sz w:val="20"/>
                <w:szCs w:val="20"/>
              </w:rPr>
            </w:pPr>
            <w:r>
              <w:rPr>
                <w:b/>
                <w:color w:val="auto"/>
                <w:sz w:val="20"/>
                <w:szCs w:val="20"/>
              </w:rPr>
              <w:t>类型</w:t>
            </w:r>
          </w:p>
        </w:tc>
        <w:tc>
          <w:tcPr>
            <w:tcW w:w="1569" w:type="dxa"/>
            <w:noWrap w:val="0"/>
            <w:vAlign w:val="center"/>
          </w:tcPr>
          <w:p>
            <w:pPr>
              <w:pStyle w:val="332"/>
              <w:kinsoku w:val="0"/>
              <w:overflowPunct w:val="0"/>
              <w:snapToGrid w:val="0"/>
              <w:jc w:val="center"/>
              <w:rPr>
                <w:b/>
                <w:color w:val="auto"/>
                <w:sz w:val="20"/>
                <w:szCs w:val="20"/>
              </w:rPr>
            </w:pPr>
            <w:r>
              <w:rPr>
                <w:b/>
                <w:color w:val="auto"/>
                <w:sz w:val="20"/>
                <w:szCs w:val="20"/>
              </w:rPr>
              <w:t>排尿系数（L/d）</w:t>
            </w:r>
          </w:p>
        </w:tc>
        <w:tc>
          <w:tcPr>
            <w:tcW w:w="1047" w:type="dxa"/>
            <w:noWrap w:val="0"/>
            <w:vAlign w:val="center"/>
          </w:tcPr>
          <w:p>
            <w:pPr>
              <w:pStyle w:val="332"/>
              <w:kinsoku w:val="0"/>
              <w:overflowPunct w:val="0"/>
              <w:snapToGrid w:val="0"/>
              <w:jc w:val="center"/>
              <w:rPr>
                <w:b/>
                <w:color w:val="auto"/>
                <w:sz w:val="20"/>
                <w:szCs w:val="20"/>
              </w:rPr>
            </w:pPr>
            <w:r>
              <w:rPr>
                <w:b/>
                <w:color w:val="auto"/>
                <w:sz w:val="20"/>
                <w:szCs w:val="20"/>
              </w:rPr>
              <w:t>周期</w:t>
            </w:r>
          </w:p>
        </w:tc>
        <w:tc>
          <w:tcPr>
            <w:tcW w:w="2253" w:type="dxa"/>
            <w:noWrap w:val="0"/>
            <w:vAlign w:val="center"/>
          </w:tcPr>
          <w:p>
            <w:pPr>
              <w:pStyle w:val="332"/>
              <w:kinsoku w:val="0"/>
              <w:overflowPunct w:val="0"/>
              <w:snapToGrid w:val="0"/>
              <w:jc w:val="center"/>
              <w:rPr>
                <w:b/>
                <w:color w:val="auto"/>
                <w:sz w:val="20"/>
                <w:szCs w:val="20"/>
              </w:rPr>
            </w:pPr>
            <w:r>
              <w:rPr>
                <w:b/>
                <w:color w:val="auto"/>
                <w:sz w:val="20"/>
                <w:szCs w:val="20"/>
              </w:rPr>
              <w:t>猪只数量（常年存栏）</w:t>
            </w:r>
          </w:p>
        </w:tc>
        <w:tc>
          <w:tcPr>
            <w:tcW w:w="1712" w:type="dxa"/>
            <w:noWrap w:val="0"/>
            <w:vAlign w:val="center"/>
          </w:tcPr>
          <w:p>
            <w:pPr>
              <w:pStyle w:val="332"/>
              <w:kinsoku w:val="0"/>
              <w:overflowPunct w:val="0"/>
              <w:snapToGrid w:val="0"/>
              <w:jc w:val="center"/>
              <w:rPr>
                <w:b/>
                <w:color w:val="auto"/>
                <w:sz w:val="20"/>
                <w:szCs w:val="20"/>
                <w:highlight w:val="yellow"/>
              </w:rPr>
            </w:pPr>
            <w:r>
              <w:rPr>
                <w:b/>
                <w:color w:val="auto"/>
                <w:sz w:val="20"/>
                <w:szCs w:val="20"/>
              </w:rPr>
              <w:t>排尿量（m</w:t>
            </w:r>
            <w:r>
              <w:rPr>
                <w:b/>
                <w:color w:val="auto"/>
                <w:position w:val="7"/>
                <w:sz w:val="20"/>
                <w:szCs w:val="20"/>
              </w:rPr>
              <w:t>3</w:t>
            </w:r>
            <w:r>
              <w:rPr>
                <w:b/>
                <w:color w:val="auto"/>
                <w:sz w:val="20"/>
                <w:szCs w:val="20"/>
              </w:rPr>
              <w:t>/a）</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206" w:type="dxa"/>
            <w:noWrap w:val="0"/>
            <w:vAlign w:val="center"/>
          </w:tcPr>
          <w:p>
            <w:pPr>
              <w:pStyle w:val="332"/>
              <w:kinsoku w:val="0"/>
              <w:overflowPunct w:val="0"/>
              <w:snapToGrid w:val="0"/>
              <w:jc w:val="center"/>
              <w:rPr>
                <w:color w:val="auto"/>
                <w:sz w:val="20"/>
                <w:szCs w:val="20"/>
              </w:rPr>
            </w:pPr>
            <w:r>
              <w:rPr>
                <w:color w:val="auto"/>
                <w:sz w:val="20"/>
                <w:szCs w:val="20"/>
              </w:rPr>
              <w:t>育肥猪</w:t>
            </w:r>
          </w:p>
        </w:tc>
        <w:tc>
          <w:tcPr>
            <w:tcW w:w="1569" w:type="dxa"/>
            <w:noWrap w:val="0"/>
            <w:vAlign w:val="center"/>
          </w:tcPr>
          <w:p>
            <w:pPr>
              <w:pStyle w:val="332"/>
              <w:kinsoku w:val="0"/>
              <w:overflowPunct w:val="0"/>
              <w:snapToGrid w:val="0"/>
              <w:jc w:val="center"/>
              <w:rPr>
                <w:rFonts w:hint="default" w:eastAsia="宋体"/>
                <w:color w:val="auto"/>
                <w:sz w:val="20"/>
                <w:szCs w:val="20"/>
                <w:lang w:val="en-US" w:eastAsia="zh-CN"/>
              </w:rPr>
            </w:pPr>
            <w:r>
              <w:rPr>
                <w:rFonts w:hint="eastAsia"/>
                <w:color w:val="auto"/>
                <w:sz w:val="20"/>
                <w:szCs w:val="20"/>
                <w:lang w:val="en-US" w:eastAsia="zh-CN"/>
              </w:rPr>
              <w:t>3.3</w:t>
            </w:r>
          </w:p>
        </w:tc>
        <w:tc>
          <w:tcPr>
            <w:tcW w:w="1047" w:type="dxa"/>
            <w:noWrap w:val="0"/>
            <w:vAlign w:val="center"/>
          </w:tcPr>
          <w:p>
            <w:pPr>
              <w:pStyle w:val="332"/>
              <w:kinsoku w:val="0"/>
              <w:overflowPunct w:val="0"/>
              <w:snapToGrid w:val="0"/>
              <w:jc w:val="center"/>
              <w:rPr>
                <w:color w:val="auto"/>
                <w:sz w:val="20"/>
                <w:szCs w:val="20"/>
              </w:rPr>
            </w:pPr>
            <w:r>
              <w:rPr>
                <w:rFonts w:hint="eastAsia"/>
                <w:color w:val="auto"/>
                <w:sz w:val="20"/>
                <w:szCs w:val="20"/>
                <w:lang w:val="en-US" w:eastAsia="zh-CN"/>
              </w:rPr>
              <w:t>180</w:t>
            </w:r>
            <w:r>
              <w:rPr>
                <w:color w:val="auto"/>
                <w:sz w:val="20"/>
                <w:szCs w:val="20"/>
              </w:rPr>
              <w:t>d×2</w:t>
            </w:r>
          </w:p>
        </w:tc>
        <w:tc>
          <w:tcPr>
            <w:tcW w:w="2253" w:type="dxa"/>
            <w:noWrap w:val="0"/>
            <w:vAlign w:val="center"/>
          </w:tcPr>
          <w:p>
            <w:pPr>
              <w:pStyle w:val="332"/>
              <w:kinsoku w:val="0"/>
              <w:overflowPunct w:val="0"/>
              <w:snapToGrid w:val="0"/>
              <w:jc w:val="center"/>
              <w:rPr>
                <w:color w:val="auto"/>
                <w:sz w:val="20"/>
                <w:szCs w:val="20"/>
              </w:rPr>
            </w:pPr>
            <w:r>
              <w:rPr>
                <w:rFonts w:hint="eastAsia"/>
                <w:color w:val="auto"/>
                <w:sz w:val="20"/>
                <w:szCs w:val="20"/>
                <w:lang w:val="en-US" w:eastAsia="zh-CN"/>
              </w:rPr>
              <w:t>7000</w:t>
            </w:r>
          </w:p>
        </w:tc>
        <w:tc>
          <w:tcPr>
            <w:tcW w:w="1712" w:type="dxa"/>
            <w:noWrap w:val="0"/>
            <w:vAlign w:val="center"/>
          </w:tcPr>
          <w:p>
            <w:pPr>
              <w:pStyle w:val="332"/>
              <w:kinsoku w:val="0"/>
              <w:overflowPunct w:val="0"/>
              <w:snapToGrid w:val="0"/>
              <w:jc w:val="center"/>
              <w:rPr>
                <w:color w:val="auto"/>
                <w:sz w:val="20"/>
                <w:szCs w:val="20"/>
              </w:rPr>
            </w:pPr>
            <w:r>
              <w:rPr>
                <w:rFonts w:hint="eastAsia"/>
                <w:color w:val="auto"/>
                <w:sz w:val="20"/>
                <w:szCs w:val="20"/>
              </w:rPr>
              <w:t>8316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75" w:type="dxa"/>
            <w:gridSpan w:val="4"/>
            <w:noWrap w:val="0"/>
            <w:vAlign w:val="center"/>
          </w:tcPr>
          <w:p>
            <w:pPr>
              <w:pStyle w:val="332"/>
              <w:kinsoku w:val="0"/>
              <w:overflowPunct w:val="0"/>
              <w:snapToGrid w:val="0"/>
              <w:jc w:val="center"/>
              <w:rPr>
                <w:color w:val="auto"/>
                <w:sz w:val="20"/>
                <w:szCs w:val="20"/>
              </w:rPr>
            </w:pPr>
            <w:r>
              <w:rPr>
                <w:color w:val="auto"/>
                <w:sz w:val="20"/>
                <w:szCs w:val="20"/>
              </w:rPr>
              <w:t>折算为每天用量</w:t>
            </w:r>
            <w:r>
              <w:rPr>
                <w:rFonts w:hint="eastAsia"/>
                <w:color w:val="auto"/>
                <w:sz w:val="20"/>
                <w:szCs w:val="20"/>
              </w:rPr>
              <w:t>（</w:t>
            </w:r>
            <w:r>
              <w:rPr>
                <w:color w:val="auto"/>
                <w:sz w:val="20"/>
                <w:szCs w:val="20"/>
              </w:rPr>
              <w:t>m</w:t>
            </w:r>
            <w:r>
              <w:rPr>
                <w:color w:val="auto"/>
                <w:position w:val="7"/>
                <w:sz w:val="20"/>
                <w:szCs w:val="20"/>
              </w:rPr>
              <w:t>3</w:t>
            </w:r>
            <w:r>
              <w:rPr>
                <w:color w:val="auto"/>
                <w:sz w:val="20"/>
                <w:szCs w:val="20"/>
              </w:rPr>
              <w:t>/d</w:t>
            </w:r>
            <w:r>
              <w:rPr>
                <w:rFonts w:hint="eastAsia"/>
                <w:color w:val="auto"/>
                <w:sz w:val="20"/>
                <w:szCs w:val="20"/>
              </w:rPr>
              <w:t>）</w:t>
            </w:r>
          </w:p>
        </w:tc>
        <w:tc>
          <w:tcPr>
            <w:tcW w:w="1712" w:type="dxa"/>
            <w:noWrap w:val="0"/>
            <w:vAlign w:val="center"/>
          </w:tcPr>
          <w:p>
            <w:pPr>
              <w:pStyle w:val="332"/>
              <w:kinsoku w:val="0"/>
              <w:overflowPunct w:val="0"/>
              <w:snapToGrid w:val="0"/>
              <w:jc w:val="center"/>
              <w:rPr>
                <w:rFonts w:hint="eastAsia"/>
                <w:color w:val="auto"/>
                <w:sz w:val="20"/>
                <w:szCs w:val="20"/>
                <w:lang w:bidi="ar"/>
              </w:rPr>
            </w:pPr>
            <w:r>
              <w:rPr>
                <w:rFonts w:hint="eastAsia"/>
                <w:color w:val="auto"/>
                <w:sz w:val="20"/>
                <w:szCs w:val="20"/>
                <w:lang w:bidi="ar"/>
              </w:rPr>
              <w:t>23.1</w:t>
            </w:r>
          </w:p>
        </w:tc>
      </w:tr>
    </w:tbl>
    <w:p>
      <w:pPr>
        <w:pStyle w:val="16"/>
        <w:spacing w:before="120" w:beforeLines="50" w:line="360" w:lineRule="auto"/>
        <w:ind w:firstLine="480"/>
        <w:rPr>
          <w:rFonts w:ascii="Times New Roman" w:hAnsi="Times New Roman"/>
          <w:color w:val="auto"/>
        </w:rPr>
      </w:pPr>
      <w:r>
        <w:rPr>
          <w:rFonts w:ascii="Times New Roman" w:hAnsi="Times New Roman"/>
          <w:color w:val="auto"/>
        </w:rPr>
        <w:t>由表3.</w:t>
      </w:r>
      <w:r>
        <w:rPr>
          <w:rFonts w:hint="eastAsia" w:ascii="Times New Roman" w:hAnsi="Times New Roman"/>
          <w:color w:val="auto"/>
          <w:lang w:val="en-US" w:eastAsia="zh-CN"/>
        </w:rPr>
        <w:t>6</w:t>
      </w:r>
      <w:r>
        <w:rPr>
          <w:rFonts w:ascii="Times New Roman" w:hAnsi="Times New Roman"/>
          <w:color w:val="auto"/>
        </w:rPr>
        <w:t>-</w:t>
      </w:r>
      <w:r>
        <w:rPr>
          <w:rFonts w:hint="eastAsia" w:ascii="Times New Roman" w:hAnsi="Times New Roman"/>
          <w:color w:val="auto"/>
          <w:lang w:val="en-US" w:eastAsia="zh-CN"/>
        </w:rPr>
        <w:t>3</w:t>
      </w:r>
      <w:r>
        <w:rPr>
          <w:rFonts w:ascii="Times New Roman" w:hAnsi="Times New Roman"/>
          <w:color w:val="auto"/>
        </w:rPr>
        <w:t>可知，本项目猪只排尿量为</w:t>
      </w:r>
      <w:r>
        <w:rPr>
          <w:rFonts w:hint="eastAsia" w:ascii="Times New Roman" w:hAnsi="Times New Roman"/>
          <w:color w:val="auto"/>
        </w:rPr>
        <w:t>8316</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/a，折算为每天排尿量为</w:t>
      </w:r>
      <w:r>
        <w:rPr>
          <w:rFonts w:hint="eastAsia" w:ascii="Times New Roman" w:hAnsi="Times New Roman"/>
          <w:color w:val="auto"/>
        </w:rPr>
        <w:t>23.1</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w:t>
      </w:r>
    </w:p>
    <w:p>
      <w:pPr>
        <w:pStyle w:val="16"/>
        <w:spacing w:line="360" w:lineRule="auto"/>
        <w:ind w:firstLine="482"/>
        <w:rPr>
          <w:rFonts w:hint="eastAsia" w:ascii="Times New Roman" w:hAnsi="Times New Roman"/>
          <w:color w:val="auto"/>
        </w:rPr>
      </w:pPr>
      <w:r>
        <w:rPr>
          <w:rFonts w:hint="eastAsia" w:ascii="Times New Roman" w:hAnsi="Times New Roman"/>
          <w:b/>
          <w:bCs/>
          <w:color w:val="auto"/>
        </w:rPr>
        <w:t>猪粪脱水机的脱水量</w:t>
      </w:r>
      <w:r>
        <w:rPr>
          <w:rFonts w:hint="eastAsia" w:ascii="Times New Roman" w:hAnsi="Times New Roman"/>
          <w:color w:val="auto"/>
        </w:rPr>
        <w:t>：</w:t>
      </w:r>
    </w:p>
    <w:p>
      <w:pPr>
        <w:pStyle w:val="16"/>
        <w:spacing w:line="360" w:lineRule="auto"/>
        <w:ind w:firstLine="480"/>
        <w:rPr>
          <w:rFonts w:hint="eastAsia" w:ascii="宋体" w:hAnsi="宋体" w:eastAsia="宋体" w:cs="宋体"/>
          <w:color w:val="auto"/>
        </w:rPr>
      </w:pPr>
      <w:r>
        <w:rPr>
          <w:rFonts w:hint="eastAsia" w:ascii="宋体" w:hAnsi="宋体" w:eastAsia="宋体" w:cs="宋体"/>
          <w:color w:val="auto"/>
          <w:lang w:val="zh-CN"/>
        </w:rPr>
        <w:t>根据《四川省畜禽养殖污染防治技术指南（试行）》、《畜禽养殖业污染治理工程技术规范》（HJ497-2009）附录A中不同畜禽粪污日排泄量，成年猪猪粪产生定额约为2.0kg/d·头，本项目折算成年猪存栏量为</w:t>
      </w:r>
      <w:r>
        <w:rPr>
          <w:rFonts w:hint="eastAsia" w:ascii="宋体" w:hAnsi="宋体" w:eastAsia="宋体" w:cs="宋体"/>
          <w:color w:val="auto"/>
          <w:lang w:val="en-US" w:eastAsia="zh-CN"/>
        </w:rPr>
        <w:t>7000</w:t>
      </w:r>
      <w:r>
        <w:rPr>
          <w:rFonts w:hint="eastAsia" w:ascii="宋体" w:hAnsi="宋体" w:eastAsia="宋体" w:cs="宋体"/>
          <w:color w:val="auto"/>
          <w:lang w:val="zh-CN"/>
        </w:rPr>
        <w:t>头，计算出猪粪的产生量为</w:t>
      </w:r>
      <w:r>
        <w:rPr>
          <w:rFonts w:hint="eastAsia" w:ascii="宋体" w:hAnsi="宋体" w:eastAsia="宋体" w:cs="宋体"/>
          <w:color w:val="auto"/>
          <w:lang w:val="en-US" w:eastAsia="zh-CN"/>
        </w:rPr>
        <w:t>14</w:t>
      </w:r>
      <w:r>
        <w:rPr>
          <w:rFonts w:hint="eastAsia" w:ascii="宋体" w:hAnsi="宋体" w:eastAsia="宋体" w:cs="宋体"/>
          <w:color w:val="auto"/>
          <w:lang w:val="zh-CN"/>
        </w:rPr>
        <w:t>t/d（</w:t>
      </w:r>
      <w:r>
        <w:rPr>
          <w:rFonts w:hint="eastAsia" w:ascii="宋体" w:hAnsi="宋体" w:eastAsia="宋体" w:cs="宋体"/>
          <w:color w:val="auto"/>
          <w:lang w:val="en-US" w:eastAsia="zh-CN"/>
        </w:rPr>
        <w:t>5040</w:t>
      </w:r>
      <w:r>
        <w:rPr>
          <w:rFonts w:hint="eastAsia" w:ascii="宋体" w:hAnsi="宋体" w:eastAsia="宋体" w:cs="宋体"/>
          <w:color w:val="auto"/>
          <w:lang w:val="zh-CN"/>
        </w:rPr>
        <w:t>t/a）。</w:t>
      </w:r>
      <w:r>
        <w:rPr>
          <w:rFonts w:hint="eastAsia" w:ascii="宋体" w:hAnsi="宋体" w:eastAsia="宋体" w:cs="宋体"/>
          <w:color w:val="auto"/>
        </w:rPr>
        <w:t>根据建设单位提供资料，本项目采用离心机固液分离设备，根据《基于热重法的干清猪粪直接燃烧特性分析》（农业工程学报，第30卷第5期，许道文、文李新等）研究结论可知新鲜粪便的含水量约为74.28~76.75%，评价取76.75%。因此，本项目猪场猪粪中含水量为10.745m</w:t>
      </w:r>
      <w:r>
        <w:rPr>
          <w:rFonts w:hint="eastAsia" w:ascii="宋体" w:hAnsi="宋体" w:eastAsia="宋体" w:cs="宋体"/>
          <w:color w:val="auto"/>
          <w:vertAlign w:val="superscript"/>
        </w:rPr>
        <w:t>3</w:t>
      </w:r>
      <w:r>
        <w:rPr>
          <w:rFonts w:hint="eastAsia" w:ascii="宋体" w:hAnsi="宋体" w:eastAsia="宋体" w:cs="宋体"/>
          <w:color w:val="auto"/>
        </w:rPr>
        <w:t>/d（3868.2m</w:t>
      </w:r>
      <w:r>
        <w:rPr>
          <w:rFonts w:hint="eastAsia" w:ascii="宋体" w:hAnsi="宋体" w:eastAsia="宋体" w:cs="宋体"/>
          <w:color w:val="auto"/>
          <w:vertAlign w:val="superscript"/>
        </w:rPr>
        <w:t>3</w:t>
      </w:r>
      <w:r>
        <w:rPr>
          <w:rFonts w:hint="eastAsia" w:ascii="宋体" w:hAnsi="宋体" w:eastAsia="宋体" w:cs="宋体"/>
          <w:color w:val="auto"/>
        </w:rPr>
        <w:t>/a）。</w:t>
      </w:r>
    </w:p>
    <w:p>
      <w:pPr>
        <w:ind w:firstLine="480"/>
        <w:rPr>
          <w:rFonts w:hint="default" w:eastAsia="宋体"/>
          <w:color w:val="auto"/>
          <w:lang w:val="en-US" w:eastAsia="zh-CN"/>
        </w:rPr>
      </w:pPr>
      <w:r>
        <w:rPr>
          <w:rFonts w:eastAsia="宋体" w:cs="Times New Roman"/>
          <w:color w:val="auto"/>
        </w:rPr>
        <w:t>参照由郑文鑫、方文熙等福建农林大学工程研究所发布的《几种常见的畜禽粪便固液分离设备》研究结论可知，离心机固液分离设备TS</w:t>
      </w:r>
      <w:r>
        <w:rPr>
          <w:rFonts w:hint="eastAsia" w:eastAsia="宋体" w:cs="Times New Roman"/>
          <w:color w:val="auto"/>
          <w:lang w:eastAsia="zh-CN"/>
        </w:rPr>
        <w:t>（</w:t>
      </w:r>
      <w:r>
        <w:rPr>
          <w:rFonts w:hint="eastAsia" w:eastAsia="宋体" w:cs="Times New Roman"/>
          <w:color w:val="auto"/>
          <w:lang w:val="en-US" w:eastAsia="zh-CN"/>
        </w:rPr>
        <w:t>总固体含量</w:t>
      </w:r>
      <w:r>
        <w:rPr>
          <w:rFonts w:hint="eastAsia" w:eastAsia="宋体" w:cs="Times New Roman"/>
          <w:color w:val="auto"/>
          <w:lang w:eastAsia="zh-CN"/>
        </w:rPr>
        <w:t>）</w:t>
      </w:r>
      <w:r>
        <w:rPr>
          <w:rFonts w:eastAsia="宋体" w:cs="Times New Roman"/>
          <w:color w:val="auto"/>
        </w:rPr>
        <w:t>去除率达到73.5%，处理后的粪便含水率65.1%。本次评价离心机固液分离设备TS去除率取73.5%，处理后粪便含水率65%，则项目猪粪分离出的干粪产生量为：</w:t>
      </w:r>
      <w:r>
        <w:rPr>
          <w:rFonts w:hint="eastAsia" w:ascii="宋体" w:hAnsi="宋体" w:eastAsia="宋体" w:cs="宋体"/>
          <w:color w:val="auto"/>
          <w:lang w:val="en-US" w:eastAsia="zh-CN"/>
        </w:rPr>
        <w:t>14</w:t>
      </w:r>
      <w:r>
        <w:rPr>
          <w:rFonts w:hint="eastAsia" w:eastAsia="宋体" w:cs="Times New Roman"/>
          <w:color w:val="auto"/>
          <w:lang w:val="en-US" w:eastAsia="zh-CN"/>
        </w:rPr>
        <w:t>×（1-76.75%）</w:t>
      </w:r>
      <w:r>
        <w:rPr>
          <w:rFonts w:eastAsia="宋体" w:cs="Times New Roman"/>
          <w:color w:val="auto"/>
        </w:rPr>
        <w:t>×73.5%÷（1-65%）</w:t>
      </w:r>
      <w:r>
        <w:rPr>
          <w:rFonts w:hint="eastAsia" w:eastAsia="宋体" w:cs="Times New Roman"/>
          <w:color w:val="auto"/>
          <w:lang w:val="en-US" w:eastAsia="zh-CN"/>
        </w:rPr>
        <w:t>=6.8355t/d，干粪含水量为4.443t/d。</w:t>
      </w:r>
    </w:p>
    <w:p>
      <w:pPr>
        <w:ind w:firstLine="480"/>
        <w:rPr>
          <w:rFonts w:hint="eastAsia" w:eastAsia="宋体" w:cs="Times New Roman"/>
          <w:color w:val="auto"/>
          <w:lang w:val="en-US" w:eastAsia="zh-CN"/>
        </w:rPr>
      </w:pPr>
      <w:r>
        <w:rPr>
          <w:rFonts w:eastAsia="宋体" w:cs="Times New Roman"/>
          <w:color w:val="auto"/>
        </w:rPr>
        <w:t>经固液分离后粪便中剩余干物质的量为：</w:t>
      </w:r>
      <w:r>
        <w:rPr>
          <w:rFonts w:hint="eastAsia" w:ascii="宋体" w:hAnsi="宋体" w:eastAsia="宋体" w:cs="宋体"/>
          <w:color w:val="auto"/>
          <w:lang w:val="en-US" w:eastAsia="zh-CN"/>
        </w:rPr>
        <w:t>14</w:t>
      </w:r>
      <w:r>
        <w:rPr>
          <w:rFonts w:eastAsia="宋体" w:cs="Times New Roman"/>
          <w:color w:val="auto"/>
        </w:rPr>
        <w:t>×（1-76.75%）×（1-73.5%）=</w:t>
      </w:r>
      <w:r>
        <w:rPr>
          <w:rFonts w:hint="eastAsia" w:eastAsia="宋体" w:cs="Times New Roman"/>
          <w:color w:val="auto"/>
        </w:rPr>
        <w:t>0.86</w:t>
      </w:r>
      <w:r>
        <w:rPr>
          <w:rFonts w:hint="eastAsia" w:eastAsia="宋体" w:cs="Times New Roman"/>
          <w:color w:val="auto"/>
          <w:lang w:val="en-US" w:eastAsia="zh-CN"/>
        </w:rPr>
        <w:t>3</w:t>
      </w:r>
      <w:r>
        <w:rPr>
          <w:rFonts w:eastAsia="宋体" w:cs="Times New Roman"/>
          <w:color w:val="auto"/>
        </w:rPr>
        <w:t>t/d，在厌氧发酵阶段被降解约50%，厌氧反应产生的沼渣回流至离心机固液分离设备进行脱水处理，含水率降至65%，则经固液分离后干沼渣产生量为：</w:t>
      </w:r>
      <w:r>
        <w:rPr>
          <w:rFonts w:hint="eastAsia" w:eastAsia="宋体" w:cs="Times New Roman"/>
          <w:color w:val="auto"/>
        </w:rPr>
        <w:t>0.86</w:t>
      </w:r>
      <w:r>
        <w:rPr>
          <w:rFonts w:hint="eastAsia" w:eastAsia="宋体" w:cs="Times New Roman"/>
          <w:color w:val="auto"/>
          <w:lang w:val="en-US" w:eastAsia="zh-CN"/>
        </w:rPr>
        <w:t>3</w:t>
      </w:r>
      <w:r>
        <w:rPr>
          <w:rFonts w:eastAsia="宋体" w:cs="Times New Roman"/>
          <w:color w:val="auto"/>
        </w:rPr>
        <w:t>×（1-50%）×73.5%÷（1-65%）=</w:t>
      </w:r>
      <w:r>
        <w:rPr>
          <w:rFonts w:hint="eastAsia" w:eastAsia="宋体" w:cs="Times New Roman"/>
          <w:color w:val="auto"/>
          <w:lang w:val="en-US" w:eastAsia="zh-CN"/>
        </w:rPr>
        <w:t>0.906</w:t>
      </w:r>
      <w:r>
        <w:rPr>
          <w:rFonts w:eastAsia="宋体" w:cs="Times New Roman"/>
          <w:color w:val="auto"/>
        </w:rPr>
        <w:t>t/d，其含水量为0.</w:t>
      </w:r>
      <w:r>
        <w:rPr>
          <w:rFonts w:hint="eastAsia" w:eastAsia="宋体" w:cs="Times New Roman"/>
          <w:color w:val="auto"/>
          <w:lang w:val="en-US" w:eastAsia="zh-CN"/>
        </w:rPr>
        <w:t>589</w:t>
      </w:r>
      <w:r>
        <w:rPr>
          <w:rFonts w:eastAsia="宋体" w:cs="Times New Roman"/>
          <w:color w:val="auto"/>
        </w:rPr>
        <w:t>m</w:t>
      </w:r>
      <w:r>
        <w:rPr>
          <w:rFonts w:eastAsia="宋体" w:cs="Times New Roman"/>
          <w:color w:val="auto"/>
          <w:vertAlign w:val="superscript"/>
        </w:rPr>
        <w:t>3</w:t>
      </w:r>
      <w:r>
        <w:rPr>
          <w:rFonts w:eastAsia="宋体" w:cs="Times New Roman"/>
          <w:color w:val="auto"/>
        </w:rPr>
        <w:t>/d。</w:t>
      </w:r>
      <w:r>
        <w:rPr>
          <w:rFonts w:hint="eastAsia" w:eastAsia="宋体" w:cs="Times New Roman"/>
          <w:color w:val="auto"/>
          <w:lang w:val="en-US" w:eastAsia="zh-CN"/>
        </w:rPr>
        <w:t>因此脱水量为：10.745-4.443-</w:t>
      </w:r>
      <w:r>
        <w:rPr>
          <w:rFonts w:eastAsia="宋体" w:cs="Times New Roman"/>
          <w:color w:val="auto"/>
        </w:rPr>
        <w:t>0.</w:t>
      </w:r>
      <w:r>
        <w:rPr>
          <w:rFonts w:hint="eastAsia" w:eastAsia="宋体" w:cs="Times New Roman"/>
          <w:color w:val="auto"/>
          <w:lang w:val="en-US" w:eastAsia="zh-CN"/>
        </w:rPr>
        <w:t>589=5.713t/d。</w:t>
      </w:r>
    </w:p>
    <w:p>
      <w:pPr>
        <w:ind w:firstLine="480"/>
        <w:rPr>
          <w:rFonts w:hint="eastAsia" w:ascii="Times New Roman" w:hAnsi="Times New Roman"/>
          <w:color w:val="auto"/>
        </w:rPr>
      </w:pPr>
      <w:r>
        <w:rPr>
          <w:rFonts w:hint="eastAsia" w:eastAsia="宋体" w:cs="Times New Roman"/>
          <w:color w:val="auto"/>
          <w:lang w:val="en-US" w:eastAsia="zh-CN"/>
        </w:rPr>
        <w:t>因此经计算，本项目猪粪脱水机的脱水量为5.713</w:t>
      </w:r>
      <w:r>
        <w:rPr>
          <w:rFonts w:eastAsia="宋体" w:cs="Times New Roman"/>
          <w:color w:val="auto"/>
        </w:rPr>
        <w:t>m</w:t>
      </w:r>
      <w:r>
        <w:rPr>
          <w:rFonts w:eastAsia="宋体" w:cs="Times New Roman"/>
          <w:color w:val="auto"/>
          <w:vertAlign w:val="superscript"/>
        </w:rPr>
        <w:t>3</w:t>
      </w:r>
      <w:r>
        <w:rPr>
          <w:rFonts w:eastAsia="宋体" w:cs="Times New Roman"/>
          <w:color w:val="auto"/>
        </w:rPr>
        <w:t>/d</w:t>
      </w:r>
      <w:r>
        <w:rPr>
          <w:rFonts w:hint="eastAsia" w:eastAsia="宋体" w:cs="Times New Roman"/>
          <w:color w:val="auto"/>
          <w:lang w:eastAsia="zh-CN"/>
        </w:rPr>
        <w:t>，</w:t>
      </w:r>
      <w:r>
        <w:rPr>
          <w:rFonts w:hint="eastAsia" w:eastAsia="宋体" w:cs="Times New Roman"/>
          <w:color w:val="auto"/>
          <w:lang w:val="en-US" w:eastAsia="zh-CN"/>
        </w:rPr>
        <w:t>2056.68</w:t>
      </w:r>
      <w:r>
        <w:rPr>
          <w:rFonts w:eastAsia="宋体" w:cs="Times New Roman"/>
          <w:color w:val="auto"/>
        </w:rPr>
        <w:t>m</w:t>
      </w:r>
      <w:r>
        <w:rPr>
          <w:rFonts w:eastAsia="宋体" w:cs="Times New Roman"/>
          <w:color w:val="auto"/>
          <w:vertAlign w:val="superscript"/>
        </w:rPr>
        <w:t>3</w:t>
      </w:r>
      <w:r>
        <w:rPr>
          <w:rFonts w:eastAsia="宋体" w:cs="Times New Roman"/>
          <w:color w:val="auto"/>
        </w:rPr>
        <w:t>/</w:t>
      </w:r>
      <w:r>
        <w:rPr>
          <w:rFonts w:hint="eastAsia" w:eastAsia="宋体" w:cs="Times New Roman"/>
          <w:color w:val="auto"/>
          <w:lang w:val="en-US" w:eastAsia="zh-CN"/>
        </w:rPr>
        <w:t>a。</w:t>
      </w:r>
    </w:p>
    <w:p>
      <w:pPr>
        <w:ind w:firstLine="482"/>
        <w:rPr>
          <w:b/>
          <w:color w:val="auto"/>
        </w:rPr>
      </w:pPr>
      <w:r>
        <w:rPr>
          <w:b/>
          <w:color w:val="auto"/>
        </w:rPr>
        <w:t>2、猪舍冲洗用水</w:t>
      </w:r>
    </w:p>
    <w:p>
      <w:pPr>
        <w:ind w:firstLine="480"/>
        <w:rPr>
          <w:color w:val="auto"/>
        </w:rPr>
      </w:pPr>
      <w:r>
        <w:rPr>
          <w:color w:val="auto"/>
        </w:rPr>
        <w:t>本项目利用高压水枪在猪只转栏时对各猪舍进行冲洗、消毒；由于本项目拟采用干清粪工艺，实现了猪舍粪尿日产日清，可避免每日清洗猪舍，节约用水，并保持猪舍清洁和干燥。</w:t>
      </w:r>
    </w:p>
    <w:p>
      <w:pPr>
        <w:ind w:firstLine="480"/>
        <w:rPr>
          <w:rFonts w:hint="eastAsia"/>
          <w:color w:val="auto"/>
        </w:rPr>
      </w:pPr>
      <w:r>
        <w:rPr>
          <w:rFonts w:hint="eastAsia"/>
          <w:color w:val="auto"/>
        </w:rPr>
        <w:t>本项目猪舍年清洗约2次，分别在两批育肥猪出栏后对猪舍进行全面清洗和消毒，冲洗用水量按 6L/（㎡·次）计，本项目猪舍面积共计约</w:t>
      </w:r>
      <w:r>
        <w:rPr>
          <w:rFonts w:hint="eastAsia"/>
          <w:color w:val="auto"/>
          <w:lang w:val="en-US" w:eastAsia="zh-CN"/>
        </w:rPr>
        <w:t>9000</w:t>
      </w:r>
      <w:r>
        <w:rPr>
          <w:rFonts w:hint="eastAsia"/>
          <w:color w:val="auto"/>
        </w:rPr>
        <w:t>㎡，则猪舍冲洗</w:t>
      </w:r>
    </w:p>
    <w:p>
      <w:pPr>
        <w:ind w:left="0" w:leftChars="0" w:firstLine="0" w:firstLineChars="0"/>
        <w:rPr>
          <w:color w:val="auto"/>
        </w:rPr>
      </w:pPr>
      <w:r>
        <w:rPr>
          <w:rFonts w:hint="eastAsia"/>
          <w:color w:val="auto"/>
        </w:rPr>
        <w:t>用水量为0.3m³/d，108m³/a。</w:t>
      </w:r>
      <w:r>
        <w:rPr>
          <w:color w:val="auto"/>
        </w:rPr>
        <w:t>排污系数按0.9计，猪舍冲洗废水量为</w:t>
      </w:r>
      <w:r>
        <w:rPr>
          <w:rFonts w:hint="eastAsia"/>
          <w:color w:val="auto"/>
          <w:lang w:val="en-US" w:eastAsia="zh-CN"/>
        </w:rPr>
        <w:t>0.27</w:t>
      </w:r>
      <w:r>
        <w:rPr>
          <w:color w:val="auto"/>
        </w:rPr>
        <w:t>m</w:t>
      </w:r>
      <w:r>
        <w:rPr>
          <w:color w:val="auto"/>
          <w:vertAlign w:val="superscript"/>
        </w:rPr>
        <w:t>3</w:t>
      </w:r>
      <w:r>
        <w:rPr>
          <w:color w:val="auto"/>
        </w:rPr>
        <w:t>/d（</w:t>
      </w:r>
      <w:r>
        <w:rPr>
          <w:rFonts w:hint="eastAsia"/>
          <w:color w:val="auto"/>
        </w:rPr>
        <w:t>97.2</w:t>
      </w:r>
      <w:r>
        <w:rPr>
          <w:color w:val="auto"/>
        </w:rPr>
        <w:t>m</w:t>
      </w:r>
      <w:r>
        <w:rPr>
          <w:color w:val="auto"/>
          <w:vertAlign w:val="superscript"/>
        </w:rPr>
        <w:t>3</w:t>
      </w:r>
      <w:r>
        <w:rPr>
          <w:color w:val="auto"/>
        </w:rPr>
        <w:t>/a）。</w:t>
      </w:r>
    </w:p>
    <w:p>
      <w:pPr>
        <w:ind w:firstLine="482"/>
        <w:rPr>
          <w:color w:val="auto"/>
        </w:rPr>
      </w:pPr>
      <w:r>
        <w:rPr>
          <w:rFonts w:hint="eastAsia"/>
          <w:b/>
          <w:color w:val="auto"/>
          <w:lang w:val="en-US" w:eastAsia="zh-CN"/>
        </w:rPr>
        <w:t>3</w:t>
      </w:r>
      <w:r>
        <w:rPr>
          <w:b/>
          <w:color w:val="auto"/>
        </w:rPr>
        <w:t>、消毒用水</w:t>
      </w:r>
    </w:p>
    <w:p>
      <w:pPr>
        <w:ind w:firstLine="480"/>
        <w:rPr>
          <w:color w:val="auto"/>
        </w:rPr>
      </w:pPr>
      <w:r>
        <w:rPr>
          <w:color w:val="auto"/>
        </w:rPr>
        <w:t>本项目场区消毒用水主要包括猪舍内猪体、猪圈、地面、饲喂工具等消毒，生产区道路消毒、运输车辆的消毒以及进出工作人员的消毒。根据类比数据，平均每次消 毒用水量为</w:t>
      </w:r>
      <w:r>
        <w:rPr>
          <w:rFonts w:hint="eastAsia"/>
          <w:color w:val="auto"/>
          <w:lang w:val="en-US" w:eastAsia="zh-CN"/>
        </w:rPr>
        <w:t>1.25</w:t>
      </w:r>
      <w:r>
        <w:rPr>
          <w:color w:val="auto"/>
        </w:rPr>
        <w:t>m</w:t>
      </w:r>
      <w:r>
        <w:rPr>
          <w:color w:val="auto"/>
          <w:vertAlign w:val="superscript"/>
        </w:rPr>
        <w:t>3</w:t>
      </w:r>
      <w:r>
        <w:rPr>
          <w:color w:val="auto"/>
        </w:rPr>
        <w:t>/d，则全年消毒用水量为</w:t>
      </w:r>
      <w:r>
        <w:rPr>
          <w:rFonts w:hint="eastAsia"/>
          <w:color w:val="auto"/>
          <w:lang w:val="en-US" w:eastAsia="zh-CN"/>
        </w:rPr>
        <w:t>450</w:t>
      </w:r>
      <w:r>
        <w:rPr>
          <w:color w:val="auto"/>
        </w:rPr>
        <w:t>m</w:t>
      </w:r>
      <w:r>
        <w:rPr>
          <w:color w:val="auto"/>
          <w:vertAlign w:val="superscript"/>
        </w:rPr>
        <w:t>3</w:t>
      </w:r>
      <w:r>
        <w:rPr>
          <w:color w:val="auto"/>
        </w:rPr>
        <w:t>/a，该部分消毒用水全部损耗蒸发。</w:t>
      </w:r>
    </w:p>
    <w:p>
      <w:pPr>
        <w:ind w:firstLine="482"/>
        <w:rPr>
          <w:b/>
          <w:color w:val="auto"/>
        </w:rPr>
      </w:pPr>
      <w:r>
        <w:rPr>
          <w:rFonts w:hint="eastAsia"/>
          <w:b/>
          <w:color w:val="auto"/>
          <w:lang w:val="en-US" w:eastAsia="zh-CN"/>
        </w:rPr>
        <w:t>4</w:t>
      </w:r>
      <w:r>
        <w:rPr>
          <w:b/>
          <w:color w:val="auto"/>
        </w:rPr>
        <w:t>、职工生活用水</w:t>
      </w:r>
    </w:p>
    <w:p>
      <w:pPr>
        <w:ind w:firstLine="480"/>
        <w:rPr>
          <w:color w:val="auto"/>
        </w:rPr>
      </w:pPr>
      <w:r>
        <w:rPr>
          <w:rFonts w:hint="eastAsia" w:ascii="宋体" w:hAnsi="宋体" w:cs="宋体"/>
          <w:color w:val="auto"/>
        </w:rPr>
        <w:t>①</w:t>
      </w:r>
      <w:r>
        <w:rPr>
          <w:color w:val="auto"/>
        </w:rPr>
        <w:t>办公及生活用水</w:t>
      </w:r>
    </w:p>
    <w:p>
      <w:pPr>
        <w:ind w:firstLine="480"/>
        <w:rPr>
          <w:color w:val="auto"/>
        </w:rPr>
      </w:pPr>
      <w:r>
        <w:rPr>
          <w:color w:val="auto"/>
        </w:rPr>
        <w:t>本项目建成后，场区内设置有职工食堂和倒班宿舍，劳动定员</w:t>
      </w:r>
      <w:r>
        <w:rPr>
          <w:rFonts w:hint="eastAsia"/>
          <w:color w:val="auto"/>
          <w:lang w:val="en-US" w:eastAsia="zh-CN"/>
        </w:rPr>
        <w:t>7</w:t>
      </w:r>
      <w:r>
        <w:rPr>
          <w:color w:val="auto"/>
        </w:rPr>
        <w:t>人。职工日常办公及生活用水量按100L/人·d计，则办公及生活用水量为</w:t>
      </w:r>
      <w:r>
        <w:rPr>
          <w:rFonts w:hint="eastAsia"/>
          <w:color w:val="auto"/>
          <w:lang w:val="en-US" w:eastAsia="zh-CN"/>
        </w:rPr>
        <w:t>0.7</w:t>
      </w:r>
      <w:r>
        <w:rPr>
          <w:color w:val="auto"/>
        </w:rPr>
        <w:t>m</w:t>
      </w:r>
      <w:r>
        <w:rPr>
          <w:color w:val="auto"/>
          <w:vertAlign w:val="superscript"/>
        </w:rPr>
        <w:t>3</w:t>
      </w:r>
      <w:r>
        <w:rPr>
          <w:color w:val="auto"/>
        </w:rPr>
        <w:t>/d（</w:t>
      </w:r>
      <w:r>
        <w:rPr>
          <w:rFonts w:hint="eastAsia"/>
          <w:color w:val="auto"/>
        </w:rPr>
        <w:t>255.5</w:t>
      </w:r>
      <w:r>
        <w:rPr>
          <w:color w:val="auto"/>
        </w:rPr>
        <w:t>m</w:t>
      </w:r>
      <w:r>
        <w:rPr>
          <w:color w:val="auto"/>
          <w:vertAlign w:val="superscript"/>
        </w:rPr>
        <w:t>3</w:t>
      </w:r>
      <w:r>
        <w:rPr>
          <w:color w:val="auto"/>
        </w:rPr>
        <w:t>/a），污水产生系数按80%计，则本项目办公及生活污水产生量为</w:t>
      </w:r>
      <w:r>
        <w:rPr>
          <w:rFonts w:hint="eastAsia"/>
          <w:color w:val="auto"/>
          <w:lang w:val="en-US" w:eastAsia="zh-CN"/>
        </w:rPr>
        <w:t>0.56</w:t>
      </w:r>
      <w:r>
        <w:rPr>
          <w:color w:val="auto"/>
        </w:rPr>
        <w:t>m</w:t>
      </w:r>
      <w:r>
        <w:rPr>
          <w:color w:val="auto"/>
          <w:vertAlign w:val="superscript"/>
        </w:rPr>
        <w:t>3</w:t>
      </w:r>
      <w:r>
        <w:rPr>
          <w:color w:val="auto"/>
        </w:rPr>
        <w:t>/d（</w:t>
      </w:r>
      <w:r>
        <w:rPr>
          <w:rFonts w:hint="eastAsia"/>
          <w:color w:val="auto"/>
        </w:rPr>
        <w:t>204.4</w:t>
      </w:r>
      <w:r>
        <w:rPr>
          <w:color w:val="auto"/>
        </w:rPr>
        <w:t>m</w:t>
      </w:r>
      <w:r>
        <w:rPr>
          <w:color w:val="auto"/>
          <w:vertAlign w:val="superscript"/>
        </w:rPr>
        <w:t>3</w:t>
      </w:r>
      <w:r>
        <w:rPr>
          <w:color w:val="auto"/>
        </w:rPr>
        <w:t>/a）。</w:t>
      </w:r>
    </w:p>
    <w:p>
      <w:pPr>
        <w:ind w:firstLine="480"/>
        <w:rPr>
          <w:color w:val="auto"/>
        </w:rPr>
      </w:pPr>
      <w:r>
        <w:rPr>
          <w:rFonts w:hint="eastAsia" w:ascii="宋体" w:hAnsi="宋体" w:cs="宋体"/>
          <w:color w:val="auto"/>
        </w:rPr>
        <w:t>②</w:t>
      </w:r>
      <w:r>
        <w:rPr>
          <w:color w:val="auto"/>
        </w:rPr>
        <w:t>食堂用水</w:t>
      </w:r>
    </w:p>
    <w:p>
      <w:pPr>
        <w:pStyle w:val="16"/>
        <w:spacing w:line="360" w:lineRule="auto"/>
        <w:ind w:firstLine="480"/>
        <w:rPr>
          <w:rFonts w:ascii="Times New Roman" w:hAnsi="Times New Roman"/>
          <w:color w:val="auto"/>
        </w:rPr>
      </w:pPr>
      <w:r>
        <w:rPr>
          <w:rFonts w:ascii="Times New Roman" w:hAnsi="Times New Roman"/>
          <w:color w:val="auto"/>
        </w:rPr>
        <w:t>项目设有职工食堂，每天供应三餐。根据《</w:t>
      </w:r>
      <w:r>
        <w:rPr>
          <w:rFonts w:hint="eastAsia" w:ascii="Times New Roman" w:hAnsi="Times New Roman"/>
          <w:color w:val="auto"/>
        </w:rPr>
        <w:t>四川省用水定额</w:t>
      </w:r>
      <w:r>
        <w:rPr>
          <w:rFonts w:ascii="Times New Roman" w:hAnsi="Times New Roman"/>
          <w:color w:val="auto"/>
        </w:rPr>
        <w:t>》（</w:t>
      </w:r>
      <w:r>
        <w:rPr>
          <w:rFonts w:hint="eastAsia" w:ascii="Times New Roman" w:hAnsi="Times New Roman"/>
          <w:color w:val="auto"/>
          <w:lang w:val="en-US" w:eastAsia="zh-CN"/>
        </w:rPr>
        <w:t>2021年</w:t>
      </w:r>
      <w:r>
        <w:rPr>
          <w:rFonts w:ascii="Times New Roman" w:hAnsi="Times New Roman"/>
          <w:color w:val="auto"/>
        </w:rPr>
        <w:t>）及《建筑给水排水设计标准》（GB50015-2019），职工食堂用水定额按每人每餐25L计算，则每人每天用水量为0.075m</w:t>
      </w:r>
      <w:r>
        <w:rPr>
          <w:rFonts w:ascii="Times New Roman" w:hAnsi="Times New Roman"/>
          <w:color w:val="auto"/>
          <w:vertAlign w:val="superscript"/>
        </w:rPr>
        <w:t>3</w:t>
      </w:r>
      <w:r>
        <w:rPr>
          <w:rFonts w:ascii="Times New Roman" w:hAnsi="Times New Roman"/>
          <w:color w:val="auto"/>
        </w:rPr>
        <w:t>/人·d，项目食堂就餐人数</w:t>
      </w:r>
      <w:r>
        <w:rPr>
          <w:rFonts w:hint="eastAsia" w:ascii="Times New Roman" w:hAnsi="Times New Roman"/>
          <w:color w:val="auto"/>
          <w:lang w:val="en-US" w:eastAsia="zh-CN"/>
        </w:rPr>
        <w:t>7</w:t>
      </w:r>
      <w:r>
        <w:rPr>
          <w:rFonts w:ascii="Times New Roman" w:hAnsi="Times New Roman"/>
          <w:color w:val="auto"/>
        </w:rPr>
        <w:t>人，则项目食堂用水量为</w:t>
      </w:r>
      <w:r>
        <w:rPr>
          <w:rFonts w:hint="eastAsia" w:ascii="Times New Roman" w:hAnsi="Times New Roman"/>
          <w:color w:val="auto"/>
        </w:rPr>
        <w:t>0.525</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w:t>
      </w:r>
      <w:r>
        <w:rPr>
          <w:rFonts w:hint="eastAsia" w:ascii="Times New Roman" w:hAnsi="Times New Roman"/>
          <w:color w:val="auto"/>
        </w:rPr>
        <w:t>191.625</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/a），污水产生系数按80%计，则本项目食堂废水产生量为</w:t>
      </w:r>
      <w:r>
        <w:rPr>
          <w:rFonts w:hint="eastAsia" w:ascii="Times New Roman" w:hAnsi="Times New Roman"/>
          <w:color w:val="auto"/>
        </w:rPr>
        <w:t>0.42</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w:t>
      </w:r>
      <w:r>
        <w:rPr>
          <w:rFonts w:hint="eastAsia" w:ascii="Times New Roman" w:hAnsi="Times New Roman"/>
          <w:color w:val="auto"/>
        </w:rPr>
        <w:t>153.3</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/a）。</w:t>
      </w:r>
    </w:p>
    <w:p>
      <w:pPr>
        <w:pStyle w:val="16"/>
        <w:ind w:firstLine="482"/>
        <w:rPr>
          <w:rFonts w:ascii="Times New Roman" w:hAnsi="Times New Roman"/>
          <w:b/>
          <w:color w:val="auto"/>
        </w:rPr>
      </w:pPr>
      <w:r>
        <w:rPr>
          <w:rFonts w:hint="eastAsia" w:ascii="Times New Roman" w:hAnsi="Times New Roman"/>
          <w:b/>
          <w:color w:val="auto"/>
          <w:lang w:val="en-US" w:eastAsia="zh-CN"/>
        </w:rPr>
        <w:t>5</w:t>
      </w:r>
      <w:r>
        <w:rPr>
          <w:rFonts w:ascii="Times New Roman" w:hAnsi="Times New Roman"/>
          <w:b/>
          <w:color w:val="auto"/>
        </w:rPr>
        <w:t>、夏季湿帘用水</w:t>
      </w:r>
    </w:p>
    <w:p>
      <w:pPr>
        <w:pStyle w:val="16"/>
        <w:ind w:firstLine="480"/>
        <w:rPr>
          <w:rFonts w:hint="eastAsia" w:ascii="Times New Roman" w:hAnsi="Times New Roman"/>
          <w:b/>
          <w:color w:val="auto"/>
        </w:rPr>
      </w:pPr>
      <w:r>
        <w:rPr>
          <w:rFonts w:ascii="Times New Roman" w:hAnsi="Times New Roman"/>
          <w:color w:val="auto"/>
        </w:rPr>
        <w:t>项目猪舍夏季采用湿帘的方式降温处理，湿帘用水循环使用，定期补充损耗。根据实际需求，项目共计</w:t>
      </w:r>
      <w:r>
        <w:rPr>
          <w:rFonts w:hint="eastAsia" w:ascii="Times New Roman" w:hAnsi="Times New Roman"/>
          <w:color w:val="auto"/>
          <w:lang w:val="en-US" w:eastAsia="zh-CN"/>
        </w:rPr>
        <w:t>6</w:t>
      </w:r>
      <w:r>
        <w:rPr>
          <w:rFonts w:ascii="Times New Roman" w:hAnsi="Times New Roman"/>
          <w:color w:val="auto"/>
        </w:rPr>
        <w:t>套湿帘系统，每套循环水规模为3m</w:t>
      </w:r>
      <w:r>
        <w:rPr>
          <w:rFonts w:ascii="Times New Roman" w:hAnsi="Times New Roman"/>
          <w:color w:val="auto"/>
          <w:vertAlign w:val="superscript"/>
        </w:rPr>
        <w:t>3</w:t>
      </w:r>
      <w:r>
        <w:rPr>
          <w:rFonts w:ascii="Times New Roman" w:hAnsi="Times New Roman"/>
          <w:color w:val="auto"/>
        </w:rPr>
        <w:t>/h，降温期按</w:t>
      </w:r>
      <w:r>
        <w:rPr>
          <w:rFonts w:hint="eastAsia" w:ascii="Times New Roman" w:hAnsi="Times New Roman"/>
          <w:color w:val="auto"/>
        </w:rPr>
        <w:t>122d估算（夏季）</w:t>
      </w:r>
      <w:r>
        <w:rPr>
          <w:rFonts w:ascii="Times New Roman" w:hAnsi="Times New Roman"/>
          <w:color w:val="auto"/>
        </w:rPr>
        <w:t>，</w:t>
      </w:r>
      <w:r>
        <w:rPr>
          <w:rFonts w:hint="eastAsia" w:ascii="Times New Roman" w:hAnsi="Times New Roman"/>
          <w:color w:val="auto"/>
        </w:rPr>
        <w:t>运行时间约6h/d，</w:t>
      </w:r>
      <w:r>
        <w:rPr>
          <w:rFonts w:ascii="Times New Roman" w:hAnsi="Times New Roman"/>
          <w:color w:val="auto"/>
        </w:rPr>
        <w:t>水帘系统用水循环使用，水循环利用约90%，则猪场湿帘降温系统新鲜水补充量约</w:t>
      </w:r>
      <w:r>
        <w:rPr>
          <w:rFonts w:hint="eastAsia" w:ascii="Times New Roman" w:hAnsi="Times New Roman"/>
          <w:color w:val="auto"/>
          <w:lang w:val="en-US" w:eastAsia="zh-CN"/>
        </w:rPr>
        <w:t>10.8</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w:t>
      </w:r>
      <w:r>
        <w:rPr>
          <w:rFonts w:hint="eastAsia" w:ascii="Times New Roman" w:hAnsi="Times New Roman"/>
          <w:color w:val="auto"/>
        </w:rPr>
        <w:t>1317.6</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/a），该部分用水全部蒸发损耗，无废水产生。</w:t>
      </w:r>
    </w:p>
    <w:p>
      <w:pPr>
        <w:pStyle w:val="16"/>
        <w:numPr>
          <w:ilvl w:val="0"/>
          <w:numId w:val="0"/>
        </w:numPr>
        <w:ind w:firstLine="482" w:firstLineChars="200"/>
        <w:rPr>
          <w:rFonts w:ascii="Times New Roman" w:hAnsi="Times New Roman"/>
          <w:b/>
          <w:color w:val="auto"/>
        </w:rPr>
      </w:pPr>
      <w:r>
        <w:rPr>
          <w:rFonts w:hint="eastAsia" w:ascii="Times New Roman" w:hAnsi="Times New Roman"/>
          <w:b/>
          <w:color w:val="auto"/>
          <w:lang w:val="en-US" w:eastAsia="zh-CN"/>
        </w:rPr>
        <w:t>6</w:t>
      </w:r>
      <w:r>
        <w:rPr>
          <w:rFonts w:ascii="Times New Roman" w:hAnsi="Times New Roman"/>
          <w:b/>
          <w:color w:val="auto"/>
        </w:rPr>
        <w:t>、绿化用水</w:t>
      </w:r>
    </w:p>
    <w:p>
      <w:pPr>
        <w:pStyle w:val="16"/>
        <w:ind w:firstLine="480"/>
        <w:rPr>
          <w:rFonts w:ascii="Times New Roman" w:hAnsi="Times New Roman"/>
          <w:color w:val="auto"/>
        </w:rPr>
      </w:pPr>
      <w:r>
        <w:rPr>
          <w:rFonts w:ascii="Times New Roman" w:hAnsi="Times New Roman"/>
          <w:color w:val="auto"/>
        </w:rPr>
        <w:t>本项目厂区绿化面积约5000m</w:t>
      </w:r>
      <w:r>
        <w:rPr>
          <w:rFonts w:ascii="Times New Roman" w:hAnsi="Times New Roman"/>
          <w:color w:val="auto"/>
          <w:vertAlign w:val="superscript"/>
        </w:rPr>
        <w:t>2</w:t>
      </w:r>
      <w:r>
        <w:rPr>
          <w:rFonts w:ascii="Times New Roman" w:hAnsi="Times New Roman"/>
          <w:color w:val="auto"/>
        </w:rPr>
        <w:t>，用水量按2L/m</w:t>
      </w:r>
      <w:r>
        <w:rPr>
          <w:rFonts w:ascii="Times New Roman" w:hAnsi="Times New Roman"/>
          <w:color w:val="auto"/>
          <w:vertAlign w:val="superscript"/>
        </w:rPr>
        <w:t>2</w:t>
      </w:r>
      <w:r>
        <w:rPr>
          <w:rFonts w:ascii="Times New Roman" w:hAnsi="Times New Roman"/>
          <w:color w:val="auto"/>
        </w:rPr>
        <w:t>·次计，</w:t>
      </w:r>
      <w:r>
        <w:rPr>
          <w:rFonts w:ascii="Times New Roman" w:hAnsi="Times New Roman"/>
          <w:color w:val="auto"/>
          <w:kern w:val="0"/>
        </w:rPr>
        <w:t>按10天浇洒一次计，</w:t>
      </w:r>
      <w:r>
        <w:rPr>
          <w:rFonts w:ascii="Times New Roman" w:hAnsi="Times New Roman"/>
          <w:color w:val="auto"/>
        </w:rPr>
        <w:t>则绿化用水为10m</w:t>
      </w:r>
      <w:r>
        <w:rPr>
          <w:rFonts w:ascii="Times New Roman" w:hAnsi="Times New Roman"/>
          <w:color w:val="auto"/>
          <w:vertAlign w:val="superscript"/>
        </w:rPr>
        <w:t>3</w:t>
      </w:r>
      <w:r>
        <w:rPr>
          <w:rFonts w:ascii="Times New Roman" w:hAnsi="Times New Roman"/>
          <w:color w:val="auto"/>
        </w:rPr>
        <w:t>/次，365m</w:t>
      </w:r>
      <w:r>
        <w:rPr>
          <w:rFonts w:ascii="Times New Roman" w:hAnsi="Times New Roman"/>
          <w:color w:val="auto"/>
          <w:vertAlign w:val="superscript"/>
        </w:rPr>
        <w:t>3</w:t>
      </w:r>
      <w:r>
        <w:rPr>
          <w:rFonts w:ascii="Times New Roman" w:hAnsi="Times New Roman"/>
          <w:color w:val="auto"/>
        </w:rPr>
        <w:t>/a</w:t>
      </w:r>
      <w:r>
        <w:rPr>
          <w:rFonts w:hint="eastAsia" w:ascii="Times New Roman" w:hAnsi="Times New Roman"/>
          <w:color w:val="auto"/>
        </w:rPr>
        <w:t>（1</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w:t>
      </w:r>
      <w:r>
        <w:rPr>
          <w:rFonts w:hint="eastAsia" w:ascii="Times New Roman" w:hAnsi="Times New Roman"/>
          <w:color w:val="auto"/>
        </w:rPr>
        <w:t>）</w:t>
      </w:r>
      <w:r>
        <w:rPr>
          <w:rFonts w:ascii="Times New Roman" w:hAnsi="Times New Roman"/>
          <w:color w:val="auto"/>
        </w:rPr>
        <w:t>；该部分用水使用污水处理设施</w:t>
      </w:r>
      <w:r>
        <w:rPr>
          <w:rFonts w:hint="eastAsia" w:ascii="Times New Roman" w:hAnsi="Times New Roman"/>
          <w:color w:val="auto"/>
          <w:lang w:val="en-US" w:eastAsia="zh-CN"/>
        </w:rPr>
        <w:t>沼液暂存</w:t>
      </w:r>
      <w:r>
        <w:rPr>
          <w:rFonts w:ascii="Times New Roman" w:hAnsi="Times New Roman"/>
          <w:color w:val="auto"/>
        </w:rPr>
        <w:t>池尾水，不计入用水量；经绿化吸收和自然蒸发，无废水产生。</w:t>
      </w:r>
    </w:p>
    <w:p>
      <w:pPr>
        <w:pStyle w:val="16"/>
        <w:wordWrap w:val="0"/>
        <w:ind w:firstLine="480"/>
        <w:rPr>
          <w:color w:val="auto"/>
        </w:rPr>
      </w:pPr>
      <w:r>
        <w:rPr>
          <w:rFonts w:ascii="Times New Roman" w:hAnsi="Times New Roman"/>
          <w:color w:val="auto"/>
        </w:rPr>
        <w:t>本项目运营期用水量预测及分配情况见下表3.</w:t>
      </w:r>
      <w:r>
        <w:rPr>
          <w:rFonts w:hint="eastAsia" w:ascii="Times New Roman" w:hAnsi="Times New Roman"/>
          <w:color w:val="auto"/>
          <w:lang w:val="en-US" w:eastAsia="zh-CN"/>
        </w:rPr>
        <w:t>6</w:t>
      </w:r>
      <w:r>
        <w:rPr>
          <w:rFonts w:ascii="Times New Roman" w:hAnsi="Times New Roman"/>
          <w:color w:val="auto"/>
        </w:rPr>
        <w:t>-</w:t>
      </w:r>
      <w:r>
        <w:rPr>
          <w:rFonts w:hint="eastAsia" w:ascii="Times New Roman" w:hAnsi="Times New Roman"/>
          <w:color w:val="auto"/>
          <w:lang w:val="en-US" w:eastAsia="zh-CN"/>
        </w:rPr>
        <w:t>4</w:t>
      </w:r>
      <w:r>
        <w:rPr>
          <w:rFonts w:ascii="Times New Roman" w:hAnsi="Times New Roman"/>
          <w:color w:val="auto"/>
        </w:rPr>
        <w:t>。</w:t>
      </w:r>
    </w:p>
    <w:p>
      <w:pPr>
        <w:pStyle w:val="166"/>
        <w:spacing w:before="120" w:beforeLines="0"/>
        <w:ind w:firstLine="480"/>
        <w:rPr>
          <w:color w:val="auto"/>
        </w:rPr>
      </w:pPr>
      <w:r>
        <w:rPr>
          <w:color w:val="auto"/>
        </w:rPr>
        <w:t>表 3.</w:t>
      </w:r>
      <w:r>
        <w:rPr>
          <w:rFonts w:hint="eastAsia"/>
          <w:color w:val="auto"/>
          <w:lang w:val="en-US" w:eastAsia="zh-CN"/>
        </w:rPr>
        <w:t>6</w:t>
      </w:r>
      <w:r>
        <w:rPr>
          <w:color w:val="auto"/>
        </w:rPr>
        <w:t>-</w:t>
      </w:r>
      <w:r>
        <w:rPr>
          <w:rFonts w:hint="eastAsia"/>
          <w:color w:val="auto"/>
          <w:lang w:val="en-US" w:eastAsia="zh-CN"/>
        </w:rPr>
        <w:t>4</w:t>
      </w:r>
      <w:r>
        <w:rPr>
          <w:color w:val="auto"/>
        </w:rPr>
        <w:t xml:space="preserve">   项目用水量预测及分配情况表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09"/>
        <w:gridCol w:w="567"/>
        <w:gridCol w:w="1276"/>
        <w:gridCol w:w="1223"/>
        <w:gridCol w:w="903"/>
        <w:gridCol w:w="993"/>
        <w:gridCol w:w="1371"/>
        <w:gridCol w:w="174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709" w:type="dxa"/>
            <w:tcBorders>
              <w:right w:val="single" w:color="auto" w:sz="4" w:space="0"/>
            </w:tcBorders>
            <w:noWrap w:val="0"/>
            <w:vAlign w:val="center"/>
          </w:tcPr>
          <w:p>
            <w:pPr>
              <w:pStyle w:val="332"/>
              <w:kinsoku w:val="0"/>
              <w:overflowPunct w:val="0"/>
              <w:jc w:val="center"/>
              <w:rPr>
                <w:b/>
                <w:color w:val="auto"/>
                <w:sz w:val="20"/>
                <w:szCs w:val="20"/>
              </w:rPr>
            </w:pPr>
            <w:r>
              <w:rPr>
                <w:b/>
                <w:color w:val="auto"/>
                <w:sz w:val="20"/>
                <w:szCs w:val="20"/>
              </w:rPr>
              <w:t>序号</w:t>
            </w:r>
          </w:p>
        </w:tc>
        <w:tc>
          <w:tcPr>
            <w:tcW w:w="1843" w:type="dxa"/>
            <w:gridSpan w:val="2"/>
            <w:tcBorders>
              <w:left w:val="single" w:color="auto" w:sz="4" w:space="0"/>
            </w:tcBorders>
            <w:noWrap w:val="0"/>
            <w:vAlign w:val="center"/>
          </w:tcPr>
          <w:p>
            <w:pPr>
              <w:pStyle w:val="332"/>
              <w:kinsoku w:val="0"/>
              <w:overflowPunct w:val="0"/>
              <w:jc w:val="center"/>
              <w:rPr>
                <w:b/>
                <w:color w:val="auto"/>
                <w:sz w:val="20"/>
                <w:szCs w:val="20"/>
              </w:rPr>
            </w:pPr>
            <w:r>
              <w:rPr>
                <w:b/>
                <w:color w:val="auto"/>
                <w:sz w:val="20"/>
                <w:szCs w:val="20"/>
              </w:rPr>
              <w:t>用水项目</w:t>
            </w:r>
          </w:p>
        </w:tc>
        <w:tc>
          <w:tcPr>
            <w:tcW w:w="1223" w:type="dxa"/>
            <w:noWrap w:val="0"/>
            <w:vAlign w:val="center"/>
          </w:tcPr>
          <w:p>
            <w:pPr>
              <w:pStyle w:val="332"/>
              <w:kinsoku w:val="0"/>
              <w:overflowPunct w:val="0"/>
              <w:jc w:val="center"/>
              <w:rPr>
                <w:b/>
                <w:color w:val="auto"/>
                <w:sz w:val="20"/>
                <w:szCs w:val="20"/>
              </w:rPr>
            </w:pPr>
            <w:r>
              <w:rPr>
                <w:b/>
                <w:color w:val="auto"/>
                <w:sz w:val="20"/>
                <w:szCs w:val="20"/>
              </w:rPr>
              <w:t>用水标准</w:t>
            </w:r>
          </w:p>
        </w:tc>
        <w:tc>
          <w:tcPr>
            <w:tcW w:w="903" w:type="dxa"/>
            <w:noWrap w:val="0"/>
            <w:vAlign w:val="center"/>
          </w:tcPr>
          <w:p>
            <w:pPr>
              <w:pStyle w:val="332"/>
              <w:kinsoku w:val="0"/>
              <w:overflowPunct w:val="0"/>
              <w:ind w:right="1"/>
              <w:jc w:val="center"/>
              <w:rPr>
                <w:b/>
                <w:color w:val="auto"/>
                <w:sz w:val="20"/>
                <w:szCs w:val="20"/>
              </w:rPr>
            </w:pPr>
            <w:r>
              <w:rPr>
                <w:b/>
                <w:color w:val="auto"/>
                <w:sz w:val="20"/>
                <w:szCs w:val="20"/>
              </w:rPr>
              <w:t>用水规模</w:t>
            </w:r>
          </w:p>
        </w:tc>
        <w:tc>
          <w:tcPr>
            <w:tcW w:w="993" w:type="dxa"/>
            <w:tcBorders>
              <w:right w:val="single" w:color="auto" w:sz="4" w:space="0"/>
            </w:tcBorders>
            <w:noWrap w:val="0"/>
            <w:vAlign w:val="center"/>
          </w:tcPr>
          <w:p>
            <w:pPr>
              <w:pStyle w:val="332"/>
              <w:kinsoku w:val="0"/>
              <w:overflowPunct w:val="0"/>
              <w:ind w:right="1"/>
              <w:jc w:val="center"/>
              <w:rPr>
                <w:b/>
                <w:color w:val="auto"/>
                <w:sz w:val="20"/>
                <w:szCs w:val="20"/>
              </w:rPr>
            </w:pPr>
            <w:r>
              <w:rPr>
                <w:b/>
                <w:color w:val="auto"/>
                <w:sz w:val="20"/>
                <w:szCs w:val="20"/>
              </w:rPr>
              <w:t>排污系数</w:t>
            </w:r>
          </w:p>
        </w:tc>
        <w:tc>
          <w:tcPr>
            <w:tcW w:w="1371" w:type="dxa"/>
            <w:tcBorders>
              <w:left w:val="single" w:color="auto" w:sz="4" w:space="0"/>
            </w:tcBorders>
            <w:noWrap w:val="0"/>
            <w:vAlign w:val="center"/>
          </w:tcPr>
          <w:p>
            <w:pPr>
              <w:pStyle w:val="332"/>
              <w:kinsoku w:val="0"/>
              <w:overflowPunct w:val="0"/>
              <w:ind w:right="1"/>
              <w:jc w:val="center"/>
              <w:rPr>
                <w:b/>
                <w:color w:val="auto"/>
                <w:sz w:val="20"/>
                <w:szCs w:val="20"/>
              </w:rPr>
            </w:pPr>
            <w:r>
              <w:rPr>
                <w:b/>
                <w:color w:val="auto"/>
                <w:sz w:val="20"/>
                <w:szCs w:val="20"/>
              </w:rPr>
              <w:t>用水量（m</w:t>
            </w:r>
            <w:r>
              <w:rPr>
                <w:b/>
                <w:color w:val="auto"/>
                <w:sz w:val="20"/>
                <w:szCs w:val="20"/>
                <w:vertAlign w:val="superscript"/>
              </w:rPr>
              <w:t>3</w:t>
            </w:r>
            <w:r>
              <w:rPr>
                <w:b/>
                <w:color w:val="auto"/>
                <w:sz w:val="20"/>
                <w:szCs w:val="20"/>
              </w:rPr>
              <w:t>/d）</w:t>
            </w:r>
          </w:p>
        </w:tc>
        <w:tc>
          <w:tcPr>
            <w:tcW w:w="1745" w:type="dxa"/>
            <w:noWrap w:val="0"/>
            <w:vAlign w:val="center"/>
          </w:tcPr>
          <w:p>
            <w:pPr>
              <w:pStyle w:val="332"/>
              <w:kinsoku w:val="0"/>
              <w:overflowPunct w:val="0"/>
              <w:jc w:val="center"/>
              <w:rPr>
                <w:b/>
                <w:color w:val="auto"/>
                <w:sz w:val="20"/>
                <w:szCs w:val="20"/>
              </w:rPr>
            </w:pPr>
            <w:r>
              <w:rPr>
                <w:b/>
                <w:color w:val="auto"/>
                <w:sz w:val="20"/>
                <w:szCs w:val="20"/>
              </w:rPr>
              <w:t>废水量（m</w:t>
            </w:r>
            <w:r>
              <w:rPr>
                <w:b/>
                <w:color w:val="auto"/>
                <w:sz w:val="20"/>
                <w:szCs w:val="20"/>
                <w:vertAlign w:val="superscript"/>
              </w:rPr>
              <w:t>3</w:t>
            </w:r>
            <w:r>
              <w:rPr>
                <w:b/>
                <w:color w:val="auto"/>
                <w:sz w:val="20"/>
                <w:szCs w:val="20"/>
              </w:rPr>
              <w:t>/d）</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猪饮用水</w:t>
            </w:r>
          </w:p>
        </w:tc>
        <w:tc>
          <w:tcPr>
            <w:tcW w:w="1223" w:type="dxa"/>
            <w:noWrap w:val="0"/>
            <w:vAlign w:val="center"/>
          </w:tcPr>
          <w:p>
            <w:pPr>
              <w:pStyle w:val="332"/>
              <w:kinsoku w:val="0"/>
              <w:overflowPunct w:val="0"/>
              <w:jc w:val="center"/>
              <w:rPr>
                <w:color w:val="auto"/>
                <w:sz w:val="20"/>
                <w:szCs w:val="20"/>
              </w:rPr>
            </w:pPr>
            <w:r>
              <w:rPr>
                <w:color w:val="auto"/>
                <w:sz w:val="20"/>
                <w:szCs w:val="20"/>
              </w:rPr>
              <w:t>7.5L/头·d</w:t>
            </w:r>
          </w:p>
        </w:tc>
        <w:tc>
          <w:tcPr>
            <w:tcW w:w="903" w:type="dxa"/>
            <w:noWrap w:val="0"/>
            <w:vAlign w:val="center"/>
          </w:tcPr>
          <w:p>
            <w:pPr>
              <w:pStyle w:val="332"/>
              <w:kinsoku w:val="0"/>
              <w:overflowPunct w:val="0"/>
              <w:jc w:val="center"/>
              <w:rPr>
                <w:color w:val="auto"/>
                <w:sz w:val="20"/>
                <w:szCs w:val="20"/>
              </w:rPr>
            </w:pPr>
            <w:r>
              <w:rPr>
                <w:rFonts w:hint="eastAsia"/>
                <w:color w:val="auto"/>
                <w:sz w:val="20"/>
                <w:szCs w:val="20"/>
                <w:lang w:val="en-US" w:eastAsia="zh-CN"/>
              </w:rPr>
              <w:t>7000</w:t>
            </w:r>
            <w:r>
              <w:rPr>
                <w:color w:val="auto"/>
                <w:sz w:val="20"/>
                <w:szCs w:val="20"/>
              </w:rPr>
              <w:t>头</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w:t>
            </w:r>
          </w:p>
        </w:tc>
        <w:tc>
          <w:tcPr>
            <w:tcW w:w="1371" w:type="dxa"/>
            <w:tcBorders>
              <w:left w:val="single" w:color="auto" w:sz="4" w:space="0"/>
            </w:tcBorders>
            <w:noWrap w:val="0"/>
            <w:vAlign w:val="center"/>
          </w:tcPr>
          <w:p>
            <w:pPr>
              <w:widowControl/>
              <w:spacing w:line="240" w:lineRule="auto"/>
              <w:ind w:firstLine="0" w:firstLineChars="0"/>
              <w:jc w:val="center"/>
              <w:rPr>
                <w:rFonts w:hint="eastAsia"/>
                <w:color w:val="auto"/>
                <w:kern w:val="0"/>
                <w:sz w:val="20"/>
                <w:szCs w:val="20"/>
              </w:rPr>
            </w:pPr>
            <w:r>
              <w:rPr>
                <w:rFonts w:hint="eastAsia"/>
                <w:color w:val="auto"/>
                <w:sz w:val="20"/>
                <w:szCs w:val="20"/>
              </w:rPr>
              <w:t>52.5</w:t>
            </w:r>
          </w:p>
        </w:tc>
        <w:tc>
          <w:tcPr>
            <w:tcW w:w="1745" w:type="dxa"/>
            <w:noWrap w:val="0"/>
            <w:vAlign w:val="center"/>
          </w:tcPr>
          <w:p>
            <w:pPr>
              <w:pStyle w:val="332"/>
              <w:kinsoku w:val="0"/>
              <w:overflowPunct w:val="0"/>
              <w:jc w:val="center"/>
              <w:rPr>
                <w:color w:val="auto"/>
                <w:sz w:val="20"/>
                <w:szCs w:val="20"/>
              </w:rPr>
            </w:pPr>
            <w:r>
              <w:rPr>
                <w:rFonts w:hint="eastAsia"/>
                <w:color w:val="auto"/>
                <w:sz w:val="20"/>
                <w:szCs w:val="20"/>
              </w:rPr>
              <w:t>23.1</w:t>
            </w:r>
            <w:r>
              <w:rPr>
                <w:color w:val="auto"/>
                <w:sz w:val="20"/>
                <w:szCs w:val="20"/>
              </w:rPr>
              <w:t>（猪尿）</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猪粪脱水机的脱水量</w:t>
            </w:r>
          </w:p>
        </w:tc>
        <w:tc>
          <w:tcPr>
            <w:tcW w:w="1223" w:type="dxa"/>
            <w:noWrap w:val="0"/>
            <w:vAlign w:val="center"/>
          </w:tcPr>
          <w:p>
            <w:pPr>
              <w:pStyle w:val="332"/>
              <w:kinsoku w:val="0"/>
              <w:overflowPunct w:val="0"/>
              <w:jc w:val="center"/>
              <w:rPr>
                <w:color w:val="auto"/>
                <w:sz w:val="20"/>
                <w:szCs w:val="20"/>
              </w:rPr>
            </w:pPr>
            <w:r>
              <w:rPr>
                <w:color w:val="auto"/>
                <w:sz w:val="20"/>
                <w:szCs w:val="20"/>
              </w:rPr>
              <w:t>/</w:t>
            </w:r>
          </w:p>
        </w:tc>
        <w:tc>
          <w:tcPr>
            <w:tcW w:w="903" w:type="dxa"/>
            <w:noWrap w:val="0"/>
            <w:vAlign w:val="center"/>
          </w:tcPr>
          <w:p>
            <w:pPr>
              <w:pStyle w:val="332"/>
              <w:kinsoku w:val="0"/>
              <w:overflowPunct w:val="0"/>
              <w:jc w:val="center"/>
              <w:rPr>
                <w:rFonts w:hint="eastAsia"/>
                <w:color w:val="auto"/>
                <w:sz w:val="20"/>
                <w:szCs w:val="20"/>
                <w:lang w:val="en-US" w:eastAsia="zh-CN"/>
              </w:rPr>
            </w:pPr>
            <w:r>
              <w:rPr>
                <w:color w:val="auto"/>
                <w:sz w:val="20"/>
                <w:szCs w:val="20"/>
              </w:rPr>
              <w:t>/</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w:t>
            </w:r>
          </w:p>
        </w:tc>
        <w:tc>
          <w:tcPr>
            <w:tcW w:w="1371" w:type="dxa"/>
            <w:tcBorders>
              <w:left w:val="single" w:color="auto" w:sz="4" w:space="0"/>
            </w:tcBorders>
            <w:noWrap w:val="0"/>
            <w:vAlign w:val="center"/>
          </w:tcPr>
          <w:p>
            <w:pPr>
              <w:widowControl/>
              <w:spacing w:line="240" w:lineRule="auto"/>
              <w:ind w:firstLine="0" w:firstLineChars="0"/>
              <w:jc w:val="center"/>
              <w:rPr>
                <w:rFonts w:hint="eastAsia"/>
                <w:color w:val="auto"/>
                <w:sz w:val="20"/>
                <w:szCs w:val="20"/>
              </w:rPr>
            </w:pPr>
            <w:r>
              <w:rPr>
                <w:color w:val="auto"/>
                <w:sz w:val="20"/>
                <w:szCs w:val="20"/>
              </w:rPr>
              <w:t>/</w:t>
            </w:r>
          </w:p>
        </w:tc>
        <w:tc>
          <w:tcPr>
            <w:tcW w:w="1745" w:type="dxa"/>
            <w:noWrap w:val="0"/>
            <w:vAlign w:val="center"/>
          </w:tcPr>
          <w:p>
            <w:pPr>
              <w:pStyle w:val="332"/>
              <w:kinsoku w:val="0"/>
              <w:overflowPunct w:val="0"/>
              <w:jc w:val="center"/>
              <w:rPr>
                <w:color w:val="auto"/>
                <w:sz w:val="20"/>
                <w:szCs w:val="20"/>
              </w:rPr>
            </w:pPr>
            <w:r>
              <w:rPr>
                <w:rFonts w:hint="eastAsia"/>
                <w:color w:val="auto"/>
                <w:sz w:val="20"/>
                <w:szCs w:val="20"/>
                <w:lang w:val="en-US" w:eastAsia="zh-CN"/>
              </w:rPr>
              <w:t>5.713</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猪舍冲洗</w:t>
            </w:r>
          </w:p>
        </w:tc>
        <w:tc>
          <w:tcPr>
            <w:tcW w:w="1223" w:type="dxa"/>
            <w:noWrap w:val="0"/>
            <w:vAlign w:val="center"/>
          </w:tcPr>
          <w:p>
            <w:pPr>
              <w:pStyle w:val="332"/>
              <w:kinsoku w:val="0"/>
              <w:overflowPunct w:val="0"/>
              <w:jc w:val="center"/>
              <w:rPr>
                <w:color w:val="auto"/>
                <w:sz w:val="20"/>
                <w:szCs w:val="20"/>
              </w:rPr>
            </w:pPr>
            <w:r>
              <w:rPr>
                <w:color w:val="auto"/>
                <w:sz w:val="20"/>
                <w:szCs w:val="20"/>
              </w:rPr>
              <w:t>6L/m</w:t>
            </w:r>
            <w:r>
              <w:rPr>
                <w:color w:val="auto"/>
                <w:sz w:val="20"/>
                <w:szCs w:val="20"/>
                <w:vertAlign w:val="superscript"/>
              </w:rPr>
              <w:t>2</w:t>
            </w:r>
            <w:r>
              <w:rPr>
                <w:color w:val="auto"/>
                <w:sz w:val="20"/>
                <w:szCs w:val="20"/>
              </w:rPr>
              <w:t>·次计</w:t>
            </w:r>
          </w:p>
        </w:tc>
        <w:tc>
          <w:tcPr>
            <w:tcW w:w="903" w:type="dxa"/>
            <w:noWrap w:val="0"/>
            <w:vAlign w:val="center"/>
          </w:tcPr>
          <w:p>
            <w:pPr>
              <w:pStyle w:val="332"/>
              <w:kinsoku w:val="0"/>
              <w:overflowPunct w:val="0"/>
              <w:jc w:val="center"/>
              <w:rPr>
                <w:rFonts w:hint="default" w:eastAsia="宋体"/>
                <w:color w:val="auto"/>
                <w:sz w:val="20"/>
                <w:szCs w:val="20"/>
                <w:lang w:val="en-US" w:eastAsia="zh-CN"/>
              </w:rPr>
            </w:pPr>
            <w:r>
              <w:rPr>
                <w:rFonts w:hint="eastAsia"/>
                <w:color w:val="auto"/>
                <w:sz w:val="20"/>
                <w:szCs w:val="20"/>
                <w:lang w:val="en-US" w:eastAsia="zh-CN"/>
              </w:rPr>
              <w:t>9000m</w:t>
            </w:r>
            <w:r>
              <w:rPr>
                <w:rFonts w:hint="eastAsia"/>
                <w:color w:val="auto"/>
                <w:sz w:val="20"/>
                <w:szCs w:val="20"/>
                <w:vertAlign w:val="superscript"/>
                <w:lang w:val="en-US" w:eastAsia="zh-CN"/>
              </w:rPr>
              <w:t>2</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0.9</w:t>
            </w:r>
          </w:p>
        </w:tc>
        <w:tc>
          <w:tcPr>
            <w:tcW w:w="1371" w:type="dxa"/>
            <w:tcBorders>
              <w:left w:val="single" w:color="auto" w:sz="4" w:space="0"/>
            </w:tcBorders>
            <w:noWrap w:val="0"/>
            <w:vAlign w:val="center"/>
          </w:tcPr>
          <w:p>
            <w:pPr>
              <w:pStyle w:val="332"/>
              <w:kinsoku w:val="0"/>
              <w:overflowPunct w:val="0"/>
              <w:jc w:val="center"/>
              <w:rPr>
                <w:color w:val="auto"/>
                <w:sz w:val="20"/>
                <w:szCs w:val="20"/>
              </w:rPr>
            </w:pPr>
            <w:r>
              <w:rPr>
                <w:rFonts w:hint="eastAsia"/>
                <w:color w:val="auto"/>
                <w:sz w:val="20"/>
                <w:szCs w:val="20"/>
              </w:rPr>
              <w:t>0.3</w:t>
            </w:r>
          </w:p>
        </w:tc>
        <w:tc>
          <w:tcPr>
            <w:tcW w:w="1745" w:type="dxa"/>
            <w:noWrap w:val="0"/>
            <w:vAlign w:val="center"/>
          </w:tcPr>
          <w:p>
            <w:pPr>
              <w:pStyle w:val="332"/>
              <w:kinsoku w:val="0"/>
              <w:overflowPunct w:val="0"/>
              <w:ind w:right="1"/>
              <w:jc w:val="center"/>
              <w:rPr>
                <w:rFonts w:hint="default" w:eastAsia="宋体"/>
                <w:color w:val="auto"/>
                <w:sz w:val="20"/>
                <w:szCs w:val="20"/>
                <w:lang w:val="en-US" w:eastAsia="zh-CN"/>
              </w:rPr>
            </w:pPr>
            <w:r>
              <w:rPr>
                <w:rFonts w:hint="eastAsia"/>
                <w:color w:val="auto"/>
                <w:sz w:val="20"/>
                <w:szCs w:val="20"/>
                <w:lang w:val="en-US" w:eastAsia="zh-CN"/>
              </w:rPr>
              <w:t>0.27</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消毒用水</w:t>
            </w:r>
          </w:p>
        </w:tc>
        <w:tc>
          <w:tcPr>
            <w:tcW w:w="1223" w:type="dxa"/>
            <w:noWrap w:val="0"/>
            <w:vAlign w:val="center"/>
          </w:tcPr>
          <w:p>
            <w:pPr>
              <w:pStyle w:val="332"/>
              <w:kinsoku w:val="0"/>
              <w:overflowPunct w:val="0"/>
              <w:jc w:val="center"/>
              <w:rPr>
                <w:color w:val="auto"/>
                <w:sz w:val="20"/>
                <w:szCs w:val="20"/>
              </w:rPr>
            </w:pPr>
            <w:r>
              <w:rPr>
                <w:color w:val="auto"/>
                <w:sz w:val="20"/>
                <w:szCs w:val="20"/>
              </w:rPr>
              <w:t>/</w:t>
            </w:r>
          </w:p>
        </w:tc>
        <w:tc>
          <w:tcPr>
            <w:tcW w:w="903" w:type="dxa"/>
            <w:noWrap w:val="0"/>
            <w:vAlign w:val="center"/>
          </w:tcPr>
          <w:p>
            <w:pPr>
              <w:pStyle w:val="332"/>
              <w:kinsoku w:val="0"/>
              <w:overflowPunct w:val="0"/>
              <w:jc w:val="center"/>
              <w:rPr>
                <w:color w:val="auto"/>
                <w:sz w:val="20"/>
                <w:szCs w:val="20"/>
              </w:rPr>
            </w:pPr>
            <w:r>
              <w:rPr>
                <w:color w:val="auto"/>
                <w:sz w:val="20"/>
                <w:szCs w:val="20"/>
              </w:rPr>
              <w:t>/</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全部损耗</w:t>
            </w:r>
          </w:p>
        </w:tc>
        <w:tc>
          <w:tcPr>
            <w:tcW w:w="1371" w:type="dxa"/>
            <w:tcBorders>
              <w:left w:val="single" w:color="auto" w:sz="4" w:space="0"/>
            </w:tcBorders>
            <w:noWrap w:val="0"/>
            <w:vAlign w:val="center"/>
          </w:tcPr>
          <w:p>
            <w:pPr>
              <w:pStyle w:val="332"/>
              <w:kinsoku w:val="0"/>
              <w:overflowPunct w:val="0"/>
              <w:jc w:val="center"/>
              <w:rPr>
                <w:rFonts w:hint="default" w:eastAsia="宋体"/>
                <w:color w:val="auto"/>
                <w:sz w:val="20"/>
                <w:szCs w:val="20"/>
                <w:lang w:val="en-US" w:eastAsia="zh-CN"/>
              </w:rPr>
            </w:pPr>
            <w:r>
              <w:rPr>
                <w:rFonts w:hint="eastAsia"/>
                <w:color w:val="auto"/>
                <w:sz w:val="20"/>
                <w:szCs w:val="20"/>
                <w:lang w:val="en-US" w:eastAsia="zh-CN"/>
              </w:rPr>
              <w:t>1.25</w:t>
            </w:r>
          </w:p>
        </w:tc>
        <w:tc>
          <w:tcPr>
            <w:tcW w:w="1745" w:type="dxa"/>
            <w:noWrap w:val="0"/>
            <w:vAlign w:val="center"/>
          </w:tcPr>
          <w:p>
            <w:pPr>
              <w:pStyle w:val="332"/>
              <w:kinsoku w:val="0"/>
              <w:overflowPunct w:val="0"/>
              <w:ind w:right="1"/>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567" w:type="dxa"/>
            <w:vMerge w:val="restart"/>
            <w:tcBorders>
              <w:left w:val="single" w:color="auto" w:sz="4" w:space="0"/>
              <w:right w:val="single" w:color="auto" w:sz="4" w:space="0"/>
            </w:tcBorders>
            <w:noWrap w:val="0"/>
            <w:vAlign w:val="center"/>
          </w:tcPr>
          <w:p>
            <w:pPr>
              <w:pStyle w:val="332"/>
              <w:kinsoku w:val="0"/>
              <w:overflowPunct w:val="0"/>
              <w:jc w:val="center"/>
              <w:rPr>
                <w:color w:val="auto"/>
                <w:sz w:val="20"/>
                <w:szCs w:val="20"/>
              </w:rPr>
            </w:pPr>
            <w:r>
              <w:rPr>
                <w:color w:val="auto"/>
                <w:sz w:val="20"/>
                <w:szCs w:val="20"/>
              </w:rPr>
              <w:t>职工生活用水</w:t>
            </w:r>
          </w:p>
        </w:tc>
        <w:tc>
          <w:tcPr>
            <w:tcW w:w="1276" w:type="dxa"/>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办公及生活</w:t>
            </w:r>
          </w:p>
        </w:tc>
        <w:tc>
          <w:tcPr>
            <w:tcW w:w="1223" w:type="dxa"/>
            <w:noWrap w:val="0"/>
            <w:vAlign w:val="center"/>
          </w:tcPr>
          <w:p>
            <w:pPr>
              <w:pStyle w:val="332"/>
              <w:kinsoku w:val="0"/>
              <w:overflowPunct w:val="0"/>
              <w:jc w:val="center"/>
              <w:rPr>
                <w:color w:val="auto"/>
                <w:sz w:val="20"/>
                <w:szCs w:val="20"/>
              </w:rPr>
            </w:pPr>
            <w:r>
              <w:rPr>
                <w:color w:val="auto"/>
                <w:sz w:val="20"/>
                <w:szCs w:val="20"/>
              </w:rPr>
              <w:t>100L/人·d</w:t>
            </w:r>
          </w:p>
        </w:tc>
        <w:tc>
          <w:tcPr>
            <w:tcW w:w="903" w:type="dxa"/>
            <w:noWrap w:val="0"/>
            <w:vAlign w:val="center"/>
          </w:tcPr>
          <w:p>
            <w:pPr>
              <w:pStyle w:val="332"/>
              <w:kinsoku w:val="0"/>
              <w:overflowPunct w:val="0"/>
              <w:jc w:val="center"/>
              <w:rPr>
                <w:rFonts w:hint="default" w:eastAsia="宋体"/>
                <w:color w:val="auto"/>
                <w:sz w:val="20"/>
                <w:szCs w:val="20"/>
                <w:lang w:val="en-US" w:eastAsia="zh-CN"/>
              </w:rPr>
            </w:pPr>
            <w:r>
              <w:rPr>
                <w:rFonts w:hint="eastAsia"/>
                <w:color w:val="auto"/>
                <w:sz w:val="20"/>
                <w:szCs w:val="20"/>
                <w:lang w:val="en-US" w:eastAsia="zh-CN"/>
              </w:rPr>
              <w:t>7人</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0.8</w:t>
            </w:r>
          </w:p>
        </w:tc>
        <w:tc>
          <w:tcPr>
            <w:tcW w:w="1371" w:type="dxa"/>
            <w:tcBorders>
              <w:left w:val="single" w:color="auto" w:sz="4" w:space="0"/>
            </w:tcBorders>
            <w:noWrap w:val="0"/>
            <w:vAlign w:val="center"/>
          </w:tcPr>
          <w:p>
            <w:pPr>
              <w:pStyle w:val="332"/>
              <w:kinsoku w:val="0"/>
              <w:overflowPunct w:val="0"/>
              <w:jc w:val="center"/>
              <w:rPr>
                <w:color w:val="auto"/>
                <w:sz w:val="20"/>
                <w:szCs w:val="20"/>
              </w:rPr>
            </w:pPr>
            <w:r>
              <w:rPr>
                <w:rFonts w:hint="eastAsia"/>
                <w:color w:val="auto"/>
                <w:sz w:val="20"/>
                <w:szCs w:val="20"/>
                <w:lang w:val="en-US" w:eastAsia="zh-CN"/>
              </w:rPr>
              <w:t>0.7</w:t>
            </w:r>
          </w:p>
        </w:tc>
        <w:tc>
          <w:tcPr>
            <w:tcW w:w="1745" w:type="dxa"/>
            <w:noWrap w:val="0"/>
            <w:vAlign w:val="center"/>
          </w:tcPr>
          <w:p>
            <w:pPr>
              <w:pStyle w:val="332"/>
              <w:kinsoku w:val="0"/>
              <w:overflowPunct w:val="0"/>
              <w:ind w:right="1"/>
              <w:jc w:val="center"/>
              <w:rPr>
                <w:rFonts w:hint="default" w:eastAsia="宋体"/>
                <w:color w:val="auto"/>
                <w:sz w:val="20"/>
                <w:szCs w:val="20"/>
                <w:lang w:val="en-US" w:eastAsia="zh-CN"/>
              </w:rPr>
            </w:pPr>
            <w:r>
              <w:rPr>
                <w:rFonts w:hint="eastAsia"/>
                <w:color w:val="auto"/>
                <w:sz w:val="20"/>
                <w:szCs w:val="20"/>
                <w:lang w:val="en-US" w:eastAsia="zh-CN"/>
              </w:rPr>
              <w:t>0.56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567" w:type="dxa"/>
            <w:vMerge w:val="continue"/>
            <w:tcBorders>
              <w:left w:val="single" w:color="auto" w:sz="4" w:space="0"/>
              <w:right w:val="single" w:color="auto" w:sz="4" w:space="0"/>
            </w:tcBorders>
            <w:noWrap w:val="0"/>
            <w:vAlign w:val="center"/>
          </w:tcPr>
          <w:p>
            <w:pPr>
              <w:pStyle w:val="332"/>
              <w:kinsoku w:val="0"/>
              <w:overflowPunct w:val="0"/>
              <w:jc w:val="center"/>
              <w:rPr>
                <w:color w:val="auto"/>
                <w:sz w:val="20"/>
                <w:szCs w:val="20"/>
              </w:rPr>
            </w:pPr>
          </w:p>
        </w:tc>
        <w:tc>
          <w:tcPr>
            <w:tcW w:w="1276" w:type="dxa"/>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食堂</w:t>
            </w:r>
          </w:p>
        </w:tc>
        <w:tc>
          <w:tcPr>
            <w:tcW w:w="1223" w:type="dxa"/>
            <w:noWrap w:val="0"/>
            <w:vAlign w:val="center"/>
          </w:tcPr>
          <w:p>
            <w:pPr>
              <w:pStyle w:val="332"/>
              <w:kinsoku w:val="0"/>
              <w:overflowPunct w:val="0"/>
              <w:jc w:val="center"/>
              <w:rPr>
                <w:color w:val="auto"/>
                <w:sz w:val="20"/>
                <w:szCs w:val="20"/>
              </w:rPr>
            </w:pPr>
            <w:r>
              <w:rPr>
                <w:color w:val="auto"/>
                <w:sz w:val="20"/>
                <w:szCs w:val="20"/>
              </w:rPr>
              <w:t>25L/人·次</w:t>
            </w:r>
          </w:p>
        </w:tc>
        <w:tc>
          <w:tcPr>
            <w:tcW w:w="903" w:type="dxa"/>
            <w:noWrap w:val="0"/>
            <w:vAlign w:val="center"/>
          </w:tcPr>
          <w:p>
            <w:pPr>
              <w:pStyle w:val="332"/>
              <w:kinsoku w:val="0"/>
              <w:overflowPunct w:val="0"/>
              <w:jc w:val="center"/>
              <w:rPr>
                <w:color w:val="auto"/>
                <w:sz w:val="20"/>
                <w:szCs w:val="20"/>
              </w:rPr>
            </w:pPr>
            <w:r>
              <w:rPr>
                <w:rFonts w:hint="eastAsia"/>
                <w:color w:val="auto"/>
                <w:sz w:val="20"/>
                <w:szCs w:val="20"/>
                <w:lang w:val="en-US" w:eastAsia="zh-CN"/>
              </w:rPr>
              <w:t>7人</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0.8</w:t>
            </w:r>
          </w:p>
        </w:tc>
        <w:tc>
          <w:tcPr>
            <w:tcW w:w="1371" w:type="dxa"/>
            <w:tcBorders>
              <w:left w:val="single" w:color="auto" w:sz="4" w:space="0"/>
            </w:tcBorders>
            <w:noWrap w:val="0"/>
            <w:vAlign w:val="center"/>
          </w:tcPr>
          <w:p>
            <w:pPr>
              <w:pStyle w:val="332"/>
              <w:kinsoku w:val="0"/>
              <w:overflowPunct w:val="0"/>
              <w:jc w:val="center"/>
              <w:rPr>
                <w:color w:val="auto"/>
                <w:sz w:val="20"/>
                <w:szCs w:val="20"/>
              </w:rPr>
            </w:pPr>
            <w:r>
              <w:rPr>
                <w:rFonts w:hint="eastAsia"/>
                <w:color w:val="auto"/>
                <w:sz w:val="20"/>
                <w:szCs w:val="20"/>
              </w:rPr>
              <w:t>0.525</w:t>
            </w:r>
          </w:p>
        </w:tc>
        <w:tc>
          <w:tcPr>
            <w:tcW w:w="1745" w:type="dxa"/>
            <w:noWrap w:val="0"/>
            <w:vAlign w:val="center"/>
          </w:tcPr>
          <w:p>
            <w:pPr>
              <w:pStyle w:val="332"/>
              <w:kinsoku w:val="0"/>
              <w:overflowPunct w:val="0"/>
              <w:ind w:right="1"/>
              <w:jc w:val="center"/>
              <w:rPr>
                <w:color w:val="auto"/>
                <w:sz w:val="20"/>
                <w:szCs w:val="20"/>
              </w:rPr>
            </w:pPr>
            <w:r>
              <w:rPr>
                <w:rFonts w:hint="eastAsia"/>
                <w:color w:val="auto"/>
                <w:sz w:val="20"/>
                <w:szCs w:val="20"/>
              </w:rPr>
              <w:t>0.42</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夏季湿帘用水</w:t>
            </w:r>
          </w:p>
        </w:tc>
        <w:tc>
          <w:tcPr>
            <w:tcW w:w="1223" w:type="dxa"/>
            <w:noWrap w:val="0"/>
            <w:vAlign w:val="center"/>
          </w:tcPr>
          <w:p>
            <w:pPr>
              <w:pStyle w:val="332"/>
              <w:kinsoku w:val="0"/>
              <w:overflowPunct w:val="0"/>
              <w:jc w:val="center"/>
              <w:rPr>
                <w:color w:val="auto"/>
                <w:sz w:val="20"/>
                <w:szCs w:val="20"/>
              </w:rPr>
            </w:pPr>
            <w:r>
              <w:rPr>
                <w:color w:val="auto"/>
                <w:sz w:val="20"/>
                <w:szCs w:val="20"/>
              </w:rPr>
              <w:t>/</w:t>
            </w:r>
          </w:p>
        </w:tc>
        <w:tc>
          <w:tcPr>
            <w:tcW w:w="903" w:type="dxa"/>
            <w:noWrap w:val="0"/>
            <w:vAlign w:val="center"/>
          </w:tcPr>
          <w:p>
            <w:pPr>
              <w:pStyle w:val="332"/>
              <w:kinsoku w:val="0"/>
              <w:overflowPunct w:val="0"/>
              <w:jc w:val="center"/>
              <w:rPr>
                <w:color w:val="auto"/>
                <w:sz w:val="20"/>
                <w:szCs w:val="20"/>
              </w:rPr>
            </w:pPr>
            <w:r>
              <w:rPr>
                <w:color w:val="auto"/>
                <w:sz w:val="20"/>
                <w:szCs w:val="20"/>
              </w:rPr>
              <w:t>/</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全部损耗</w:t>
            </w:r>
          </w:p>
        </w:tc>
        <w:tc>
          <w:tcPr>
            <w:tcW w:w="1371" w:type="dxa"/>
            <w:tcBorders>
              <w:left w:val="single" w:color="auto" w:sz="4" w:space="0"/>
            </w:tcBorders>
            <w:noWrap w:val="0"/>
            <w:vAlign w:val="center"/>
          </w:tcPr>
          <w:p>
            <w:pPr>
              <w:pStyle w:val="332"/>
              <w:kinsoku w:val="0"/>
              <w:overflowPunct w:val="0"/>
              <w:jc w:val="center"/>
              <w:rPr>
                <w:rFonts w:hint="default" w:eastAsia="宋体"/>
                <w:color w:val="auto"/>
                <w:sz w:val="20"/>
                <w:szCs w:val="20"/>
                <w:lang w:val="en-US" w:eastAsia="zh-CN"/>
              </w:rPr>
            </w:pPr>
            <w:r>
              <w:rPr>
                <w:rFonts w:hint="eastAsia"/>
                <w:color w:val="auto"/>
                <w:sz w:val="20"/>
                <w:szCs w:val="20"/>
                <w:lang w:val="en-US" w:eastAsia="zh-CN"/>
              </w:rPr>
              <w:t>10.8</w:t>
            </w:r>
          </w:p>
        </w:tc>
        <w:tc>
          <w:tcPr>
            <w:tcW w:w="1745" w:type="dxa"/>
            <w:noWrap w:val="0"/>
            <w:vAlign w:val="center"/>
          </w:tcPr>
          <w:p>
            <w:pPr>
              <w:pStyle w:val="332"/>
              <w:kinsoku w:val="0"/>
              <w:overflowPunct w:val="0"/>
              <w:ind w:right="1"/>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9" w:type="dxa"/>
            <w:tcBorders>
              <w:right w:val="single" w:color="auto" w:sz="4" w:space="0"/>
            </w:tcBorders>
            <w:noWrap w:val="0"/>
            <w:vAlign w:val="center"/>
          </w:tcPr>
          <w:p>
            <w:pPr>
              <w:pStyle w:val="332"/>
              <w:keepNext w:val="0"/>
              <w:keepLines w:val="0"/>
              <w:pageBreakBefore w:val="0"/>
              <w:widowControl w:val="0"/>
              <w:numPr>
                <w:ilvl w:val="0"/>
                <w:numId w:val="6"/>
              </w:numPr>
              <w:kinsoku w:val="0"/>
              <w:wordWrap/>
              <w:overflowPunct w:val="0"/>
              <w:topLinePunct w:val="0"/>
              <w:autoSpaceDE w:val="0"/>
              <w:autoSpaceDN w:val="0"/>
              <w:bidi w:val="0"/>
              <w:adjustRightInd w:val="0"/>
              <w:snapToGrid/>
              <w:ind w:left="0" w:leftChars="0" w:firstLine="0" w:firstLineChars="0"/>
              <w:jc w:val="center"/>
              <w:textAlignment w:val="auto"/>
              <w:rPr>
                <w:color w:val="auto"/>
                <w:sz w:val="20"/>
                <w:szCs w:val="20"/>
              </w:rPr>
            </w:pPr>
          </w:p>
        </w:tc>
        <w:tc>
          <w:tcPr>
            <w:tcW w:w="1843" w:type="dxa"/>
            <w:gridSpan w:val="2"/>
            <w:tcBorders>
              <w:left w:val="single" w:color="auto" w:sz="4" w:space="0"/>
            </w:tcBorders>
            <w:noWrap w:val="0"/>
            <w:vAlign w:val="center"/>
          </w:tcPr>
          <w:p>
            <w:pPr>
              <w:pStyle w:val="332"/>
              <w:kinsoku w:val="0"/>
              <w:overflowPunct w:val="0"/>
              <w:jc w:val="center"/>
              <w:rPr>
                <w:color w:val="auto"/>
                <w:sz w:val="20"/>
                <w:szCs w:val="20"/>
              </w:rPr>
            </w:pPr>
            <w:r>
              <w:rPr>
                <w:color w:val="auto"/>
                <w:sz w:val="20"/>
                <w:szCs w:val="20"/>
              </w:rPr>
              <w:t>绿化用水</w:t>
            </w:r>
          </w:p>
        </w:tc>
        <w:tc>
          <w:tcPr>
            <w:tcW w:w="1223" w:type="dxa"/>
            <w:noWrap w:val="0"/>
            <w:vAlign w:val="center"/>
          </w:tcPr>
          <w:p>
            <w:pPr>
              <w:pStyle w:val="332"/>
              <w:kinsoku w:val="0"/>
              <w:overflowPunct w:val="0"/>
              <w:jc w:val="center"/>
              <w:rPr>
                <w:color w:val="auto"/>
                <w:sz w:val="20"/>
                <w:szCs w:val="20"/>
              </w:rPr>
            </w:pPr>
            <w:r>
              <w:rPr>
                <w:color w:val="auto"/>
                <w:sz w:val="20"/>
                <w:szCs w:val="20"/>
              </w:rPr>
              <w:t>2L/m</w:t>
            </w:r>
            <w:r>
              <w:rPr>
                <w:color w:val="auto"/>
                <w:sz w:val="20"/>
                <w:szCs w:val="20"/>
                <w:vertAlign w:val="superscript"/>
              </w:rPr>
              <w:t>2</w:t>
            </w:r>
            <w:r>
              <w:rPr>
                <w:color w:val="auto"/>
                <w:sz w:val="20"/>
                <w:szCs w:val="20"/>
              </w:rPr>
              <w:t>·次</w:t>
            </w:r>
          </w:p>
        </w:tc>
        <w:tc>
          <w:tcPr>
            <w:tcW w:w="903" w:type="dxa"/>
            <w:noWrap w:val="0"/>
            <w:vAlign w:val="center"/>
          </w:tcPr>
          <w:p>
            <w:pPr>
              <w:pStyle w:val="332"/>
              <w:kinsoku w:val="0"/>
              <w:overflowPunct w:val="0"/>
              <w:jc w:val="center"/>
              <w:rPr>
                <w:color w:val="auto"/>
                <w:sz w:val="20"/>
                <w:szCs w:val="20"/>
              </w:rPr>
            </w:pPr>
            <w:r>
              <w:rPr>
                <w:color w:val="auto"/>
                <w:sz w:val="20"/>
                <w:szCs w:val="20"/>
              </w:rPr>
              <w:t>5000m</w:t>
            </w:r>
            <w:r>
              <w:rPr>
                <w:color w:val="auto"/>
                <w:sz w:val="20"/>
                <w:szCs w:val="20"/>
                <w:vertAlign w:val="superscript"/>
              </w:rPr>
              <w:t>2</w:t>
            </w:r>
          </w:p>
        </w:tc>
        <w:tc>
          <w:tcPr>
            <w:tcW w:w="993" w:type="dxa"/>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全部损耗</w:t>
            </w:r>
          </w:p>
        </w:tc>
        <w:tc>
          <w:tcPr>
            <w:tcW w:w="1371" w:type="dxa"/>
            <w:tcBorders>
              <w:left w:val="single" w:color="auto" w:sz="4" w:space="0"/>
            </w:tcBorders>
            <w:noWrap w:val="0"/>
            <w:vAlign w:val="center"/>
          </w:tcPr>
          <w:p>
            <w:pPr>
              <w:pStyle w:val="332"/>
              <w:kinsoku w:val="0"/>
              <w:overflowPunct w:val="0"/>
              <w:jc w:val="center"/>
              <w:rPr>
                <w:color w:val="auto"/>
                <w:sz w:val="20"/>
                <w:szCs w:val="20"/>
              </w:rPr>
            </w:pPr>
            <w:r>
              <w:rPr>
                <w:rFonts w:hint="eastAsia"/>
                <w:color w:val="auto"/>
                <w:sz w:val="20"/>
                <w:szCs w:val="20"/>
                <w:lang w:val="en-US" w:eastAsia="zh-CN"/>
              </w:rPr>
              <w:t>1</w:t>
            </w:r>
          </w:p>
        </w:tc>
        <w:tc>
          <w:tcPr>
            <w:tcW w:w="1745" w:type="dxa"/>
            <w:noWrap w:val="0"/>
            <w:vAlign w:val="center"/>
          </w:tcPr>
          <w:p>
            <w:pPr>
              <w:pStyle w:val="332"/>
              <w:kinsoku w:val="0"/>
              <w:overflowPunct w:val="0"/>
              <w:ind w:right="1"/>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671" w:type="dxa"/>
            <w:gridSpan w:val="6"/>
            <w:tcBorders>
              <w:right w:val="single" w:color="auto" w:sz="4" w:space="0"/>
            </w:tcBorders>
            <w:noWrap w:val="0"/>
            <w:vAlign w:val="center"/>
          </w:tcPr>
          <w:p>
            <w:pPr>
              <w:pStyle w:val="332"/>
              <w:kinsoku w:val="0"/>
              <w:overflowPunct w:val="0"/>
              <w:jc w:val="center"/>
              <w:rPr>
                <w:color w:val="auto"/>
                <w:sz w:val="20"/>
                <w:szCs w:val="20"/>
              </w:rPr>
            </w:pPr>
            <w:r>
              <w:rPr>
                <w:color w:val="auto"/>
                <w:sz w:val="20"/>
                <w:szCs w:val="20"/>
              </w:rPr>
              <w:t>合计</w:t>
            </w:r>
          </w:p>
        </w:tc>
        <w:tc>
          <w:tcPr>
            <w:tcW w:w="1371" w:type="dxa"/>
            <w:tcBorders>
              <w:left w:val="single" w:color="auto" w:sz="4" w:space="0"/>
            </w:tcBorders>
            <w:noWrap w:val="0"/>
            <w:vAlign w:val="center"/>
          </w:tcPr>
          <w:p>
            <w:pPr>
              <w:pStyle w:val="332"/>
              <w:kinsoku w:val="0"/>
              <w:overflowPunct w:val="0"/>
              <w:ind w:right="1"/>
              <w:jc w:val="center"/>
              <w:rPr>
                <w:rFonts w:hint="default" w:ascii="等线" w:hAnsi="等线" w:eastAsia="等线"/>
                <w:color w:val="auto"/>
                <w:sz w:val="20"/>
                <w:szCs w:val="20"/>
              </w:rPr>
            </w:pPr>
            <w:r>
              <w:rPr>
                <w:rFonts w:hint="default" w:ascii="等线" w:hAnsi="等线" w:eastAsia="等线"/>
                <w:color w:val="auto"/>
                <w:sz w:val="20"/>
                <w:szCs w:val="20"/>
              </w:rPr>
              <w:fldChar w:fldCharType="begin"/>
            </w:r>
            <w:r>
              <w:rPr>
                <w:rFonts w:hint="default" w:ascii="等线" w:hAnsi="等线" w:eastAsia="等线"/>
                <w:color w:val="auto"/>
                <w:sz w:val="20"/>
                <w:szCs w:val="20"/>
              </w:rPr>
              <w:instrText xml:space="preserve"> = SUM（ABOVE） \* MERGEFORMAT </w:instrText>
            </w:r>
            <w:r>
              <w:rPr>
                <w:rFonts w:hint="default" w:ascii="等线" w:hAnsi="等线" w:eastAsia="等线"/>
                <w:color w:val="auto"/>
                <w:sz w:val="20"/>
                <w:szCs w:val="20"/>
              </w:rPr>
              <w:fldChar w:fldCharType="separate"/>
            </w:r>
            <w:r>
              <w:rPr>
                <w:rFonts w:hint="default" w:ascii="等线" w:hAnsi="等线" w:eastAsia="等线"/>
                <w:color w:val="auto"/>
                <w:sz w:val="20"/>
                <w:szCs w:val="20"/>
              </w:rPr>
              <w:t>67.075</w:t>
            </w:r>
            <w:r>
              <w:rPr>
                <w:rFonts w:hint="default" w:ascii="等线" w:hAnsi="等线" w:eastAsia="等线"/>
                <w:color w:val="auto"/>
                <w:sz w:val="20"/>
                <w:szCs w:val="20"/>
              </w:rPr>
              <w:fldChar w:fldCharType="end"/>
            </w:r>
          </w:p>
        </w:tc>
        <w:tc>
          <w:tcPr>
            <w:tcW w:w="1745" w:type="dxa"/>
            <w:noWrap w:val="0"/>
            <w:vAlign w:val="center"/>
          </w:tcPr>
          <w:p>
            <w:pPr>
              <w:pStyle w:val="332"/>
              <w:kinsoku w:val="0"/>
              <w:overflowPunct w:val="0"/>
              <w:ind w:right="1"/>
              <w:jc w:val="center"/>
              <w:rPr>
                <w:rFonts w:hint="default"/>
                <w:color w:val="auto"/>
                <w:sz w:val="20"/>
                <w:szCs w:val="20"/>
              </w:rPr>
            </w:pPr>
            <w:r>
              <w:rPr>
                <w:rFonts w:hint="default"/>
                <w:color w:val="auto"/>
                <w:sz w:val="20"/>
                <w:szCs w:val="20"/>
              </w:rPr>
              <w:fldChar w:fldCharType="begin"/>
            </w:r>
            <w:r>
              <w:rPr>
                <w:rFonts w:hint="default"/>
                <w:color w:val="auto"/>
                <w:sz w:val="20"/>
                <w:szCs w:val="20"/>
              </w:rPr>
              <w:instrText xml:space="preserve"> = SUM（ABOVE） \* MERGEFORMAT </w:instrText>
            </w:r>
            <w:r>
              <w:rPr>
                <w:rFonts w:hint="default"/>
                <w:color w:val="auto"/>
                <w:sz w:val="20"/>
                <w:szCs w:val="20"/>
              </w:rPr>
              <w:fldChar w:fldCharType="separate"/>
            </w:r>
            <w:r>
              <w:rPr>
                <w:rFonts w:hint="default"/>
                <w:color w:val="auto"/>
                <w:sz w:val="20"/>
                <w:szCs w:val="20"/>
              </w:rPr>
              <w:t>30.063</w:t>
            </w:r>
            <w:r>
              <w:rPr>
                <w:rFonts w:hint="default"/>
                <w:color w:val="auto"/>
                <w:sz w:val="20"/>
                <w:szCs w:val="20"/>
              </w:rPr>
              <w:fldChar w:fldCharType="end"/>
            </w:r>
          </w:p>
        </w:tc>
      </w:tr>
    </w:tbl>
    <w:p>
      <w:pPr>
        <w:spacing w:before="120" w:beforeLines="50"/>
        <w:ind w:firstLine="480"/>
        <w:rPr>
          <w:color w:val="auto"/>
        </w:rPr>
      </w:pPr>
      <w:r>
        <w:rPr>
          <w:color w:val="auto"/>
        </w:rPr>
        <w:t>本项目运营期水量平衡见图3.</w:t>
      </w:r>
      <w:r>
        <w:rPr>
          <w:rFonts w:hint="eastAsia"/>
          <w:color w:val="auto"/>
          <w:lang w:val="en-US" w:eastAsia="zh-CN"/>
        </w:rPr>
        <w:t>6</w:t>
      </w:r>
      <w:r>
        <w:rPr>
          <w:color w:val="auto"/>
        </w:rPr>
        <w:t>-</w:t>
      </w:r>
      <w:r>
        <w:rPr>
          <w:rFonts w:hint="eastAsia"/>
          <w:color w:val="auto"/>
          <w:lang w:val="en-US" w:eastAsia="zh-CN"/>
        </w:rPr>
        <w:t>1</w:t>
      </w:r>
      <w:r>
        <w:rPr>
          <w:rFonts w:hint="eastAsia"/>
          <w:color w:val="auto"/>
        </w:rPr>
        <w:t>~3.</w:t>
      </w:r>
      <w:r>
        <w:rPr>
          <w:rFonts w:hint="eastAsia"/>
          <w:color w:val="auto"/>
          <w:lang w:val="en-US" w:eastAsia="zh-CN"/>
        </w:rPr>
        <w:t>6</w:t>
      </w:r>
      <w:r>
        <w:rPr>
          <w:rFonts w:hint="eastAsia"/>
          <w:color w:val="auto"/>
        </w:rPr>
        <w:t>-</w:t>
      </w:r>
      <w:r>
        <w:rPr>
          <w:rFonts w:hint="eastAsia"/>
          <w:color w:val="auto"/>
          <w:lang w:val="en-US" w:eastAsia="zh-CN"/>
        </w:rPr>
        <w:t>3</w:t>
      </w:r>
      <w:r>
        <w:rPr>
          <w:color w:val="auto"/>
        </w:rPr>
        <w:t>。</w:t>
      </w:r>
      <w:r>
        <w:rPr>
          <w:rFonts w:hint="eastAsia"/>
          <w:color w:val="auto"/>
        </w:rPr>
        <w:t xml:space="preserve"> </w:t>
      </w:r>
      <w:r>
        <w:rPr>
          <w:color w:val="auto"/>
        </w:rPr>
        <w:t xml:space="preserve">  </w:t>
      </w:r>
    </w:p>
    <w:p>
      <w:pPr>
        <w:spacing w:before="120" w:beforeLines="50" w:after="120" w:afterLines="50" w:line="240" w:lineRule="auto"/>
        <w:ind w:firstLine="0" w:firstLineChars="0"/>
        <w:jc w:val="center"/>
        <w:rPr>
          <w:color w:val="auto"/>
        </w:rPr>
      </w:pPr>
      <w:r>
        <w:rPr>
          <w:color w:val="auto"/>
        </w:rPr>
        <w:object>
          <v:shape id="_x0000_i1107" o:spt="75" type="#_x0000_t75" style="height:311.65pt;width:477.15pt;" o:ole="t" filled="f" o:preferrelative="t" stroked="f" coordsize="21600,21600">
            <v:path/>
            <v:fill on="f" focussize="0,0"/>
            <v:stroke on="f"/>
            <v:imagedata r:id="rId43" o:title=""/>
            <o:lock v:ext="edit" aspectratio="f"/>
            <w10:wrap type="none"/>
            <w10:anchorlock/>
          </v:shape>
          <o:OLEObject Type="Embed" ProgID="Visio.Drawing.11" ShapeID="_x0000_i1107" DrawAspect="Content" ObjectID="_1468075729" r:id="rId42">
            <o:LockedField>false</o:LockedField>
          </o:OLEObject>
        </w:object>
      </w:r>
    </w:p>
    <w:p>
      <w:pPr>
        <w:pStyle w:val="166"/>
        <w:spacing w:before="120" w:beforeLines="0" w:line="360" w:lineRule="auto"/>
        <w:rPr>
          <w:color w:val="auto"/>
        </w:rPr>
      </w:pPr>
      <w:r>
        <w:rPr>
          <w:color w:val="auto"/>
        </w:rPr>
        <w:t>图3.</w:t>
      </w:r>
      <w:r>
        <w:rPr>
          <w:rFonts w:hint="eastAsia"/>
          <w:color w:val="auto"/>
          <w:lang w:val="en-US" w:eastAsia="zh-CN"/>
        </w:rPr>
        <w:t>6</w:t>
      </w:r>
      <w:r>
        <w:rPr>
          <w:color w:val="auto"/>
        </w:rPr>
        <w:t>-</w:t>
      </w:r>
      <w:r>
        <w:rPr>
          <w:rFonts w:hint="eastAsia"/>
          <w:color w:val="auto"/>
          <w:lang w:val="en-US" w:eastAsia="zh-CN"/>
        </w:rPr>
        <w:t xml:space="preserve">1 </w:t>
      </w:r>
      <w:r>
        <w:rPr>
          <w:color w:val="auto"/>
        </w:rPr>
        <w:t>项目夏季水量平衡图（m</w:t>
      </w:r>
      <w:r>
        <w:rPr>
          <w:color w:val="auto"/>
          <w:vertAlign w:val="superscript"/>
        </w:rPr>
        <w:t>3</w:t>
      </w:r>
      <w:r>
        <w:rPr>
          <w:color w:val="auto"/>
        </w:rPr>
        <w:t>/d）</w:t>
      </w:r>
    </w:p>
    <w:p>
      <w:pPr>
        <w:pStyle w:val="166"/>
        <w:spacing w:before="120" w:beforeLines="0" w:line="360" w:lineRule="auto"/>
        <w:rPr>
          <w:color w:val="auto"/>
        </w:rPr>
      </w:pPr>
    </w:p>
    <w:p>
      <w:pPr>
        <w:pStyle w:val="166"/>
        <w:spacing w:before="120" w:beforeLines="0" w:line="360" w:lineRule="auto"/>
        <w:rPr>
          <w:color w:val="auto"/>
        </w:rPr>
      </w:pPr>
      <w:r>
        <w:rPr>
          <w:color w:val="auto"/>
        </w:rPr>
        <w:object>
          <v:shape id="_x0000_i1111" o:spt="75" type="#_x0000_t75" style="height:246.7pt;width:438.95pt;" o:ole="t" filled="f" o:preferrelative="t" stroked="f" coordsize="21600,21600">
            <v:path/>
            <v:fill on="f" focussize="0,0"/>
            <v:stroke on="f"/>
            <v:imagedata r:id="rId45" o:title=""/>
            <o:lock v:ext="edit" aspectratio="f"/>
            <w10:wrap type="none"/>
            <w10:anchorlock/>
          </v:shape>
          <o:OLEObject Type="Embed" ProgID="Visio.Drawing.11" ShapeID="_x0000_i1111" DrawAspect="Content" ObjectID="_1468075730" r:id="rId44">
            <o:LockedField>false</o:LockedField>
          </o:OLEObject>
        </w:object>
      </w:r>
      <w:r>
        <w:rPr>
          <w:color w:val="auto"/>
        </w:rPr>
        <w:t>图3.</w:t>
      </w:r>
      <w:r>
        <w:rPr>
          <w:rFonts w:hint="eastAsia"/>
          <w:color w:val="auto"/>
          <w:lang w:val="en-US" w:eastAsia="zh-CN"/>
        </w:rPr>
        <w:t>6</w:t>
      </w:r>
      <w:r>
        <w:rPr>
          <w:color w:val="auto"/>
        </w:rPr>
        <w:t>-</w:t>
      </w:r>
      <w:r>
        <w:rPr>
          <w:rFonts w:hint="eastAsia"/>
          <w:color w:val="auto"/>
          <w:lang w:val="en-US" w:eastAsia="zh-CN"/>
        </w:rPr>
        <w:t xml:space="preserve">2 </w:t>
      </w:r>
      <w:r>
        <w:rPr>
          <w:color w:val="auto"/>
        </w:rPr>
        <w:t>项目</w:t>
      </w:r>
      <w:r>
        <w:rPr>
          <w:rFonts w:hint="eastAsia"/>
          <w:color w:val="auto"/>
        </w:rPr>
        <w:t>其它</w:t>
      </w:r>
      <w:r>
        <w:rPr>
          <w:color w:val="auto"/>
        </w:rPr>
        <w:t>季节</w:t>
      </w:r>
      <w:r>
        <w:rPr>
          <w:rFonts w:hint="eastAsia"/>
          <w:color w:val="auto"/>
        </w:rPr>
        <w:t>（春、秋、冬季）</w:t>
      </w:r>
      <w:r>
        <w:rPr>
          <w:color w:val="auto"/>
        </w:rPr>
        <w:t>水量平衡图（m</w:t>
      </w:r>
      <w:r>
        <w:rPr>
          <w:color w:val="auto"/>
          <w:vertAlign w:val="superscript"/>
        </w:rPr>
        <w:t>3</w:t>
      </w:r>
      <w:r>
        <w:rPr>
          <w:color w:val="auto"/>
        </w:rPr>
        <w:t>/d）</w:t>
      </w:r>
    </w:p>
    <w:p>
      <w:pPr>
        <w:pStyle w:val="166"/>
        <w:spacing w:before="120" w:beforeLines="0" w:line="360" w:lineRule="auto"/>
        <w:rPr>
          <w:color w:val="auto"/>
        </w:rPr>
      </w:pPr>
      <w:r>
        <w:rPr>
          <w:color w:val="auto"/>
        </w:rPr>
        <w:object>
          <v:shape id="_x0000_i1110" o:spt="75" type="#_x0000_t75" style="height:311.65pt;width:474.35pt;" o:ole="t" filled="f" o:preferrelative="t" stroked="f" coordsize="21600,21600">
            <v:path/>
            <v:fill on="f" focussize="0,0"/>
            <v:stroke on="f"/>
            <v:imagedata r:id="rId47" o:title=""/>
            <o:lock v:ext="edit" aspectratio="f"/>
            <w10:wrap type="none"/>
            <w10:anchorlock/>
          </v:shape>
          <o:OLEObject Type="Embed" ProgID="Visio.Drawing.11" ShapeID="_x0000_i1110" DrawAspect="Content" ObjectID="_1468075731" r:id="rId46">
            <o:LockedField>false</o:LockedField>
          </o:OLEObject>
        </w:object>
      </w:r>
    </w:p>
    <w:p>
      <w:pPr>
        <w:pStyle w:val="166"/>
        <w:spacing w:before="120" w:beforeLines="0" w:line="360" w:lineRule="auto"/>
        <w:rPr>
          <w:color w:val="auto"/>
        </w:rPr>
      </w:pPr>
      <w:r>
        <w:rPr>
          <w:color w:val="auto"/>
        </w:rPr>
        <w:t>图3.</w:t>
      </w:r>
      <w:r>
        <w:rPr>
          <w:rFonts w:hint="eastAsia"/>
          <w:color w:val="auto"/>
          <w:lang w:val="en-US" w:eastAsia="zh-CN"/>
        </w:rPr>
        <w:t>6</w:t>
      </w:r>
      <w:r>
        <w:rPr>
          <w:color w:val="auto"/>
        </w:rPr>
        <w:t>-</w:t>
      </w:r>
      <w:r>
        <w:rPr>
          <w:rFonts w:hint="eastAsia"/>
          <w:color w:val="auto"/>
          <w:lang w:val="en-US" w:eastAsia="zh-CN"/>
        </w:rPr>
        <w:t xml:space="preserve">3 </w:t>
      </w:r>
      <w:r>
        <w:rPr>
          <w:color w:val="auto"/>
        </w:rPr>
        <w:t>项目</w:t>
      </w:r>
      <w:r>
        <w:rPr>
          <w:rFonts w:hint="eastAsia"/>
          <w:color w:val="auto"/>
        </w:rPr>
        <w:t>全年</w:t>
      </w:r>
      <w:r>
        <w:rPr>
          <w:color w:val="auto"/>
        </w:rPr>
        <w:t>水量平衡图（m</w:t>
      </w:r>
      <w:r>
        <w:rPr>
          <w:color w:val="auto"/>
          <w:vertAlign w:val="superscript"/>
        </w:rPr>
        <w:t>3</w:t>
      </w:r>
      <w:r>
        <w:rPr>
          <w:color w:val="auto"/>
        </w:rPr>
        <w:t>/</w:t>
      </w:r>
      <w:r>
        <w:rPr>
          <w:rFonts w:hint="eastAsia"/>
          <w:color w:val="auto"/>
        </w:rPr>
        <w:t>a</w:t>
      </w:r>
      <w:r>
        <w:rPr>
          <w:color w:val="auto"/>
        </w:rPr>
        <w:t>）</w:t>
      </w:r>
    </w:p>
    <w:p>
      <w:pPr>
        <w:pStyle w:val="8"/>
        <w:numPr>
          <w:ilvl w:val="0"/>
          <w:numId w:val="0"/>
        </w:numPr>
        <w:tabs>
          <w:tab w:val="clear" w:pos="0"/>
        </w:tabs>
        <w:spacing w:before="120"/>
        <w:ind w:leftChars="0"/>
        <w:rPr>
          <w:rFonts w:eastAsia="黑体"/>
          <w:color w:val="auto"/>
          <w:sz w:val="28"/>
          <w:szCs w:val="28"/>
        </w:rPr>
      </w:pPr>
      <w:r>
        <w:rPr>
          <w:rFonts w:hint="eastAsia"/>
          <w:color w:val="auto"/>
          <w:sz w:val="28"/>
          <w:szCs w:val="28"/>
          <w:lang w:val="en-US" w:eastAsia="zh-CN"/>
        </w:rPr>
        <w:t>3.6.2</w:t>
      </w:r>
      <w:r>
        <w:rPr>
          <w:rFonts w:eastAsia="黑体"/>
          <w:color w:val="auto"/>
          <w:sz w:val="28"/>
          <w:szCs w:val="28"/>
        </w:rPr>
        <w:t>运营期污染因素分析</w:t>
      </w:r>
    </w:p>
    <w:p>
      <w:pPr>
        <w:ind w:firstLine="480"/>
        <w:rPr>
          <w:color w:val="auto"/>
          <w:lang w:val="zh-CN"/>
        </w:rPr>
      </w:pPr>
      <w:r>
        <w:rPr>
          <w:color w:val="auto"/>
          <w:lang w:val="zh-CN"/>
        </w:rPr>
        <w:t>本项目运营期污染物主要包括废水、废气、噪声、固体废弃物，其污染工序及污染因素如下：</w:t>
      </w:r>
    </w:p>
    <w:p>
      <w:pPr>
        <w:ind w:firstLine="482"/>
        <w:rPr>
          <w:b/>
          <w:color w:val="auto"/>
          <w:lang w:val="zh-CN"/>
        </w:rPr>
      </w:pPr>
      <w:r>
        <w:rPr>
          <w:b/>
          <w:color w:val="auto"/>
          <w:lang w:val="zh-CN"/>
        </w:rPr>
        <w:t>1、废水</w:t>
      </w:r>
    </w:p>
    <w:p>
      <w:pPr>
        <w:ind w:firstLine="480"/>
        <w:rPr>
          <w:color w:val="auto"/>
          <w:lang w:val="zh-CN"/>
        </w:rPr>
      </w:pPr>
      <w:r>
        <w:rPr>
          <w:color w:val="auto"/>
          <w:lang w:val="zh-CN"/>
        </w:rPr>
        <w:t>本项目废水主要分为两类，一类为养殖过程中产生的猪只尿液、猪舍冲洗废水、猪粪脱水机</w:t>
      </w:r>
      <w:r>
        <w:rPr>
          <w:rFonts w:hint="eastAsia"/>
          <w:color w:val="auto"/>
          <w:lang w:val="en-US" w:eastAsia="zh-CN"/>
        </w:rPr>
        <w:t>脱水</w:t>
      </w:r>
      <w:r>
        <w:rPr>
          <w:color w:val="auto"/>
          <w:lang w:val="zh-CN"/>
        </w:rPr>
        <w:t>；另一类为生活污水，主要为职工办公、食堂餐饮废水。</w:t>
      </w:r>
    </w:p>
    <w:p>
      <w:pPr>
        <w:ind w:firstLine="482"/>
        <w:rPr>
          <w:b/>
          <w:color w:val="auto"/>
          <w:lang w:val="zh-CN"/>
        </w:rPr>
      </w:pPr>
      <w:r>
        <w:rPr>
          <w:b/>
          <w:color w:val="auto"/>
          <w:lang w:val="zh-CN"/>
        </w:rPr>
        <w:t>2、废气</w:t>
      </w:r>
    </w:p>
    <w:p>
      <w:pPr>
        <w:ind w:firstLine="480"/>
        <w:rPr>
          <w:color w:val="auto"/>
          <w:lang w:val="zh-CN"/>
        </w:rPr>
      </w:pPr>
      <w:r>
        <w:rPr>
          <w:color w:val="auto"/>
          <w:lang w:val="zh-CN"/>
        </w:rPr>
        <w:t>项目废气包括养殖场恶臭、</w:t>
      </w:r>
      <w:r>
        <w:rPr>
          <w:rFonts w:hint="eastAsia"/>
          <w:color w:val="auto"/>
          <w:lang w:val="en-US" w:eastAsia="zh-CN"/>
        </w:rPr>
        <w:t>沼气燃烧废气、</w:t>
      </w:r>
      <w:r>
        <w:rPr>
          <w:color w:val="auto"/>
          <w:lang w:val="zh-CN"/>
        </w:rPr>
        <w:t>食堂餐饮油烟、</w:t>
      </w:r>
      <w:r>
        <w:rPr>
          <w:rFonts w:hint="eastAsia"/>
          <w:color w:val="auto"/>
          <w:lang w:val="zh-CN"/>
        </w:rPr>
        <w:t>运输恶臭及尾气</w:t>
      </w:r>
      <w:r>
        <w:rPr>
          <w:color w:val="auto"/>
          <w:lang w:val="zh-CN"/>
        </w:rPr>
        <w:t>、柴油发电机废气。</w:t>
      </w:r>
    </w:p>
    <w:p>
      <w:pPr>
        <w:ind w:firstLine="482"/>
        <w:rPr>
          <w:b/>
          <w:color w:val="auto"/>
          <w:lang w:val="zh-CN"/>
        </w:rPr>
      </w:pPr>
      <w:r>
        <w:rPr>
          <w:b/>
          <w:color w:val="auto"/>
          <w:lang w:val="zh-CN"/>
        </w:rPr>
        <w:t>3、噪声</w:t>
      </w:r>
    </w:p>
    <w:p>
      <w:pPr>
        <w:ind w:firstLine="480"/>
        <w:rPr>
          <w:color w:val="auto"/>
          <w:lang w:val="zh-CN"/>
        </w:rPr>
      </w:pPr>
      <w:r>
        <w:rPr>
          <w:color w:val="auto"/>
          <w:lang w:val="zh-CN"/>
        </w:rPr>
        <w:t>运营期噪声包括设备噪声（水泵、风机、柴油发电机等设备）和猪叫声。</w:t>
      </w:r>
    </w:p>
    <w:p>
      <w:pPr>
        <w:ind w:firstLine="482"/>
        <w:rPr>
          <w:b/>
          <w:color w:val="auto"/>
          <w:lang w:val="zh-CN"/>
        </w:rPr>
      </w:pPr>
      <w:r>
        <w:rPr>
          <w:b/>
          <w:color w:val="auto"/>
          <w:lang w:val="zh-CN"/>
        </w:rPr>
        <w:t>4、固体废弃物</w:t>
      </w:r>
    </w:p>
    <w:p>
      <w:pPr>
        <w:ind w:firstLine="480"/>
        <w:rPr>
          <w:color w:val="auto"/>
          <w:lang w:val="zh-CN"/>
        </w:rPr>
      </w:pPr>
      <w:r>
        <w:rPr>
          <w:color w:val="auto"/>
          <w:lang w:val="zh-CN"/>
        </w:rPr>
        <w:t>运营期固废包括员工生活垃圾及养殖过程中产生的固废，其中养殖固废包括一般固废（</w:t>
      </w:r>
      <w:r>
        <w:rPr>
          <w:rFonts w:hint="eastAsia"/>
          <w:color w:val="auto"/>
          <w:lang w:val="zh-CN"/>
        </w:rPr>
        <w:t>猪粪、污泥（沼渣）、</w:t>
      </w:r>
      <w:r>
        <w:rPr>
          <w:color w:val="auto"/>
          <w:lang w:val="zh-CN"/>
        </w:rPr>
        <w:t>病死猪</w:t>
      </w:r>
      <w:r>
        <w:rPr>
          <w:rFonts w:hint="eastAsia"/>
          <w:color w:val="auto"/>
          <w:lang w:val="zh-CN" w:eastAsia="zh-CN"/>
        </w:rPr>
        <w:t>、</w:t>
      </w:r>
      <w:r>
        <w:rPr>
          <w:color w:val="auto"/>
          <w:lang w:val="zh-CN"/>
        </w:rPr>
        <w:t>废脱硫剂</w:t>
      </w:r>
      <w:r>
        <w:rPr>
          <w:rFonts w:hint="eastAsia"/>
          <w:color w:val="auto"/>
          <w:lang w:val="zh-CN" w:eastAsia="zh-CN"/>
        </w:rPr>
        <w:t>、</w:t>
      </w:r>
      <w:r>
        <w:rPr>
          <w:color w:val="auto"/>
          <w:lang w:val="zh-CN"/>
        </w:rPr>
        <w:t>废包装材料）和危险废物畜禽医疗废物。</w:t>
      </w:r>
    </w:p>
    <w:p>
      <w:pPr>
        <w:ind w:firstLine="480"/>
        <w:rPr>
          <w:color w:val="auto"/>
        </w:rPr>
      </w:pPr>
      <w:r>
        <w:rPr>
          <w:color w:val="auto"/>
          <w:lang w:val="zh-CN"/>
        </w:rPr>
        <w:t>运营期主要污染工序及污染物产生情况见图3.</w:t>
      </w:r>
      <w:r>
        <w:rPr>
          <w:rFonts w:hint="eastAsia"/>
          <w:color w:val="auto"/>
          <w:lang w:val="en-US" w:eastAsia="zh-CN"/>
        </w:rPr>
        <w:t>6</w:t>
      </w:r>
      <w:r>
        <w:rPr>
          <w:color w:val="auto"/>
          <w:lang w:val="zh-CN"/>
        </w:rPr>
        <w:t>-</w:t>
      </w:r>
      <w:r>
        <w:rPr>
          <w:rFonts w:hint="eastAsia"/>
          <w:color w:val="auto"/>
          <w:lang w:val="en-US" w:eastAsia="zh-CN"/>
        </w:rPr>
        <w:t>4</w:t>
      </w:r>
      <w:r>
        <w:rPr>
          <w:color w:val="auto"/>
          <w:lang w:val="zh-CN"/>
        </w:rPr>
        <w:t>。</w:t>
      </w:r>
    </w:p>
    <w:p>
      <w:pPr>
        <w:pStyle w:val="166"/>
        <w:spacing w:before="120" w:line="360" w:lineRule="auto"/>
        <w:rPr>
          <w:color w:val="auto"/>
        </w:rPr>
      </w:pPr>
      <w:r>
        <w:rPr>
          <w:color w:val="auto"/>
        </w:rPr>
        <w:object>
          <v:shape id="_x0000_i1113" o:spt="75" type="#_x0000_t75" style="height:327.75pt;width:311.25pt;" o:ole="t" filled="f" o:preferrelative="t" stroked="f" coordsize="21600,21600">
            <v:path/>
            <v:fill on="f" focussize="0,0"/>
            <v:stroke on="f"/>
            <v:imagedata r:id="rId49" o:title=""/>
            <o:lock v:ext="edit" aspectratio="f"/>
            <w10:wrap type="none"/>
            <w10:anchorlock/>
          </v:shape>
          <o:OLEObject Type="Embed" ProgID="Visio.Drawing.11" ShapeID="_x0000_i1113" DrawAspect="Content" ObjectID="_1468075732" r:id="rId48">
            <o:LockedField>false</o:LockedField>
          </o:OLEObject>
        </w:object>
      </w:r>
    </w:p>
    <w:p>
      <w:pPr>
        <w:pStyle w:val="166"/>
        <w:spacing w:before="120" w:line="360" w:lineRule="auto"/>
        <w:rPr>
          <w:color w:val="auto"/>
        </w:rPr>
      </w:pPr>
      <w:r>
        <w:rPr>
          <w:color w:val="auto"/>
        </w:rPr>
        <w:t>图3.</w:t>
      </w:r>
      <w:r>
        <w:rPr>
          <w:rFonts w:hint="eastAsia"/>
          <w:color w:val="auto"/>
          <w:lang w:val="en-US" w:eastAsia="zh-CN"/>
        </w:rPr>
        <w:t>6</w:t>
      </w:r>
      <w:r>
        <w:rPr>
          <w:color w:val="auto"/>
        </w:rPr>
        <w:t>-</w:t>
      </w:r>
      <w:r>
        <w:rPr>
          <w:rFonts w:hint="eastAsia"/>
          <w:color w:val="auto"/>
          <w:lang w:val="en-US" w:eastAsia="zh-CN"/>
        </w:rPr>
        <w:t xml:space="preserve">4 </w:t>
      </w:r>
      <w:r>
        <w:rPr>
          <w:color w:val="auto"/>
        </w:rPr>
        <w:t>运营期主要污染工序及污染物产生情况示意图</w:t>
      </w:r>
    </w:p>
    <w:p>
      <w:pPr>
        <w:spacing w:line="240" w:lineRule="auto"/>
        <w:ind w:firstLine="0" w:firstLineChars="0"/>
        <w:jc w:val="center"/>
        <w:rPr>
          <w:rFonts w:hint="eastAsia"/>
          <w:b/>
          <w:color w:val="auto"/>
          <w:sz w:val="21"/>
          <w:szCs w:val="21"/>
          <w:lang w:val="zh-CN"/>
        </w:rPr>
      </w:pPr>
      <w:r>
        <w:rPr>
          <w:rFonts w:hint="eastAsia"/>
          <w:b/>
          <w:color w:val="auto"/>
          <w:sz w:val="21"/>
          <w:szCs w:val="21"/>
          <w:lang w:val="zh-CN"/>
        </w:rPr>
        <w:t>表3.</w:t>
      </w:r>
      <w:r>
        <w:rPr>
          <w:rFonts w:hint="eastAsia"/>
          <w:b/>
          <w:color w:val="auto"/>
          <w:sz w:val="21"/>
          <w:szCs w:val="21"/>
          <w:lang w:val="en-US" w:eastAsia="zh-CN"/>
        </w:rPr>
        <w:t>6</w:t>
      </w:r>
      <w:r>
        <w:rPr>
          <w:rFonts w:hint="eastAsia"/>
          <w:b/>
          <w:color w:val="auto"/>
          <w:sz w:val="21"/>
          <w:szCs w:val="21"/>
          <w:lang w:val="zh-CN"/>
        </w:rPr>
        <w:t>-</w:t>
      </w:r>
      <w:r>
        <w:rPr>
          <w:rFonts w:hint="eastAsia"/>
          <w:b/>
          <w:color w:val="auto"/>
          <w:sz w:val="21"/>
          <w:szCs w:val="21"/>
          <w:lang w:val="en-US" w:eastAsia="zh-CN"/>
        </w:rPr>
        <w:t>5</w:t>
      </w:r>
      <w:r>
        <w:rPr>
          <w:rFonts w:hint="eastAsia"/>
          <w:b/>
          <w:color w:val="auto"/>
          <w:sz w:val="21"/>
          <w:szCs w:val="21"/>
          <w:lang w:val="en-US" w:eastAsia="zh-CN"/>
        </w:rPr>
        <w:t xml:space="preserve"> </w:t>
      </w:r>
      <w:r>
        <w:rPr>
          <w:rFonts w:hint="eastAsia"/>
          <w:b/>
          <w:color w:val="auto"/>
          <w:sz w:val="21"/>
          <w:szCs w:val="21"/>
          <w:lang w:val="zh-CN"/>
        </w:rPr>
        <w:t>本项目产污环节汇总表</w:t>
      </w:r>
    </w:p>
    <w:tbl>
      <w:tblPr>
        <w:tblStyle w:val="5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53"/>
        <w:gridCol w:w="3020"/>
        <w:gridCol w:w="40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noWrap w:val="0"/>
            <w:vAlign w:val="center"/>
          </w:tcPr>
          <w:p>
            <w:pPr>
              <w:spacing w:line="240" w:lineRule="auto"/>
              <w:ind w:firstLine="0" w:firstLineChars="0"/>
              <w:jc w:val="center"/>
              <w:rPr>
                <w:rFonts w:hint="eastAsia"/>
                <w:b/>
                <w:color w:val="auto"/>
                <w:sz w:val="21"/>
                <w:szCs w:val="21"/>
                <w:lang w:val="zh-CN"/>
              </w:rPr>
            </w:pPr>
            <w:r>
              <w:rPr>
                <w:rFonts w:hint="eastAsia"/>
                <w:b/>
                <w:color w:val="auto"/>
                <w:sz w:val="21"/>
                <w:szCs w:val="21"/>
                <w:lang w:val="zh-CN"/>
              </w:rPr>
              <w:t>类别</w:t>
            </w:r>
          </w:p>
        </w:tc>
        <w:tc>
          <w:tcPr>
            <w:tcW w:w="1677" w:type="pct"/>
            <w:noWrap w:val="0"/>
            <w:vAlign w:val="center"/>
          </w:tcPr>
          <w:p>
            <w:pPr>
              <w:spacing w:line="240" w:lineRule="auto"/>
              <w:ind w:firstLine="0" w:firstLineChars="0"/>
              <w:jc w:val="center"/>
              <w:rPr>
                <w:rFonts w:hint="eastAsia"/>
                <w:b/>
                <w:color w:val="auto"/>
                <w:sz w:val="21"/>
                <w:szCs w:val="21"/>
                <w:lang w:val="zh-CN"/>
              </w:rPr>
            </w:pPr>
            <w:r>
              <w:rPr>
                <w:rFonts w:hint="eastAsia"/>
                <w:b/>
                <w:color w:val="auto"/>
                <w:sz w:val="21"/>
                <w:szCs w:val="21"/>
                <w:lang w:val="zh-CN"/>
              </w:rPr>
              <w:t>产生工序</w:t>
            </w:r>
          </w:p>
        </w:tc>
        <w:tc>
          <w:tcPr>
            <w:tcW w:w="2236" w:type="pct"/>
            <w:noWrap w:val="0"/>
            <w:vAlign w:val="center"/>
          </w:tcPr>
          <w:p>
            <w:pPr>
              <w:spacing w:line="240" w:lineRule="auto"/>
              <w:ind w:firstLine="0" w:firstLineChars="0"/>
              <w:jc w:val="center"/>
              <w:rPr>
                <w:rFonts w:hint="eastAsia"/>
                <w:b/>
                <w:color w:val="auto"/>
                <w:sz w:val="21"/>
                <w:szCs w:val="21"/>
                <w:lang w:val="zh-CN"/>
              </w:rPr>
            </w:pPr>
            <w:r>
              <w:rPr>
                <w:rFonts w:hint="eastAsia"/>
                <w:b/>
                <w:color w:val="auto"/>
                <w:sz w:val="21"/>
                <w:szCs w:val="21"/>
                <w:lang w:val="zh-CN"/>
              </w:rPr>
              <w:t>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restar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废气</w:t>
            </w: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猪舍</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恶臭（NH</w:t>
            </w:r>
            <w:r>
              <w:rPr>
                <w:rFonts w:hint="eastAsia"/>
                <w:color w:val="auto"/>
                <w:sz w:val="21"/>
                <w:szCs w:val="21"/>
                <w:vertAlign w:val="subscript"/>
                <w:lang w:val="zh-CN"/>
              </w:rPr>
              <w:t>3</w:t>
            </w:r>
            <w:r>
              <w:rPr>
                <w:rFonts w:hint="eastAsia"/>
                <w:color w:val="auto"/>
                <w:sz w:val="21"/>
                <w:szCs w:val="21"/>
                <w:lang w:val="zh-CN"/>
              </w:rPr>
              <w:t>、H</w:t>
            </w:r>
            <w:r>
              <w:rPr>
                <w:rFonts w:hint="eastAsia"/>
                <w:color w:val="auto"/>
                <w:sz w:val="21"/>
                <w:szCs w:val="21"/>
                <w:vertAlign w:val="subscript"/>
                <w:lang w:val="zh-CN"/>
              </w:rPr>
              <w:t>2</w:t>
            </w:r>
            <w:r>
              <w:rPr>
                <w:rFonts w:hint="eastAsia"/>
                <w:color w:val="auto"/>
                <w:sz w:val="21"/>
                <w:szCs w:val="21"/>
                <w:lang w:val="zh-CN"/>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en-US" w:eastAsia="zh-CN"/>
              </w:rPr>
              <w:t>干粪堆场</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恶臭（NH</w:t>
            </w:r>
            <w:r>
              <w:rPr>
                <w:rFonts w:hint="eastAsia"/>
                <w:color w:val="auto"/>
                <w:sz w:val="21"/>
                <w:szCs w:val="21"/>
                <w:vertAlign w:val="subscript"/>
                <w:lang w:val="zh-CN"/>
              </w:rPr>
              <w:t>3</w:t>
            </w:r>
            <w:r>
              <w:rPr>
                <w:rFonts w:hint="eastAsia"/>
                <w:color w:val="auto"/>
                <w:sz w:val="21"/>
                <w:szCs w:val="21"/>
                <w:lang w:val="zh-CN"/>
              </w:rPr>
              <w:t>、H</w:t>
            </w:r>
            <w:r>
              <w:rPr>
                <w:rFonts w:hint="eastAsia"/>
                <w:color w:val="auto"/>
                <w:sz w:val="21"/>
                <w:szCs w:val="21"/>
                <w:vertAlign w:val="subscript"/>
                <w:lang w:val="zh-CN"/>
              </w:rPr>
              <w:t>2</w:t>
            </w:r>
            <w:r>
              <w:rPr>
                <w:rFonts w:hint="eastAsia"/>
                <w:color w:val="auto"/>
                <w:sz w:val="21"/>
                <w:szCs w:val="21"/>
                <w:lang w:val="zh-CN"/>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污水处理区</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沼气、恶臭（NH</w:t>
            </w:r>
            <w:r>
              <w:rPr>
                <w:rFonts w:hint="eastAsia"/>
                <w:color w:val="auto"/>
                <w:sz w:val="21"/>
                <w:szCs w:val="21"/>
                <w:vertAlign w:val="subscript"/>
                <w:lang w:val="zh-CN"/>
              </w:rPr>
              <w:t>3</w:t>
            </w:r>
            <w:r>
              <w:rPr>
                <w:rFonts w:hint="eastAsia"/>
                <w:color w:val="auto"/>
                <w:sz w:val="21"/>
                <w:szCs w:val="21"/>
                <w:lang w:val="zh-CN"/>
              </w:rPr>
              <w:t>、H</w:t>
            </w:r>
            <w:r>
              <w:rPr>
                <w:rFonts w:hint="eastAsia"/>
                <w:color w:val="auto"/>
                <w:sz w:val="21"/>
                <w:szCs w:val="21"/>
                <w:vertAlign w:val="subscript"/>
                <w:lang w:val="zh-CN"/>
              </w:rPr>
              <w:t>2</w:t>
            </w:r>
            <w:r>
              <w:rPr>
                <w:rFonts w:hint="eastAsia"/>
                <w:color w:val="auto"/>
                <w:sz w:val="21"/>
                <w:szCs w:val="21"/>
                <w:lang w:val="zh-CN"/>
              </w:rPr>
              <w:t>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rPr>
              <w:t>运输</w:t>
            </w:r>
          </w:p>
        </w:tc>
        <w:tc>
          <w:tcPr>
            <w:tcW w:w="2236" w:type="pct"/>
            <w:noWrap w:val="0"/>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zh-CN"/>
              </w:rPr>
              <w:t>恶臭（NH</w:t>
            </w:r>
            <w:r>
              <w:rPr>
                <w:rFonts w:hint="eastAsia"/>
                <w:color w:val="auto"/>
                <w:sz w:val="21"/>
                <w:szCs w:val="21"/>
                <w:vertAlign w:val="subscript"/>
                <w:lang w:val="zh-CN"/>
              </w:rPr>
              <w:t>3</w:t>
            </w:r>
            <w:r>
              <w:rPr>
                <w:rFonts w:hint="eastAsia"/>
                <w:color w:val="auto"/>
                <w:sz w:val="21"/>
                <w:szCs w:val="21"/>
                <w:lang w:val="zh-CN"/>
              </w:rPr>
              <w:t>、H</w:t>
            </w:r>
            <w:r>
              <w:rPr>
                <w:rFonts w:hint="eastAsia"/>
                <w:color w:val="auto"/>
                <w:sz w:val="21"/>
                <w:szCs w:val="21"/>
                <w:vertAlign w:val="subscript"/>
                <w:lang w:val="zh-CN"/>
              </w:rPr>
              <w:t>2</w:t>
            </w:r>
            <w:r>
              <w:rPr>
                <w:rFonts w:hint="eastAsia"/>
                <w:color w:val="auto"/>
                <w:sz w:val="21"/>
                <w:szCs w:val="21"/>
                <w:lang w:val="zh-CN"/>
              </w:rPr>
              <w:t>S)</w:t>
            </w:r>
            <w:r>
              <w:rPr>
                <w:rFonts w:hint="eastAsia"/>
                <w:color w:val="auto"/>
                <w:sz w:val="21"/>
                <w:szCs w:val="21"/>
                <w:lang w:val="en-US" w:eastAsia="zh-CN"/>
              </w:rPr>
              <w:t>及尾气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沼气燃烧废气</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SO</w:t>
            </w:r>
            <w:r>
              <w:rPr>
                <w:rFonts w:hint="eastAsia"/>
                <w:color w:val="auto"/>
                <w:sz w:val="21"/>
                <w:szCs w:val="21"/>
                <w:vertAlign w:val="subscript"/>
                <w:lang w:val="zh-CN"/>
              </w:rPr>
              <w:t>2</w:t>
            </w:r>
            <w:r>
              <w:rPr>
                <w:rFonts w:hint="eastAsia"/>
                <w:color w:val="auto"/>
                <w:sz w:val="21"/>
                <w:szCs w:val="21"/>
                <w:lang w:val="zh-CN"/>
              </w:rPr>
              <w:t>、NOx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食堂</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食堂油烟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pStyle w:val="332"/>
              <w:kinsoku w:val="0"/>
              <w:overflowPunct w:val="0"/>
              <w:ind w:firstLine="0" w:firstLineChars="0"/>
              <w:jc w:val="center"/>
              <w:rPr>
                <w:rFonts w:hint="eastAsia"/>
                <w:color w:val="auto"/>
                <w:sz w:val="21"/>
                <w:szCs w:val="21"/>
                <w:lang w:val="zh-CN"/>
              </w:rPr>
            </w:pPr>
            <w:r>
              <w:rPr>
                <w:rFonts w:hint="eastAsia"/>
                <w:color w:val="auto"/>
                <w:sz w:val="21"/>
                <w:szCs w:val="21"/>
              </w:rPr>
              <w:t>柴油发电机废气</w:t>
            </w:r>
          </w:p>
        </w:tc>
        <w:tc>
          <w:tcPr>
            <w:tcW w:w="2236" w:type="pct"/>
            <w:noWrap w:val="0"/>
            <w:vAlign w:val="center"/>
          </w:tcPr>
          <w:p>
            <w:pPr>
              <w:pStyle w:val="332"/>
              <w:kinsoku w:val="0"/>
              <w:overflowPunct w:val="0"/>
              <w:ind w:firstLine="0" w:firstLineChars="0"/>
              <w:jc w:val="center"/>
              <w:rPr>
                <w:rFonts w:hint="eastAsia"/>
                <w:color w:val="auto"/>
                <w:sz w:val="21"/>
                <w:szCs w:val="21"/>
                <w:lang w:val="zh-CN"/>
              </w:rPr>
            </w:pPr>
            <w:r>
              <w:rPr>
                <w:color w:val="auto"/>
                <w:sz w:val="21"/>
                <w:szCs w:val="21"/>
              </w:rPr>
              <w:t>CO、HC、NOx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restar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废水</w:t>
            </w: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养殖废水（猪尿、猪舍冲洗废水、</w:t>
            </w:r>
            <w:r>
              <w:rPr>
                <w:rFonts w:hint="eastAsia"/>
                <w:color w:val="auto"/>
                <w:sz w:val="21"/>
                <w:szCs w:val="21"/>
                <w:lang w:val="en-US" w:eastAsia="zh-CN"/>
              </w:rPr>
              <w:t>猪粪脱水</w:t>
            </w:r>
            <w:r>
              <w:rPr>
                <w:rFonts w:hint="eastAsia"/>
                <w:color w:val="auto"/>
                <w:sz w:val="21"/>
                <w:szCs w:val="21"/>
                <w:lang w:val="zh-CN"/>
              </w:rPr>
              <w:t>）</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rPr>
              <w:t>COD</w:t>
            </w:r>
            <w:r>
              <w:rPr>
                <w:rFonts w:hint="eastAsia"/>
                <w:color w:val="auto"/>
                <w:sz w:val="21"/>
                <w:szCs w:val="21"/>
                <w:lang w:val="zh-CN"/>
              </w:rPr>
              <w:t>、</w:t>
            </w:r>
            <w:r>
              <w:rPr>
                <w:rFonts w:hint="eastAsia"/>
                <w:color w:val="auto"/>
                <w:sz w:val="21"/>
                <w:szCs w:val="21"/>
              </w:rPr>
              <w:t>BOD</w:t>
            </w:r>
            <w:r>
              <w:rPr>
                <w:rFonts w:hint="eastAsia"/>
                <w:color w:val="auto"/>
                <w:sz w:val="21"/>
                <w:szCs w:val="21"/>
                <w:vertAlign w:val="subscript"/>
              </w:rPr>
              <w:t>5</w:t>
            </w:r>
            <w:r>
              <w:rPr>
                <w:rFonts w:hint="eastAsia"/>
                <w:color w:val="auto"/>
                <w:sz w:val="21"/>
                <w:szCs w:val="21"/>
                <w:lang w:val="zh-CN"/>
              </w:rPr>
              <w:t>、</w:t>
            </w:r>
            <w:r>
              <w:rPr>
                <w:rFonts w:hint="eastAsia"/>
                <w:color w:val="auto"/>
                <w:sz w:val="21"/>
                <w:szCs w:val="21"/>
              </w:rPr>
              <w:t>SS</w:t>
            </w:r>
            <w:r>
              <w:rPr>
                <w:rFonts w:hint="eastAsia"/>
                <w:color w:val="auto"/>
                <w:sz w:val="21"/>
                <w:szCs w:val="21"/>
                <w:lang w:val="zh-CN"/>
              </w:rPr>
              <w:t>、氨氮、总磷、大肠杆菌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生活污水</w:t>
            </w:r>
          </w:p>
        </w:tc>
        <w:tc>
          <w:tcPr>
            <w:tcW w:w="2236" w:type="pct"/>
            <w:vMerge w:val="restart"/>
            <w:noWrap w:val="0"/>
            <w:vAlign w:val="center"/>
          </w:tcPr>
          <w:p>
            <w:pPr>
              <w:spacing w:line="240" w:lineRule="auto"/>
              <w:ind w:firstLine="0" w:firstLineChars="0"/>
              <w:jc w:val="center"/>
              <w:rPr>
                <w:rFonts w:hint="eastAsia"/>
                <w:color w:val="auto"/>
                <w:sz w:val="21"/>
                <w:szCs w:val="21"/>
              </w:rPr>
            </w:pPr>
            <w:r>
              <w:rPr>
                <w:rFonts w:hint="eastAsia"/>
                <w:color w:val="auto"/>
                <w:sz w:val="21"/>
                <w:szCs w:val="21"/>
              </w:rPr>
              <w:t>COD</w:t>
            </w:r>
            <w:r>
              <w:rPr>
                <w:rFonts w:hint="eastAsia"/>
                <w:color w:val="auto"/>
                <w:sz w:val="21"/>
                <w:szCs w:val="21"/>
                <w:lang w:val="zh-CN"/>
              </w:rPr>
              <w:t>、</w:t>
            </w:r>
            <w:r>
              <w:rPr>
                <w:rFonts w:hint="eastAsia"/>
                <w:color w:val="auto"/>
                <w:sz w:val="21"/>
                <w:szCs w:val="21"/>
              </w:rPr>
              <w:t>BOD</w:t>
            </w:r>
            <w:r>
              <w:rPr>
                <w:rFonts w:hint="eastAsia"/>
                <w:color w:val="auto"/>
                <w:sz w:val="21"/>
                <w:szCs w:val="21"/>
                <w:vertAlign w:val="subscript"/>
              </w:rPr>
              <w:t>5</w:t>
            </w:r>
            <w:r>
              <w:rPr>
                <w:rFonts w:hint="eastAsia"/>
                <w:color w:val="auto"/>
                <w:sz w:val="21"/>
                <w:szCs w:val="21"/>
                <w:lang w:val="zh-CN"/>
              </w:rPr>
              <w:t>、</w:t>
            </w:r>
            <w:r>
              <w:rPr>
                <w:rFonts w:hint="eastAsia"/>
                <w:color w:val="auto"/>
                <w:sz w:val="21"/>
                <w:szCs w:val="21"/>
              </w:rPr>
              <w:t>SS</w:t>
            </w:r>
            <w:r>
              <w:rPr>
                <w:rFonts w:hint="eastAsia"/>
                <w:color w:val="auto"/>
                <w:sz w:val="21"/>
                <w:szCs w:val="21"/>
                <w:lang w:val="zh-CN"/>
              </w:rPr>
              <w:t>、</w:t>
            </w:r>
          </w:p>
          <w:p>
            <w:pPr>
              <w:spacing w:line="240" w:lineRule="auto"/>
              <w:ind w:firstLine="0" w:firstLineChars="0"/>
              <w:jc w:val="center"/>
              <w:rPr>
                <w:rFonts w:hint="eastAsia"/>
                <w:color w:val="auto"/>
                <w:sz w:val="21"/>
                <w:szCs w:val="21"/>
                <w:lang w:val="zh-CN"/>
              </w:rPr>
            </w:pPr>
            <w:r>
              <w:rPr>
                <w:rFonts w:hint="eastAsia"/>
                <w:color w:val="auto"/>
                <w:sz w:val="21"/>
                <w:szCs w:val="21"/>
                <w:lang w:val="zh-CN"/>
              </w:rPr>
              <w:t>氨氮、总磷、动植物油等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食堂废水</w:t>
            </w:r>
          </w:p>
        </w:tc>
        <w:tc>
          <w:tcPr>
            <w:tcW w:w="2236" w:type="pct"/>
            <w:vMerge w:val="continue"/>
            <w:noWrap w:val="0"/>
            <w:vAlign w:val="center"/>
          </w:tcPr>
          <w:p>
            <w:pPr>
              <w:spacing w:line="240" w:lineRule="auto"/>
              <w:ind w:firstLine="0" w:firstLineChars="0"/>
              <w:jc w:val="center"/>
              <w:rPr>
                <w:rFonts w:hint="eastAsia"/>
                <w:color w:val="auto"/>
                <w:sz w:val="21"/>
                <w:szCs w:val="21"/>
                <w:lang w:val="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restar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固体废物</w:t>
            </w: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猪的饲养</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猪粪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医疗、防疫</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医疗废物（HW01）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养殖过程</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病死猪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黑膜沼气池</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沼渣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饲料使用</w:t>
            </w:r>
          </w:p>
        </w:tc>
        <w:tc>
          <w:tcPr>
            <w:tcW w:w="2236" w:type="pct"/>
            <w:noWrap w:val="0"/>
            <w:vAlign w:val="center"/>
          </w:tcPr>
          <w:p>
            <w:pPr>
              <w:pStyle w:val="110"/>
              <w:spacing w:line="240" w:lineRule="auto"/>
              <w:ind w:firstLine="0" w:firstLineChars="0"/>
              <w:rPr>
                <w:rFonts w:hint="eastAsia"/>
                <w:color w:val="auto"/>
                <w:sz w:val="21"/>
                <w:szCs w:val="21"/>
                <w:lang w:val="zh-CN"/>
              </w:rPr>
            </w:pPr>
            <w:r>
              <w:rPr>
                <w:color w:val="auto"/>
                <w:sz w:val="21"/>
                <w:szCs w:val="21"/>
              </w:rPr>
              <w:t xml:space="preserve">废包装材料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沼气净化</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废脱硫剂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vMerge w:val="restar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办公生活</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生活垃圾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vMerge w:val="continue"/>
            <w:noWrap w:val="0"/>
            <w:vAlign w:val="center"/>
          </w:tcPr>
          <w:p>
            <w:pPr>
              <w:spacing w:line="240" w:lineRule="auto"/>
              <w:ind w:firstLine="0" w:firstLineChars="0"/>
              <w:jc w:val="center"/>
              <w:rPr>
                <w:rFonts w:hint="eastAsia"/>
                <w:color w:val="auto"/>
                <w:sz w:val="21"/>
                <w:szCs w:val="21"/>
                <w:lang w:val="zh-CN"/>
              </w:rPr>
            </w:pP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餐厨垃圾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restar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噪声</w:t>
            </w: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猪的饲养</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猪叫声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5" w:type="pct"/>
            <w:vMerge w:val="continue"/>
            <w:noWrap w:val="0"/>
            <w:vAlign w:val="center"/>
          </w:tcPr>
          <w:p>
            <w:pPr>
              <w:spacing w:line="240" w:lineRule="auto"/>
              <w:ind w:firstLine="0" w:firstLineChars="0"/>
              <w:jc w:val="center"/>
              <w:rPr>
                <w:rFonts w:hint="eastAsia"/>
                <w:color w:val="auto"/>
                <w:sz w:val="21"/>
                <w:szCs w:val="21"/>
                <w:lang w:val="zh-CN"/>
              </w:rPr>
            </w:pPr>
          </w:p>
        </w:tc>
        <w:tc>
          <w:tcPr>
            <w:tcW w:w="1677"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风机、水泵等</w:t>
            </w:r>
          </w:p>
        </w:tc>
        <w:tc>
          <w:tcPr>
            <w:tcW w:w="2236" w:type="pct"/>
            <w:noWrap w:val="0"/>
            <w:vAlign w:val="center"/>
          </w:tcPr>
          <w:p>
            <w:pPr>
              <w:spacing w:line="240" w:lineRule="auto"/>
              <w:ind w:firstLine="0" w:firstLineChars="0"/>
              <w:jc w:val="center"/>
              <w:rPr>
                <w:rFonts w:hint="eastAsia"/>
                <w:color w:val="auto"/>
                <w:sz w:val="21"/>
                <w:szCs w:val="21"/>
                <w:lang w:val="zh-CN"/>
              </w:rPr>
            </w:pPr>
            <w:r>
              <w:rPr>
                <w:rFonts w:hint="eastAsia"/>
                <w:color w:val="auto"/>
                <w:sz w:val="21"/>
                <w:szCs w:val="21"/>
                <w:lang w:val="zh-CN"/>
              </w:rPr>
              <w:t>设备运行噪声</w:t>
            </w:r>
          </w:p>
        </w:tc>
      </w:tr>
    </w:tbl>
    <w:p>
      <w:pPr>
        <w:pStyle w:val="8"/>
        <w:numPr>
          <w:ilvl w:val="0"/>
          <w:numId w:val="0"/>
        </w:numPr>
        <w:tabs>
          <w:tab w:val="clear" w:pos="0"/>
        </w:tabs>
        <w:spacing w:before="240"/>
        <w:ind w:leftChars="0"/>
        <w:rPr>
          <w:color w:val="auto"/>
        </w:rPr>
      </w:pPr>
      <w:r>
        <w:rPr>
          <w:rFonts w:hint="eastAsia"/>
          <w:color w:val="auto"/>
          <w:sz w:val="28"/>
          <w:szCs w:val="28"/>
          <w:lang w:val="en-US" w:eastAsia="zh-CN"/>
        </w:rPr>
        <w:t>3.6.3</w:t>
      </w:r>
      <w:r>
        <w:rPr>
          <w:rFonts w:eastAsia="黑体"/>
          <w:color w:val="auto"/>
          <w:sz w:val="28"/>
          <w:szCs w:val="28"/>
        </w:rPr>
        <w:t>运营期污染物产生、排放及治理措施</w:t>
      </w:r>
    </w:p>
    <w:p>
      <w:pPr>
        <w:pStyle w:val="9"/>
        <w:numPr>
          <w:ilvl w:val="0"/>
          <w:numId w:val="0"/>
        </w:numPr>
        <w:spacing w:before="120" w:beforeLines="50"/>
        <w:ind w:leftChars="0"/>
        <w:rPr>
          <w:color w:val="auto"/>
        </w:rPr>
      </w:pPr>
      <w:r>
        <w:rPr>
          <w:rFonts w:hint="eastAsia"/>
          <w:color w:val="auto"/>
          <w:lang w:val="en-US" w:eastAsia="zh-CN"/>
        </w:rPr>
        <w:t>3.6.3.1</w:t>
      </w:r>
      <w:r>
        <w:rPr>
          <w:color w:val="auto"/>
        </w:rPr>
        <w:t>废水产生、排放及治理措施</w:t>
      </w:r>
    </w:p>
    <w:p>
      <w:pPr>
        <w:ind w:firstLine="480"/>
        <w:rPr>
          <w:color w:val="auto"/>
          <w:lang w:val="zh-CN"/>
        </w:rPr>
      </w:pPr>
      <w:r>
        <w:rPr>
          <w:color w:val="auto"/>
          <w:lang w:val="zh-CN"/>
        </w:rPr>
        <w:t>本项目废水主要分为两类，一类为养殖过程中产生的</w:t>
      </w:r>
      <w:r>
        <w:rPr>
          <w:rFonts w:hint="default"/>
          <w:color w:val="auto"/>
          <w:lang w:val="zh-CN"/>
        </w:rPr>
        <w:t>猪粪尿、</w:t>
      </w:r>
      <w:r>
        <w:rPr>
          <w:color w:val="auto"/>
          <w:lang w:val="zh-CN"/>
        </w:rPr>
        <w:t>猪舍冲洗废水；另一类为生活污水，主要为职工办公、食堂餐饮废水。</w:t>
      </w:r>
    </w:p>
    <w:p>
      <w:pPr>
        <w:ind w:firstLine="482"/>
        <w:rPr>
          <w:b/>
          <w:color w:val="auto"/>
        </w:rPr>
      </w:pPr>
      <w:r>
        <w:rPr>
          <w:b/>
          <w:color w:val="auto"/>
        </w:rPr>
        <w:t>1、废水产生情况</w:t>
      </w:r>
    </w:p>
    <w:p>
      <w:pPr>
        <w:ind w:firstLine="482"/>
        <w:rPr>
          <w:b/>
          <w:color w:val="auto"/>
        </w:rPr>
      </w:pPr>
      <w:r>
        <w:rPr>
          <w:b/>
          <w:color w:val="auto"/>
        </w:rPr>
        <w:t>（1）养殖废水</w:t>
      </w:r>
    </w:p>
    <w:p>
      <w:pPr>
        <w:ind w:firstLine="480"/>
        <w:rPr>
          <w:color w:val="auto"/>
        </w:rPr>
      </w:pPr>
      <w:r>
        <w:rPr>
          <w:color w:val="auto"/>
        </w:rPr>
        <w:t>为避免猪传染病的发生，猪群需要一个良好的生长环境，猪舍需保持干燥、清洁，猪舍用具及环境需定期冲洗和消毒。根据项目水平衡分析，运营期猪尿</w:t>
      </w:r>
      <w:r>
        <w:rPr>
          <w:rFonts w:hint="eastAsia"/>
          <w:color w:val="auto"/>
          <w:lang w:eastAsia="zh-CN"/>
        </w:rPr>
        <w:t>、</w:t>
      </w:r>
      <w:r>
        <w:rPr>
          <w:color w:val="auto"/>
        </w:rPr>
        <w:t>猪粪脱水、</w:t>
      </w:r>
      <w:r>
        <w:rPr>
          <w:color w:val="auto"/>
          <w:lang w:val="zh-CN"/>
        </w:rPr>
        <w:t>猪舍冲洗废水</w:t>
      </w:r>
      <w:r>
        <w:rPr>
          <w:color w:val="auto"/>
        </w:rPr>
        <w:t>产生量</w:t>
      </w:r>
      <w:r>
        <w:rPr>
          <w:rFonts w:hint="eastAsia"/>
          <w:color w:val="auto"/>
        </w:rPr>
        <w:t>合计</w:t>
      </w:r>
      <w:r>
        <w:rPr>
          <w:color w:val="auto"/>
        </w:rPr>
        <w:t>约</w:t>
      </w:r>
      <w:r>
        <w:rPr>
          <w:rFonts w:hint="default"/>
          <w:color w:val="auto"/>
          <w:lang w:eastAsia="zh-CN"/>
        </w:rPr>
        <w:fldChar w:fldCharType="begin"/>
      </w:r>
      <w:r>
        <w:rPr>
          <w:rFonts w:hint="default"/>
          <w:color w:val="auto"/>
          <w:lang w:eastAsia="zh-CN"/>
        </w:rPr>
        <w:instrText xml:space="preserve"> =SUM(ABOVE) \* MERGEFORMAT </w:instrText>
      </w:r>
      <w:r>
        <w:rPr>
          <w:rFonts w:hint="default"/>
          <w:color w:val="auto"/>
          <w:lang w:eastAsia="zh-CN"/>
        </w:rPr>
        <w:fldChar w:fldCharType="separate"/>
      </w:r>
      <w:r>
        <w:rPr>
          <w:rFonts w:hint="default"/>
          <w:color w:val="auto"/>
          <w:lang w:eastAsia="zh-CN"/>
        </w:rPr>
        <w:t>29.083</w:t>
      </w:r>
      <w:r>
        <w:rPr>
          <w:rFonts w:hint="default"/>
          <w:color w:val="auto"/>
          <w:lang w:eastAsia="zh-CN"/>
        </w:rPr>
        <w:fldChar w:fldCharType="end"/>
      </w:r>
      <w:r>
        <w:rPr>
          <w:color w:val="auto"/>
        </w:rPr>
        <w:t>m</w:t>
      </w:r>
      <w:r>
        <w:rPr>
          <w:color w:val="auto"/>
          <w:vertAlign w:val="superscript"/>
        </w:rPr>
        <w:t>3</w:t>
      </w:r>
      <w:r>
        <w:rPr>
          <w:color w:val="auto"/>
        </w:rPr>
        <w:t>/d</w:t>
      </w:r>
      <w:r>
        <w:rPr>
          <w:rFonts w:hint="eastAsia"/>
          <w:color w:val="auto"/>
        </w:rPr>
        <w:t>（10469.88</w:t>
      </w:r>
      <w:r>
        <w:rPr>
          <w:color w:val="auto"/>
        </w:rPr>
        <w:t>m</w:t>
      </w:r>
      <w:r>
        <w:rPr>
          <w:color w:val="auto"/>
          <w:vertAlign w:val="superscript"/>
        </w:rPr>
        <w:t>3</w:t>
      </w:r>
      <w:r>
        <w:rPr>
          <w:color w:val="auto"/>
        </w:rPr>
        <w:t>/a</w:t>
      </w:r>
      <w:r>
        <w:rPr>
          <w:rFonts w:hint="eastAsia"/>
          <w:color w:val="auto"/>
        </w:rPr>
        <w:t>）</w:t>
      </w:r>
      <w:r>
        <w:rPr>
          <w:color w:val="auto"/>
        </w:rPr>
        <w:t>。参照《</w:t>
      </w:r>
      <w:r>
        <w:rPr>
          <w:rFonts w:hint="eastAsia"/>
          <w:color w:val="auto"/>
        </w:rPr>
        <w:t>畜禽养殖业污染治理工程技术规范</w:t>
      </w:r>
      <w:r>
        <w:rPr>
          <w:color w:val="auto"/>
        </w:rPr>
        <w:t>》（</w:t>
      </w:r>
      <w:r>
        <w:rPr>
          <w:rFonts w:hint="eastAsia"/>
          <w:color w:val="auto"/>
        </w:rPr>
        <w:t>HJ 497－2009</w:t>
      </w:r>
      <w:r>
        <w:rPr>
          <w:color w:val="auto"/>
        </w:rPr>
        <w:t>）及类比同</w:t>
      </w:r>
      <w:r>
        <w:rPr>
          <w:rFonts w:hint="eastAsia"/>
          <w:color w:val="auto"/>
        </w:rPr>
        <w:t>类型项目</w:t>
      </w:r>
      <w:r>
        <w:rPr>
          <w:color w:val="auto"/>
        </w:rPr>
        <w:t>，</w:t>
      </w:r>
      <w:r>
        <w:rPr>
          <w:rFonts w:hint="eastAsia"/>
          <w:color w:val="auto"/>
        </w:rPr>
        <w:t>确定本项目综合废水水量水质如下：</w:t>
      </w:r>
    </w:p>
    <w:p>
      <w:pPr>
        <w:pStyle w:val="166"/>
        <w:spacing w:before="120" w:beforeLines="0"/>
        <w:ind w:firstLine="480"/>
        <w:rPr>
          <w:color w:val="auto"/>
        </w:rPr>
      </w:pPr>
      <w:r>
        <w:rPr>
          <w:color w:val="auto"/>
        </w:rPr>
        <w:t>表 3.</w:t>
      </w:r>
      <w:r>
        <w:rPr>
          <w:rFonts w:hint="eastAsia"/>
          <w:color w:val="auto"/>
          <w:lang w:val="en-US" w:eastAsia="zh-CN"/>
        </w:rPr>
        <w:t>6</w:t>
      </w:r>
      <w:r>
        <w:rPr>
          <w:color w:val="auto"/>
        </w:rPr>
        <w:t>-</w:t>
      </w:r>
      <w:r>
        <w:rPr>
          <w:rFonts w:hint="eastAsia"/>
          <w:color w:val="auto"/>
          <w:lang w:val="en-US" w:eastAsia="zh-CN"/>
        </w:rPr>
        <w:t xml:space="preserve">6 </w:t>
      </w:r>
      <w:r>
        <w:rPr>
          <w:color w:val="auto"/>
        </w:rPr>
        <w:t>项目养殖废水水质情况一览表</w:t>
      </w:r>
    </w:p>
    <w:tbl>
      <w:tblPr>
        <w:tblStyle w:val="51"/>
        <w:tblW w:w="4996"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14"/>
        <w:gridCol w:w="1275"/>
        <w:gridCol w:w="870"/>
        <w:gridCol w:w="1200"/>
        <w:gridCol w:w="675"/>
        <w:gridCol w:w="735"/>
        <w:gridCol w:w="915"/>
        <w:gridCol w:w="600"/>
        <w:gridCol w:w="853"/>
        <w:gridCol w:w="843"/>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463" w:type="pct"/>
            <w:noWrap w:val="0"/>
            <w:vAlign w:val="center"/>
          </w:tcPr>
          <w:p>
            <w:pPr>
              <w:pStyle w:val="332"/>
              <w:kinsoku w:val="0"/>
              <w:overflowPunct w:val="0"/>
              <w:spacing w:line="241" w:lineRule="exact"/>
              <w:jc w:val="center"/>
              <w:rPr>
                <w:b/>
                <w:bCs/>
                <w:color w:val="auto"/>
                <w:sz w:val="20"/>
                <w:szCs w:val="20"/>
              </w:rPr>
            </w:pPr>
            <w:r>
              <w:rPr>
                <w:b/>
                <w:bCs/>
                <w:color w:val="auto"/>
                <w:sz w:val="20"/>
                <w:szCs w:val="20"/>
              </w:rPr>
              <w:t>养殖废水</w:t>
            </w:r>
          </w:p>
        </w:tc>
        <w:tc>
          <w:tcPr>
            <w:tcW w:w="726" w:type="pct"/>
            <w:noWrap w:val="0"/>
            <w:vAlign w:val="center"/>
          </w:tcPr>
          <w:p>
            <w:pPr>
              <w:pStyle w:val="332"/>
              <w:kinsoku w:val="0"/>
              <w:overflowPunct w:val="0"/>
              <w:spacing w:line="241" w:lineRule="exact"/>
              <w:jc w:val="center"/>
              <w:rPr>
                <w:b/>
                <w:bCs/>
                <w:color w:val="auto"/>
                <w:sz w:val="20"/>
                <w:szCs w:val="20"/>
              </w:rPr>
            </w:pPr>
            <w:r>
              <w:rPr>
                <w:b/>
                <w:bCs/>
                <w:color w:val="auto"/>
                <w:sz w:val="20"/>
                <w:szCs w:val="20"/>
              </w:rPr>
              <w:t>污染物名称</w:t>
            </w:r>
          </w:p>
        </w:tc>
        <w:tc>
          <w:tcPr>
            <w:tcW w:w="495" w:type="pct"/>
            <w:noWrap w:val="0"/>
            <w:vAlign w:val="center"/>
          </w:tcPr>
          <w:p>
            <w:pPr>
              <w:pStyle w:val="332"/>
              <w:kinsoku w:val="0"/>
              <w:overflowPunct w:val="0"/>
              <w:spacing w:before="15"/>
              <w:jc w:val="center"/>
              <w:rPr>
                <w:b/>
                <w:bCs/>
                <w:color w:val="auto"/>
                <w:sz w:val="20"/>
                <w:szCs w:val="20"/>
              </w:rPr>
            </w:pPr>
            <w:r>
              <w:rPr>
                <w:b/>
                <w:bCs/>
                <w:color w:val="auto"/>
                <w:sz w:val="20"/>
                <w:szCs w:val="20"/>
              </w:rPr>
              <w:t>pH</w:t>
            </w:r>
          </w:p>
        </w:tc>
        <w:tc>
          <w:tcPr>
            <w:tcW w:w="683" w:type="pct"/>
            <w:noWrap w:val="0"/>
            <w:vAlign w:val="center"/>
          </w:tcPr>
          <w:p>
            <w:pPr>
              <w:pStyle w:val="332"/>
              <w:kinsoku w:val="0"/>
              <w:overflowPunct w:val="0"/>
              <w:spacing w:before="12"/>
              <w:jc w:val="center"/>
              <w:rPr>
                <w:b/>
                <w:bCs/>
                <w:color w:val="auto"/>
                <w:sz w:val="20"/>
                <w:szCs w:val="20"/>
              </w:rPr>
            </w:pPr>
            <w:r>
              <w:rPr>
                <w:b/>
                <w:bCs/>
                <w:color w:val="auto"/>
                <w:position w:val="2"/>
                <w:sz w:val="20"/>
                <w:szCs w:val="20"/>
              </w:rPr>
              <w:t>COD</w:t>
            </w:r>
            <w:r>
              <w:rPr>
                <w:b/>
                <w:bCs/>
                <w:color w:val="auto"/>
                <w:sz w:val="20"/>
                <w:szCs w:val="20"/>
              </w:rPr>
              <w:t>cr</w:t>
            </w:r>
          </w:p>
        </w:tc>
        <w:tc>
          <w:tcPr>
            <w:tcW w:w="384" w:type="pct"/>
            <w:noWrap w:val="0"/>
            <w:vAlign w:val="center"/>
          </w:tcPr>
          <w:p>
            <w:pPr>
              <w:pStyle w:val="332"/>
              <w:kinsoku w:val="0"/>
              <w:overflowPunct w:val="0"/>
              <w:spacing w:line="241" w:lineRule="exact"/>
              <w:ind w:right="3"/>
              <w:jc w:val="center"/>
              <w:rPr>
                <w:b/>
                <w:bCs/>
                <w:color w:val="auto"/>
                <w:sz w:val="20"/>
                <w:szCs w:val="20"/>
              </w:rPr>
            </w:pPr>
            <w:r>
              <w:rPr>
                <w:rFonts w:hint="eastAsia"/>
                <w:b/>
                <w:bCs/>
                <w:color w:val="auto"/>
                <w:sz w:val="20"/>
                <w:szCs w:val="20"/>
              </w:rPr>
              <w:t>BOD</w:t>
            </w:r>
            <w:r>
              <w:rPr>
                <w:rFonts w:hint="eastAsia"/>
                <w:b/>
                <w:bCs/>
                <w:color w:val="auto"/>
                <w:sz w:val="20"/>
                <w:szCs w:val="20"/>
                <w:vertAlign w:val="subscript"/>
              </w:rPr>
              <w:t xml:space="preserve"> 5</w:t>
            </w:r>
            <w:r>
              <w:rPr>
                <w:rFonts w:hint="eastAsia"/>
                <w:b/>
                <w:bCs/>
                <w:color w:val="auto"/>
                <w:sz w:val="20"/>
                <w:szCs w:val="20"/>
              </w:rPr>
              <w:t xml:space="preserve"> </w:t>
            </w:r>
          </w:p>
        </w:tc>
        <w:tc>
          <w:tcPr>
            <w:tcW w:w="418" w:type="pct"/>
            <w:noWrap w:val="0"/>
            <w:vAlign w:val="center"/>
          </w:tcPr>
          <w:p>
            <w:pPr>
              <w:pStyle w:val="332"/>
              <w:kinsoku w:val="0"/>
              <w:overflowPunct w:val="0"/>
              <w:spacing w:line="241" w:lineRule="exact"/>
              <w:ind w:right="3"/>
              <w:jc w:val="center"/>
              <w:rPr>
                <w:b/>
                <w:bCs/>
                <w:color w:val="auto"/>
                <w:sz w:val="20"/>
                <w:szCs w:val="20"/>
              </w:rPr>
            </w:pPr>
            <w:r>
              <w:rPr>
                <w:rFonts w:hint="eastAsia"/>
                <w:b/>
                <w:bCs/>
                <w:color w:val="auto"/>
                <w:sz w:val="20"/>
                <w:szCs w:val="20"/>
              </w:rPr>
              <w:t>SS</w:t>
            </w:r>
          </w:p>
        </w:tc>
        <w:tc>
          <w:tcPr>
            <w:tcW w:w="521" w:type="pct"/>
            <w:noWrap w:val="0"/>
            <w:vAlign w:val="center"/>
          </w:tcPr>
          <w:p>
            <w:pPr>
              <w:pStyle w:val="332"/>
              <w:kinsoku w:val="0"/>
              <w:overflowPunct w:val="0"/>
              <w:spacing w:line="241" w:lineRule="exact"/>
              <w:ind w:right="3"/>
              <w:jc w:val="center"/>
              <w:rPr>
                <w:b/>
                <w:bCs/>
                <w:color w:val="auto"/>
                <w:sz w:val="20"/>
                <w:szCs w:val="20"/>
              </w:rPr>
            </w:pPr>
            <w:r>
              <w:rPr>
                <w:b/>
                <w:bCs/>
                <w:color w:val="auto"/>
                <w:sz w:val="20"/>
                <w:szCs w:val="20"/>
              </w:rPr>
              <w:t>氨氮</w:t>
            </w:r>
          </w:p>
        </w:tc>
        <w:tc>
          <w:tcPr>
            <w:tcW w:w="341" w:type="pct"/>
            <w:tcBorders>
              <w:right w:val="single" w:color="auto" w:sz="4" w:space="0"/>
            </w:tcBorders>
            <w:noWrap w:val="0"/>
            <w:vAlign w:val="center"/>
          </w:tcPr>
          <w:p>
            <w:pPr>
              <w:pStyle w:val="332"/>
              <w:kinsoku w:val="0"/>
              <w:overflowPunct w:val="0"/>
              <w:spacing w:line="241" w:lineRule="exact"/>
              <w:jc w:val="center"/>
              <w:rPr>
                <w:b/>
                <w:bCs/>
                <w:color w:val="auto"/>
                <w:sz w:val="20"/>
                <w:szCs w:val="20"/>
              </w:rPr>
            </w:pPr>
            <w:r>
              <w:rPr>
                <w:b/>
                <w:bCs/>
                <w:color w:val="auto"/>
                <w:sz w:val="20"/>
                <w:szCs w:val="20"/>
              </w:rPr>
              <w:t>总磷</w:t>
            </w:r>
          </w:p>
        </w:tc>
        <w:tc>
          <w:tcPr>
            <w:tcW w:w="485" w:type="pct"/>
            <w:tcBorders>
              <w:left w:val="single" w:color="auto" w:sz="4" w:space="0"/>
              <w:right w:val="single" w:color="auto" w:sz="4" w:space="0"/>
            </w:tcBorders>
            <w:noWrap w:val="0"/>
            <w:vAlign w:val="center"/>
          </w:tcPr>
          <w:p>
            <w:pPr>
              <w:pStyle w:val="332"/>
              <w:kinsoku w:val="0"/>
              <w:overflowPunct w:val="0"/>
              <w:spacing w:line="241" w:lineRule="exact"/>
              <w:jc w:val="center"/>
              <w:rPr>
                <w:b/>
                <w:bCs/>
                <w:color w:val="auto"/>
                <w:sz w:val="20"/>
                <w:szCs w:val="20"/>
              </w:rPr>
            </w:pPr>
            <w:r>
              <w:rPr>
                <w:rFonts w:hint="eastAsia"/>
                <w:b/>
                <w:bCs/>
                <w:color w:val="auto"/>
                <w:sz w:val="20"/>
                <w:szCs w:val="20"/>
              </w:rPr>
              <w:t>粪大肠菌群</w:t>
            </w:r>
          </w:p>
        </w:tc>
        <w:tc>
          <w:tcPr>
            <w:tcW w:w="480" w:type="pct"/>
            <w:tcBorders>
              <w:left w:val="single" w:color="auto" w:sz="4" w:space="0"/>
            </w:tcBorders>
            <w:noWrap w:val="0"/>
            <w:vAlign w:val="center"/>
          </w:tcPr>
          <w:p>
            <w:pPr>
              <w:pStyle w:val="332"/>
              <w:kinsoku w:val="0"/>
              <w:overflowPunct w:val="0"/>
              <w:spacing w:line="241" w:lineRule="exact"/>
              <w:jc w:val="center"/>
              <w:rPr>
                <w:rFonts w:hint="eastAsia"/>
                <w:b/>
                <w:bCs/>
                <w:color w:val="auto"/>
                <w:sz w:val="20"/>
                <w:szCs w:val="20"/>
              </w:rPr>
            </w:pPr>
            <w:r>
              <w:rPr>
                <w:rFonts w:hint="eastAsia"/>
                <w:b/>
                <w:bCs/>
                <w:color w:val="auto"/>
                <w:sz w:val="20"/>
                <w:szCs w:val="20"/>
              </w:rPr>
              <w:t>蛔虫</w:t>
            </w:r>
          </w:p>
          <w:p>
            <w:pPr>
              <w:pStyle w:val="332"/>
              <w:kinsoku w:val="0"/>
              <w:overflowPunct w:val="0"/>
              <w:spacing w:line="241" w:lineRule="exact"/>
              <w:jc w:val="center"/>
              <w:rPr>
                <w:b/>
                <w:bCs/>
                <w:color w:val="auto"/>
                <w:sz w:val="20"/>
                <w:szCs w:val="20"/>
              </w:rPr>
            </w:pPr>
            <w:r>
              <w:rPr>
                <w:rFonts w:hint="eastAsia"/>
                <w:b/>
                <w:bCs/>
                <w:color w:val="auto"/>
                <w:sz w:val="20"/>
                <w:szCs w:val="20"/>
              </w:rPr>
              <w:t>卵</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463" w:type="pct"/>
            <w:vMerge w:val="restart"/>
            <w:noWrap w:val="0"/>
            <w:vAlign w:val="center"/>
          </w:tcPr>
          <w:p>
            <w:pPr>
              <w:pStyle w:val="332"/>
              <w:kinsoku w:val="0"/>
              <w:overflowPunct w:val="0"/>
              <w:spacing w:line="274" w:lineRule="exact"/>
              <w:jc w:val="center"/>
              <w:rPr>
                <w:color w:val="auto"/>
                <w:sz w:val="20"/>
                <w:szCs w:val="20"/>
              </w:rPr>
            </w:pPr>
            <w:r>
              <w:rPr>
                <w:rFonts w:hint="eastAsia"/>
                <w:color w:val="auto"/>
                <w:sz w:val="20"/>
                <w:szCs w:val="20"/>
              </w:rPr>
              <w:t>10469.88</w:t>
            </w:r>
            <w:r>
              <w:rPr>
                <w:color w:val="auto"/>
                <w:sz w:val="20"/>
                <w:szCs w:val="20"/>
              </w:rPr>
              <w:t>m</w:t>
            </w:r>
            <w:r>
              <w:rPr>
                <w:color w:val="auto"/>
                <w:sz w:val="20"/>
                <w:szCs w:val="20"/>
                <w:vertAlign w:val="superscript"/>
              </w:rPr>
              <w:t>3</w:t>
            </w:r>
            <w:r>
              <w:rPr>
                <w:color w:val="auto"/>
                <w:sz w:val="20"/>
                <w:szCs w:val="20"/>
              </w:rPr>
              <w:t>/a</w:t>
            </w:r>
          </w:p>
        </w:tc>
        <w:tc>
          <w:tcPr>
            <w:tcW w:w="726" w:type="pct"/>
            <w:noWrap w:val="0"/>
            <w:vAlign w:val="center"/>
          </w:tcPr>
          <w:p>
            <w:pPr>
              <w:pStyle w:val="332"/>
              <w:kinsoku w:val="0"/>
              <w:overflowPunct w:val="0"/>
              <w:spacing w:line="257" w:lineRule="exact"/>
              <w:jc w:val="center"/>
              <w:rPr>
                <w:color w:val="auto"/>
                <w:sz w:val="20"/>
                <w:szCs w:val="20"/>
              </w:rPr>
            </w:pPr>
            <w:r>
              <w:rPr>
                <w:color w:val="auto"/>
                <w:sz w:val="20"/>
                <w:szCs w:val="20"/>
              </w:rPr>
              <w:t>产生浓度</w:t>
            </w:r>
          </w:p>
          <w:p>
            <w:pPr>
              <w:pStyle w:val="332"/>
              <w:kinsoku w:val="0"/>
              <w:overflowPunct w:val="0"/>
              <w:spacing w:line="257" w:lineRule="exact"/>
              <w:jc w:val="center"/>
              <w:rPr>
                <w:color w:val="auto"/>
                <w:sz w:val="20"/>
                <w:szCs w:val="20"/>
              </w:rPr>
            </w:pPr>
            <w:r>
              <w:rPr>
                <w:color w:val="auto"/>
                <w:sz w:val="20"/>
                <w:szCs w:val="20"/>
              </w:rPr>
              <w:t>（mg/L）</w:t>
            </w:r>
          </w:p>
        </w:tc>
        <w:tc>
          <w:tcPr>
            <w:tcW w:w="495" w:type="pct"/>
            <w:noWrap w:val="0"/>
            <w:vAlign w:val="center"/>
          </w:tcPr>
          <w:p>
            <w:pPr>
              <w:pStyle w:val="332"/>
              <w:kinsoku w:val="0"/>
              <w:overflowPunct w:val="0"/>
              <w:spacing w:before="15"/>
              <w:jc w:val="center"/>
              <w:rPr>
                <w:color w:val="auto"/>
                <w:sz w:val="20"/>
                <w:szCs w:val="20"/>
              </w:rPr>
            </w:pPr>
            <w:r>
              <w:rPr>
                <w:color w:val="auto"/>
                <w:sz w:val="20"/>
                <w:szCs w:val="20"/>
              </w:rPr>
              <w:t>6.3~7.5</w:t>
            </w:r>
          </w:p>
        </w:tc>
        <w:tc>
          <w:tcPr>
            <w:tcW w:w="683" w:type="pct"/>
            <w:noWrap w:val="0"/>
            <w:vAlign w:val="center"/>
          </w:tcPr>
          <w:p>
            <w:pPr>
              <w:pStyle w:val="332"/>
              <w:kinsoku w:val="0"/>
              <w:overflowPunct w:val="0"/>
              <w:spacing w:before="15"/>
              <w:jc w:val="center"/>
              <w:rPr>
                <w:color w:val="auto"/>
                <w:sz w:val="20"/>
                <w:szCs w:val="20"/>
              </w:rPr>
            </w:pPr>
            <w:r>
              <w:rPr>
                <w:color w:val="auto"/>
                <w:sz w:val="20"/>
                <w:szCs w:val="20"/>
              </w:rPr>
              <w:t>2640</w:t>
            </w:r>
          </w:p>
        </w:tc>
        <w:tc>
          <w:tcPr>
            <w:tcW w:w="384" w:type="pct"/>
            <w:noWrap w:val="0"/>
            <w:vAlign w:val="center"/>
          </w:tcPr>
          <w:p>
            <w:pPr>
              <w:pStyle w:val="332"/>
              <w:kinsoku w:val="0"/>
              <w:overflowPunct w:val="0"/>
              <w:spacing w:before="15"/>
              <w:jc w:val="center"/>
              <w:rPr>
                <w:color w:val="auto"/>
                <w:sz w:val="20"/>
                <w:szCs w:val="20"/>
              </w:rPr>
            </w:pPr>
            <w:r>
              <w:rPr>
                <w:rFonts w:hint="eastAsia"/>
                <w:color w:val="auto"/>
                <w:sz w:val="20"/>
                <w:szCs w:val="20"/>
              </w:rPr>
              <w:t>1000</w:t>
            </w:r>
          </w:p>
        </w:tc>
        <w:tc>
          <w:tcPr>
            <w:tcW w:w="418" w:type="pct"/>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800</w:t>
            </w:r>
          </w:p>
        </w:tc>
        <w:tc>
          <w:tcPr>
            <w:tcW w:w="521" w:type="pct"/>
            <w:noWrap w:val="0"/>
            <w:vAlign w:val="center"/>
          </w:tcPr>
          <w:p>
            <w:pPr>
              <w:pStyle w:val="332"/>
              <w:kinsoku w:val="0"/>
              <w:overflowPunct w:val="0"/>
              <w:spacing w:before="15"/>
              <w:jc w:val="center"/>
              <w:rPr>
                <w:rFonts w:hint="eastAsia" w:eastAsia="宋体"/>
                <w:color w:val="auto"/>
                <w:sz w:val="20"/>
                <w:szCs w:val="20"/>
                <w:lang w:eastAsia="zh-CN"/>
              </w:rPr>
            </w:pPr>
            <w:r>
              <w:rPr>
                <w:color w:val="auto"/>
                <w:sz w:val="20"/>
                <w:szCs w:val="20"/>
              </w:rPr>
              <w:t>26</w:t>
            </w:r>
            <w:r>
              <w:rPr>
                <w:rFonts w:hint="eastAsia"/>
                <w:color w:val="auto"/>
                <w:sz w:val="20"/>
                <w:szCs w:val="20"/>
                <w:lang w:val="en-US" w:eastAsia="zh-CN"/>
              </w:rPr>
              <w:t>0</w:t>
            </w:r>
          </w:p>
        </w:tc>
        <w:tc>
          <w:tcPr>
            <w:tcW w:w="341" w:type="pct"/>
            <w:tcBorders>
              <w:right w:val="single" w:color="auto" w:sz="4" w:space="0"/>
            </w:tcBorders>
            <w:noWrap w:val="0"/>
            <w:vAlign w:val="center"/>
          </w:tcPr>
          <w:p>
            <w:pPr>
              <w:pStyle w:val="332"/>
              <w:kinsoku w:val="0"/>
              <w:overflowPunct w:val="0"/>
              <w:spacing w:before="15"/>
              <w:jc w:val="center"/>
              <w:rPr>
                <w:rFonts w:hint="eastAsia" w:eastAsia="宋体"/>
                <w:color w:val="auto"/>
                <w:sz w:val="20"/>
                <w:szCs w:val="20"/>
                <w:lang w:eastAsia="zh-CN"/>
              </w:rPr>
            </w:pPr>
            <w:r>
              <w:rPr>
                <w:color w:val="auto"/>
                <w:sz w:val="20"/>
                <w:szCs w:val="20"/>
              </w:rPr>
              <w:t>4</w:t>
            </w:r>
            <w:r>
              <w:rPr>
                <w:rFonts w:hint="eastAsia"/>
                <w:color w:val="auto"/>
                <w:sz w:val="20"/>
                <w:szCs w:val="20"/>
                <w:lang w:val="en-US" w:eastAsia="zh-CN"/>
              </w:rPr>
              <w:t>2</w:t>
            </w:r>
          </w:p>
        </w:tc>
        <w:tc>
          <w:tcPr>
            <w:tcW w:w="485" w:type="pct"/>
            <w:tcBorders>
              <w:left w:val="single" w:color="auto" w:sz="4" w:space="0"/>
              <w:right w:val="single" w:color="auto" w:sz="4" w:space="0"/>
            </w:tcBorders>
            <w:noWrap w:val="0"/>
            <w:vAlign w:val="center"/>
          </w:tcPr>
          <w:p>
            <w:pPr>
              <w:pStyle w:val="332"/>
              <w:kinsoku w:val="0"/>
              <w:overflowPunct w:val="0"/>
              <w:spacing w:before="15"/>
              <w:jc w:val="center"/>
              <w:rPr>
                <w:rFonts w:hint="eastAsia"/>
                <w:color w:val="auto"/>
                <w:sz w:val="20"/>
                <w:szCs w:val="20"/>
              </w:rPr>
            </w:pPr>
            <w:r>
              <w:rPr>
                <w:rFonts w:hint="eastAsia"/>
                <w:color w:val="auto"/>
                <w:sz w:val="20"/>
                <w:szCs w:val="20"/>
              </w:rPr>
              <w:t>22000 个</w:t>
            </w:r>
          </w:p>
          <w:p>
            <w:pPr>
              <w:pStyle w:val="332"/>
              <w:kinsoku w:val="0"/>
              <w:overflowPunct w:val="0"/>
              <w:spacing w:before="15"/>
              <w:jc w:val="center"/>
              <w:rPr>
                <w:color w:val="auto"/>
                <w:sz w:val="20"/>
                <w:szCs w:val="20"/>
              </w:rPr>
            </w:pPr>
            <w:r>
              <w:rPr>
                <w:rFonts w:hint="eastAsia"/>
                <w:color w:val="auto"/>
                <w:sz w:val="20"/>
                <w:szCs w:val="20"/>
              </w:rPr>
              <w:t>/100ml</w:t>
            </w:r>
          </w:p>
        </w:tc>
        <w:tc>
          <w:tcPr>
            <w:tcW w:w="480" w:type="pct"/>
            <w:tcBorders>
              <w:left w:val="single" w:color="auto" w:sz="4" w:space="0"/>
            </w:tcBorders>
            <w:noWrap w:val="0"/>
            <w:vAlign w:val="center"/>
          </w:tcPr>
          <w:p>
            <w:pPr>
              <w:pStyle w:val="332"/>
              <w:kinsoku w:val="0"/>
              <w:overflowPunct w:val="0"/>
              <w:spacing w:before="15"/>
              <w:jc w:val="center"/>
              <w:rPr>
                <w:rFonts w:hint="eastAsia"/>
                <w:color w:val="auto"/>
                <w:sz w:val="20"/>
                <w:szCs w:val="20"/>
              </w:rPr>
            </w:pPr>
            <w:r>
              <w:rPr>
                <w:rFonts w:hint="eastAsia"/>
                <w:color w:val="auto"/>
                <w:sz w:val="20"/>
                <w:szCs w:val="20"/>
              </w:rPr>
              <w:t>10 个</w:t>
            </w:r>
          </w:p>
          <w:p>
            <w:pPr>
              <w:pStyle w:val="332"/>
              <w:kinsoku w:val="0"/>
              <w:overflowPunct w:val="0"/>
              <w:spacing w:before="15"/>
              <w:jc w:val="center"/>
              <w:rPr>
                <w:color w:val="auto"/>
                <w:sz w:val="20"/>
                <w:szCs w:val="20"/>
              </w:rPr>
            </w:pPr>
            <w:r>
              <w:rPr>
                <w:rFonts w:hint="eastAsia"/>
                <w:color w:val="auto"/>
                <w:sz w:val="20"/>
                <w:szCs w:val="20"/>
              </w:rPr>
              <w:t>/L</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auto"/>
          <w:wAfter w:w="0" w:type="auto"/>
          <w:trHeight w:val="340" w:hRule="atLeast"/>
          <w:jc w:val="center"/>
        </w:trPr>
        <w:tc>
          <w:tcPr>
            <w:tcW w:w="463" w:type="pct"/>
            <w:vMerge w:val="continue"/>
            <w:noWrap w:val="0"/>
            <w:vAlign w:val="center"/>
          </w:tcPr>
          <w:p>
            <w:pPr>
              <w:pStyle w:val="332"/>
              <w:kinsoku w:val="0"/>
              <w:overflowPunct w:val="0"/>
              <w:spacing w:before="15"/>
              <w:ind w:left="1" w:firstLine="480"/>
              <w:jc w:val="center"/>
              <w:rPr>
                <w:color w:val="auto"/>
                <w:sz w:val="20"/>
                <w:szCs w:val="20"/>
              </w:rPr>
            </w:pPr>
          </w:p>
        </w:tc>
        <w:tc>
          <w:tcPr>
            <w:tcW w:w="726" w:type="pct"/>
            <w:noWrap w:val="0"/>
            <w:vAlign w:val="center"/>
          </w:tcPr>
          <w:p>
            <w:pPr>
              <w:pStyle w:val="332"/>
              <w:kinsoku w:val="0"/>
              <w:overflowPunct w:val="0"/>
              <w:spacing w:line="256" w:lineRule="exact"/>
              <w:jc w:val="center"/>
              <w:rPr>
                <w:color w:val="auto"/>
                <w:sz w:val="20"/>
                <w:szCs w:val="20"/>
              </w:rPr>
            </w:pPr>
            <w:r>
              <w:rPr>
                <w:color w:val="auto"/>
                <w:sz w:val="20"/>
                <w:szCs w:val="20"/>
              </w:rPr>
              <w:t>产生量（t/a）</w:t>
            </w:r>
          </w:p>
        </w:tc>
        <w:tc>
          <w:tcPr>
            <w:tcW w:w="495" w:type="pct"/>
            <w:noWrap w:val="0"/>
            <w:vAlign w:val="center"/>
          </w:tcPr>
          <w:p>
            <w:pPr>
              <w:pStyle w:val="332"/>
              <w:kinsoku w:val="0"/>
              <w:overflowPunct w:val="0"/>
              <w:spacing w:before="14"/>
              <w:jc w:val="center"/>
              <w:rPr>
                <w:color w:val="auto"/>
                <w:sz w:val="20"/>
                <w:szCs w:val="20"/>
              </w:rPr>
            </w:pPr>
            <w:r>
              <w:rPr>
                <w:color w:val="auto"/>
                <w:w w:val="99"/>
                <w:sz w:val="20"/>
                <w:szCs w:val="20"/>
              </w:rPr>
              <w:t>/</w:t>
            </w:r>
          </w:p>
        </w:tc>
        <w:tc>
          <w:tcPr>
            <w:tcW w:w="683" w:type="pct"/>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27.640</w:t>
            </w:r>
          </w:p>
        </w:tc>
        <w:tc>
          <w:tcPr>
            <w:tcW w:w="384" w:type="pct"/>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10.470</w:t>
            </w:r>
          </w:p>
        </w:tc>
        <w:tc>
          <w:tcPr>
            <w:tcW w:w="418" w:type="pct"/>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8.376</w:t>
            </w:r>
          </w:p>
        </w:tc>
        <w:tc>
          <w:tcPr>
            <w:tcW w:w="521" w:type="pct"/>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2.722</w:t>
            </w:r>
          </w:p>
        </w:tc>
        <w:tc>
          <w:tcPr>
            <w:tcW w:w="341" w:type="pct"/>
            <w:tcBorders>
              <w:right w:val="single" w:color="auto" w:sz="4" w:space="0"/>
            </w:tcBorders>
            <w:noWrap w:val="0"/>
            <w:vAlign w:val="center"/>
          </w:tcPr>
          <w:p>
            <w:pPr>
              <w:pStyle w:val="332"/>
              <w:kinsoku w:val="0"/>
              <w:overflowPunct w:val="0"/>
              <w:spacing w:before="15"/>
              <w:jc w:val="center"/>
              <w:rPr>
                <w:rFonts w:hint="default" w:eastAsia="宋体"/>
                <w:color w:val="auto"/>
                <w:sz w:val="20"/>
                <w:szCs w:val="20"/>
                <w:lang w:val="en-US" w:eastAsia="zh-CN"/>
              </w:rPr>
            </w:pPr>
            <w:r>
              <w:rPr>
                <w:rFonts w:hint="eastAsia"/>
                <w:color w:val="auto"/>
                <w:sz w:val="20"/>
                <w:szCs w:val="20"/>
                <w:lang w:val="en-US" w:eastAsia="zh-CN"/>
              </w:rPr>
              <w:t>0.440</w:t>
            </w:r>
          </w:p>
        </w:tc>
        <w:tc>
          <w:tcPr>
            <w:tcW w:w="485" w:type="pct"/>
            <w:tcBorders>
              <w:left w:val="single" w:color="auto" w:sz="4" w:space="0"/>
              <w:right w:val="single" w:color="auto" w:sz="4" w:space="0"/>
            </w:tcBorders>
            <w:noWrap w:val="0"/>
            <w:vAlign w:val="center"/>
          </w:tcPr>
          <w:p>
            <w:pPr>
              <w:pStyle w:val="332"/>
              <w:kinsoku w:val="0"/>
              <w:overflowPunct w:val="0"/>
              <w:spacing w:before="15"/>
              <w:jc w:val="center"/>
              <w:rPr>
                <w:rFonts w:hint="eastAsia" w:eastAsia="宋体"/>
                <w:color w:val="auto"/>
                <w:sz w:val="20"/>
                <w:szCs w:val="20"/>
                <w:lang w:val="en-US" w:eastAsia="zh-CN"/>
              </w:rPr>
            </w:pPr>
            <w:r>
              <w:rPr>
                <w:rFonts w:hint="eastAsia"/>
                <w:color w:val="auto"/>
                <w:sz w:val="20"/>
                <w:szCs w:val="20"/>
                <w:lang w:val="en-US" w:eastAsia="zh-CN"/>
              </w:rPr>
              <w:t>/</w:t>
            </w:r>
          </w:p>
        </w:tc>
        <w:tc>
          <w:tcPr>
            <w:tcW w:w="480" w:type="pct"/>
            <w:tcBorders>
              <w:left w:val="single" w:color="auto" w:sz="4" w:space="0"/>
            </w:tcBorders>
            <w:noWrap w:val="0"/>
            <w:vAlign w:val="center"/>
          </w:tcPr>
          <w:p>
            <w:pPr>
              <w:pStyle w:val="332"/>
              <w:kinsoku w:val="0"/>
              <w:overflowPunct w:val="0"/>
              <w:spacing w:before="15"/>
              <w:jc w:val="center"/>
              <w:rPr>
                <w:rFonts w:hint="eastAsia"/>
                <w:color w:val="auto"/>
                <w:sz w:val="20"/>
                <w:szCs w:val="20"/>
              </w:rPr>
            </w:pPr>
          </w:p>
        </w:tc>
      </w:tr>
    </w:tbl>
    <w:p>
      <w:pPr>
        <w:spacing w:before="120" w:beforeLines="50"/>
        <w:ind w:firstLine="480"/>
        <w:rPr>
          <w:color w:val="auto"/>
        </w:rPr>
      </w:pPr>
      <w:r>
        <w:rPr>
          <w:color w:val="auto"/>
        </w:rPr>
        <w:t>根据《畜禽养殖业污染物排放标准》（GB18596-2001）的要求，对集约化畜禽养殖业干清粪工艺最高允许排水量数据见表3.</w:t>
      </w:r>
      <w:r>
        <w:rPr>
          <w:rFonts w:hint="eastAsia"/>
          <w:color w:val="auto"/>
          <w:lang w:val="en-US" w:eastAsia="zh-CN"/>
        </w:rPr>
        <w:t>6</w:t>
      </w:r>
      <w:r>
        <w:rPr>
          <w:color w:val="auto"/>
        </w:rPr>
        <w:t>-</w:t>
      </w:r>
      <w:r>
        <w:rPr>
          <w:rFonts w:hint="eastAsia"/>
          <w:color w:val="auto"/>
          <w:lang w:val="en-US" w:eastAsia="zh-CN"/>
        </w:rPr>
        <w:t>7</w:t>
      </w:r>
      <w:r>
        <w:rPr>
          <w:color w:val="auto"/>
        </w:rPr>
        <w:t>。</w:t>
      </w:r>
    </w:p>
    <w:p>
      <w:pPr>
        <w:pStyle w:val="166"/>
        <w:spacing w:before="120" w:beforeLines="0"/>
        <w:ind w:firstLine="480"/>
        <w:rPr>
          <w:color w:val="auto"/>
        </w:rPr>
      </w:pPr>
      <w:r>
        <w:rPr>
          <w:color w:val="auto"/>
        </w:rPr>
        <w:t>表 3.</w:t>
      </w:r>
      <w:r>
        <w:rPr>
          <w:rFonts w:hint="eastAsia"/>
          <w:color w:val="auto"/>
          <w:lang w:val="en-US" w:eastAsia="zh-CN"/>
        </w:rPr>
        <w:t>6</w:t>
      </w:r>
      <w:r>
        <w:rPr>
          <w:color w:val="auto"/>
        </w:rPr>
        <w:t>-</w:t>
      </w:r>
      <w:r>
        <w:rPr>
          <w:rFonts w:hint="eastAsia"/>
          <w:color w:val="auto"/>
          <w:lang w:val="en-US" w:eastAsia="zh-CN"/>
        </w:rPr>
        <w:t xml:space="preserve">7 </w:t>
      </w:r>
      <w:r>
        <w:rPr>
          <w:color w:val="auto"/>
        </w:rPr>
        <w:t>集约化畜禽养殖业干清粪工艺最高允许排水量</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201"/>
        <w:gridCol w:w="1264"/>
        <w:gridCol w:w="1265"/>
        <w:gridCol w:w="1264"/>
        <w:gridCol w:w="1265"/>
        <w:gridCol w:w="1264"/>
        <w:gridCol w:w="1264"/>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201" w:type="dxa"/>
            <w:noWrap w:val="0"/>
            <w:vAlign w:val="center"/>
          </w:tcPr>
          <w:p>
            <w:pPr>
              <w:pStyle w:val="332"/>
              <w:kinsoku w:val="0"/>
              <w:overflowPunct w:val="0"/>
              <w:jc w:val="center"/>
              <w:rPr>
                <w:color w:val="auto"/>
                <w:sz w:val="20"/>
                <w:szCs w:val="20"/>
              </w:rPr>
            </w:pPr>
            <w:r>
              <w:rPr>
                <w:b/>
                <w:bCs/>
                <w:color w:val="auto"/>
                <w:sz w:val="20"/>
                <w:szCs w:val="20"/>
              </w:rPr>
              <w:t>种类</w:t>
            </w:r>
          </w:p>
        </w:tc>
        <w:tc>
          <w:tcPr>
            <w:tcW w:w="2529" w:type="dxa"/>
            <w:gridSpan w:val="2"/>
            <w:noWrap w:val="0"/>
            <w:vAlign w:val="center"/>
          </w:tcPr>
          <w:p>
            <w:pPr>
              <w:pStyle w:val="332"/>
              <w:kinsoku w:val="0"/>
              <w:overflowPunct w:val="0"/>
              <w:jc w:val="center"/>
              <w:rPr>
                <w:color w:val="auto"/>
                <w:sz w:val="20"/>
                <w:szCs w:val="20"/>
              </w:rPr>
            </w:pPr>
            <w:r>
              <w:rPr>
                <w:b/>
                <w:bCs/>
                <w:color w:val="auto"/>
                <w:sz w:val="20"/>
                <w:szCs w:val="20"/>
              </w:rPr>
              <w:t>猪（m</w:t>
            </w:r>
            <w:r>
              <w:rPr>
                <w:b/>
                <w:bCs/>
                <w:color w:val="auto"/>
                <w:sz w:val="20"/>
                <w:szCs w:val="20"/>
                <w:vertAlign w:val="superscript"/>
              </w:rPr>
              <w:t>3</w:t>
            </w:r>
            <w:r>
              <w:rPr>
                <w:b/>
                <w:bCs/>
                <w:color w:val="auto"/>
                <w:sz w:val="20"/>
                <w:szCs w:val="20"/>
              </w:rPr>
              <w:t>/百头·天）</w:t>
            </w:r>
          </w:p>
        </w:tc>
        <w:tc>
          <w:tcPr>
            <w:tcW w:w="2529" w:type="dxa"/>
            <w:gridSpan w:val="2"/>
            <w:noWrap w:val="0"/>
            <w:vAlign w:val="center"/>
          </w:tcPr>
          <w:p>
            <w:pPr>
              <w:pStyle w:val="332"/>
              <w:kinsoku w:val="0"/>
              <w:overflowPunct w:val="0"/>
              <w:jc w:val="center"/>
              <w:rPr>
                <w:color w:val="auto"/>
                <w:sz w:val="20"/>
                <w:szCs w:val="20"/>
              </w:rPr>
            </w:pPr>
            <w:r>
              <w:rPr>
                <w:b/>
                <w:bCs/>
                <w:color w:val="auto"/>
                <w:sz w:val="20"/>
                <w:szCs w:val="20"/>
              </w:rPr>
              <w:t>鸡（m</w:t>
            </w:r>
            <w:r>
              <w:rPr>
                <w:b/>
                <w:bCs/>
                <w:color w:val="auto"/>
                <w:sz w:val="20"/>
                <w:szCs w:val="20"/>
                <w:vertAlign w:val="superscript"/>
              </w:rPr>
              <w:t>3</w:t>
            </w:r>
            <w:r>
              <w:rPr>
                <w:b/>
                <w:bCs/>
                <w:color w:val="auto"/>
                <w:sz w:val="20"/>
                <w:szCs w:val="20"/>
              </w:rPr>
              <w:t>/千只·天）</w:t>
            </w:r>
          </w:p>
        </w:tc>
        <w:tc>
          <w:tcPr>
            <w:tcW w:w="2528" w:type="dxa"/>
            <w:gridSpan w:val="2"/>
            <w:noWrap w:val="0"/>
            <w:vAlign w:val="center"/>
          </w:tcPr>
          <w:p>
            <w:pPr>
              <w:pStyle w:val="332"/>
              <w:kinsoku w:val="0"/>
              <w:overflowPunct w:val="0"/>
              <w:jc w:val="center"/>
              <w:rPr>
                <w:color w:val="auto"/>
                <w:sz w:val="20"/>
                <w:szCs w:val="20"/>
              </w:rPr>
            </w:pPr>
            <w:r>
              <w:rPr>
                <w:b/>
                <w:bCs/>
                <w:color w:val="auto"/>
                <w:sz w:val="20"/>
                <w:szCs w:val="20"/>
              </w:rPr>
              <w:t>牛（m</w:t>
            </w:r>
            <w:r>
              <w:rPr>
                <w:b/>
                <w:bCs/>
                <w:color w:val="auto"/>
                <w:sz w:val="20"/>
                <w:szCs w:val="20"/>
                <w:vertAlign w:val="superscript"/>
              </w:rPr>
              <w:t>3</w:t>
            </w:r>
            <w:r>
              <w:rPr>
                <w:b/>
                <w:bCs/>
                <w:color w:val="auto"/>
                <w:sz w:val="20"/>
                <w:szCs w:val="20"/>
              </w:rPr>
              <w:t>/百头·天）</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201" w:type="dxa"/>
            <w:noWrap w:val="0"/>
            <w:vAlign w:val="center"/>
          </w:tcPr>
          <w:p>
            <w:pPr>
              <w:pStyle w:val="332"/>
              <w:kinsoku w:val="0"/>
              <w:overflowPunct w:val="0"/>
              <w:jc w:val="center"/>
              <w:rPr>
                <w:color w:val="auto"/>
                <w:sz w:val="20"/>
                <w:szCs w:val="20"/>
              </w:rPr>
            </w:pPr>
            <w:r>
              <w:rPr>
                <w:color w:val="auto"/>
                <w:sz w:val="20"/>
                <w:szCs w:val="20"/>
              </w:rPr>
              <w:t>季节</w:t>
            </w:r>
          </w:p>
        </w:tc>
        <w:tc>
          <w:tcPr>
            <w:tcW w:w="1264" w:type="dxa"/>
            <w:noWrap w:val="0"/>
            <w:vAlign w:val="center"/>
          </w:tcPr>
          <w:p>
            <w:pPr>
              <w:pStyle w:val="332"/>
              <w:kinsoku w:val="0"/>
              <w:overflowPunct w:val="0"/>
              <w:ind w:right="1"/>
              <w:jc w:val="center"/>
              <w:rPr>
                <w:color w:val="auto"/>
                <w:sz w:val="20"/>
                <w:szCs w:val="20"/>
              </w:rPr>
            </w:pPr>
            <w:r>
              <w:rPr>
                <w:color w:val="auto"/>
                <w:sz w:val="20"/>
                <w:szCs w:val="20"/>
              </w:rPr>
              <w:t>冬季</w:t>
            </w:r>
          </w:p>
        </w:tc>
        <w:tc>
          <w:tcPr>
            <w:tcW w:w="1265" w:type="dxa"/>
            <w:noWrap w:val="0"/>
            <w:vAlign w:val="center"/>
          </w:tcPr>
          <w:p>
            <w:pPr>
              <w:pStyle w:val="332"/>
              <w:kinsoku w:val="0"/>
              <w:overflowPunct w:val="0"/>
              <w:ind w:right="3"/>
              <w:jc w:val="center"/>
              <w:rPr>
                <w:color w:val="auto"/>
                <w:sz w:val="20"/>
                <w:szCs w:val="20"/>
              </w:rPr>
            </w:pPr>
            <w:r>
              <w:rPr>
                <w:color w:val="auto"/>
                <w:sz w:val="20"/>
                <w:szCs w:val="20"/>
              </w:rPr>
              <w:t>夏季</w:t>
            </w:r>
          </w:p>
        </w:tc>
        <w:tc>
          <w:tcPr>
            <w:tcW w:w="1264" w:type="dxa"/>
            <w:noWrap w:val="0"/>
            <w:vAlign w:val="center"/>
          </w:tcPr>
          <w:p>
            <w:pPr>
              <w:pStyle w:val="332"/>
              <w:kinsoku w:val="0"/>
              <w:overflowPunct w:val="0"/>
              <w:ind w:right="1"/>
              <w:jc w:val="center"/>
              <w:rPr>
                <w:color w:val="auto"/>
                <w:sz w:val="20"/>
                <w:szCs w:val="20"/>
              </w:rPr>
            </w:pPr>
            <w:r>
              <w:rPr>
                <w:color w:val="auto"/>
                <w:sz w:val="20"/>
                <w:szCs w:val="20"/>
              </w:rPr>
              <w:t>冬季</w:t>
            </w:r>
          </w:p>
        </w:tc>
        <w:tc>
          <w:tcPr>
            <w:tcW w:w="1265" w:type="dxa"/>
            <w:noWrap w:val="0"/>
            <w:vAlign w:val="center"/>
          </w:tcPr>
          <w:p>
            <w:pPr>
              <w:pStyle w:val="332"/>
              <w:kinsoku w:val="0"/>
              <w:overflowPunct w:val="0"/>
              <w:ind w:right="1"/>
              <w:jc w:val="center"/>
              <w:rPr>
                <w:color w:val="auto"/>
                <w:sz w:val="20"/>
                <w:szCs w:val="20"/>
              </w:rPr>
            </w:pPr>
            <w:r>
              <w:rPr>
                <w:color w:val="auto"/>
                <w:sz w:val="20"/>
                <w:szCs w:val="20"/>
              </w:rPr>
              <w:t>夏季</w:t>
            </w:r>
          </w:p>
        </w:tc>
        <w:tc>
          <w:tcPr>
            <w:tcW w:w="1264" w:type="dxa"/>
            <w:noWrap w:val="0"/>
            <w:vAlign w:val="center"/>
          </w:tcPr>
          <w:p>
            <w:pPr>
              <w:pStyle w:val="332"/>
              <w:kinsoku w:val="0"/>
              <w:overflowPunct w:val="0"/>
              <w:ind w:right="1"/>
              <w:jc w:val="center"/>
              <w:rPr>
                <w:color w:val="auto"/>
                <w:sz w:val="20"/>
                <w:szCs w:val="20"/>
              </w:rPr>
            </w:pPr>
            <w:r>
              <w:rPr>
                <w:color w:val="auto"/>
                <w:sz w:val="20"/>
                <w:szCs w:val="20"/>
              </w:rPr>
              <w:t>冬季</w:t>
            </w:r>
          </w:p>
        </w:tc>
        <w:tc>
          <w:tcPr>
            <w:tcW w:w="1264" w:type="dxa"/>
            <w:noWrap w:val="0"/>
            <w:vAlign w:val="center"/>
          </w:tcPr>
          <w:p>
            <w:pPr>
              <w:pStyle w:val="332"/>
              <w:kinsoku w:val="0"/>
              <w:overflowPunct w:val="0"/>
              <w:ind w:right="1"/>
              <w:jc w:val="center"/>
              <w:rPr>
                <w:color w:val="auto"/>
                <w:sz w:val="20"/>
                <w:szCs w:val="20"/>
              </w:rPr>
            </w:pPr>
            <w:r>
              <w:rPr>
                <w:color w:val="auto"/>
                <w:sz w:val="20"/>
                <w:szCs w:val="20"/>
              </w:rPr>
              <w:t>夏季</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201" w:type="dxa"/>
            <w:noWrap w:val="0"/>
            <w:vAlign w:val="center"/>
          </w:tcPr>
          <w:p>
            <w:pPr>
              <w:pStyle w:val="332"/>
              <w:kinsoku w:val="0"/>
              <w:overflowPunct w:val="0"/>
              <w:jc w:val="center"/>
              <w:rPr>
                <w:color w:val="auto"/>
                <w:sz w:val="20"/>
                <w:szCs w:val="20"/>
              </w:rPr>
            </w:pPr>
            <w:r>
              <w:rPr>
                <w:color w:val="auto"/>
                <w:sz w:val="20"/>
                <w:szCs w:val="20"/>
              </w:rPr>
              <w:t>标准值</w:t>
            </w:r>
          </w:p>
        </w:tc>
        <w:tc>
          <w:tcPr>
            <w:tcW w:w="1264" w:type="dxa"/>
            <w:noWrap w:val="0"/>
            <w:vAlign w:val="center"/>
          </w:tcPr>
          <w:p>
            <w:pPr>
              <w:pStyle w:val="332"/>
              <w:kinsoku w:val="0"/>
              <w:overflowPunct w:val="0"/>
              <w:jc w:val="center"/>
              <w:rPr>
                <w:color w:val="auto"/>
                <w:sz w:val="20"/>
                <w:szCs w:val="20"/>
              </w:rPr>
            </w:pPr>
            <w:r>
              <w:rPr>
                <w:color w:val="auto"/>
                <w:sz w:val="20"/>
                <w:szCs w:val="20"/>
              </w:rPr>
              <w:t>1.2</w:t>
            </w:r>
          </w:p>
        </w:tc>
        <w:tc>
          <w:tcPr>
            <w:tcW w:w="1265" w:type="dxa"/>
            <w:noWrap w:val="0"/>
            <w:vAlign w:val="center"/>
          </w:tcPr>
          <w:p>
            <w:pPr>
              <w:pStyle w:val="332"/>
              <w:kinsoku w:val="0"/>
              <w:overflowPunct w:val="0"/>
              <w:ind w:right="1"/>
              <w:jc w:val="center"/>
              <w:rPr>
                <w:color w:val="auto"/>
                <w:sz w:val="20"/>
                <w:szCs w:val="20"/>
              </w:rPr>
            </w:pPr>
            <w:r>
              <w:rPr>
                <w:color w:val="auto"/>
                <w:sz w:val="20"/>
                <w:szCs w:val="20"/>
              </w:rPr>
              <w:t>1.8</w:t>
            </w:r>
          </w:p>
        </w:tc>
        <w:tc>
          <w:tcPr>
            <w:tcW w:w="1264" w:type="dxa"/>
            <w:noWrap w:val="0"/>
            <w:vAlign w:val="center"/>
          </w:tcPr>
          <w:p>
            <w:pPr>
              <w:pStyle w:val="332"/>
              <w:kinsoku w:val="0"/>
              <w:overflowPunct w:val="0"/>
              <w:jc w:val="center"/>
              <w:rPr>
                <w:color w:val="auto"/>
                <w:sz w:val="20"/>
                <w:szCs w:val="20"/>
              </w:rPr>
            </w:pPr>
            <w:r>
              <w:rPr>
                <w:color w:val="auto"/>
                <w:sz w:val="20"/>
                <w:szCs w:val="20"/>
              </w:rPr>
              <w:t>0.5</w:t>
            </w:r>
          </w:p>
        </w:tc>
        <w:tc>
          <w:tcPr>
            <w:tcW w:w="1265" w:type="dxa"/>
            <w:noWrap w:val="0"/>
            <w:vAlign w:val="center"/>
          </w:tcPr>
          <w:p>
            <w:pPr>
              <w:pStyle w:val="332"/>
              <w:kinsoku w:val="0"/>
              <w:overflowPunct w:val="0"/>
              <w:jc w:val="center"/>
              <w:rPr>
                <w:color w:val="auto"/>
                <w:sz w:val="20"/>
                <w:szCs w:val="20"/>
              </w:rPr>
            </w:pPr>
            <w:r>
              <w:rPr>
                <w:color w:val="auto"/>
                <w:sz w:val="20"/>
                <w:szCs w:val="20"/>
              </w:rPr>
              <w:t>0.7</w:t>
            </w:r>
          </w:p>
        </w:tc>
        <w:tc>
          <w:tcPr>
            <w:tcW w:w="1264" w:type="dxa"/>
            <w:noWrap w:val="0"/>
            <w:vAlign w:val="center"/>
          </w:tcPr>
          <w:p>
            <w:pPr>
              <w:pStyle w:val="332"/>
              <w:kinsoku w:val="0"/>
              <w:overflowPunct w:val="0"/>
              <w:jc w:val="center"/>
              <w:rPr>
                <w:color w:val="auto"/>
                <w:sz w:val="20"/>
                <w:szCs w:val="20"/>
              </w:rPr>
            </w:pPr>
            <w:r>
              <w:rPr>
                <w:color w:val="auto"/>
                <w:sz w:val="20"/>
                <w:szCs w:val="20"/>
              </w:rPr>
              <w:t>17</w:t>
            </w:r>
          </w:p>
        </w:tc>
        <w:tc>
          <w:tcPr>
            <w:tcW w:w="1264" w:type="dxa"/>
            <w:noWrap w:val="0"/>
            <w:vAlign w:val="center"/>
          </w:tcPr>
          <w:p>
            <w:pPr>
              <w:pStyle w:val="332"/>
              <w:kinsoku w:val="0"/>
              <w:overflowPunct w:val="0"/>
              <w:jc w:val="center"/>
              <w:rPr>
                <w:color w:val="auto"/>
                <w:sz w:val="20"/>
                <w:szCs w:val="20"/>
              </w:rPr>
            </w:pPr>
            <w:r>
              <w:rPr>
                <w:color w:val="auto"/>
                <w:sz w:val="20"/>
                <w:szCs w:val="20"/>
              </w:rPr>
              <w:t>20</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8787" w:type="dxa"/>
            <w:gridSpan w:val="7"/>
            <w:noWrap w:val="0"/>
            <w:vAlign w:val="center"/>
          </w:tcPr>
          <w:p>
            <w:pPr>
              <w:pStyle w:val="332"/>
              <w:kinsoku w:val="0"/>
              <w:overflowPunct w:val="0"/>
              <w:jc w:val="left"/>
              <w:rPr>
                <w:color w:val="auto"/>
                <w:sz w:val="20"/>
                <w:szCs w:val="20"/>
              </w:rPr>
            </w:pPr>
            <w:r>
              <w:rPr>
                <w:rFonts w:hint="eastAsia"/>
                <w:color w:val="auto"/>
                <w:sz w:val="20"/>
                <w:szCs w:val="20"/>
              </w:rPr>
              <w:t xml:space="preserve">备注：单位[m </w:t>
            </w:r>
            <w:r>
              <w:rPr>
                <w:rFonts w:hint="eastAsia"/>
                <w:color w:val="auto"/>
                <w:sz w:val="20"/>
                <w:szCs w:val="20"/>
                <w:vertAlign w:val="superscript"/>
              </w:rPr>
              <w:t>3</w:t>
            </w:r>
            <w:r>
              <w:rPr>
                <w:rFonts w:hint="eastAsia"/>
                <w:color w:val="auto"/>
                <w:sz w:val="20"/>
                <w:szCs w:val="20"/>
              </w:rPr>
              <w:t xml:space="preserve"> /（百头·d）]中的百头指存栏数，春、秋季废水最高允许排放量按冬、夏两季的平均值计算。</w:t>
            </w:r>
          </w:p>
        </w:tc>
      </w:tr>
    </w:tbl>
    <w:p>
      <w:pPr>
        <w:pStyle w:val="16"/>
        <w:spacing w:line="240" w:lineRule="auto"/>
        <w:ind w:firstLine="0" w:firstLineChars="0"/>
        <w:rPr>
          <w:rFonts w:ascii="宋体" w:hAnsi="宋体"/>
          <w:color w:val="auto"/>
          <w:sz w:val="21"/>
          <w:szCs w:val="21"/>
        </w:rPr>
      </w:pPr>
      <w:r>
        <w:rPr>
          <w:rFonts w:ascii="宋体" w:hAnsi="宋体"/>
          <w:color w:val="auto"/>
          <w:sz w:val="21"/>
          <w:szCs w:val="21"/>
        </w:rPr>
        <w:t>注：废水最高允许排放量的单位中，百头、千只均指存栏数。春、秋季度水最高允许排放量按冬、夏两季的平均值计算。</w:t>
      </w:r>
    </w:p>
    <w:p>
      <w:pPr>
        <w:pStyle w:val="16"/>
        <w:spacing w:before="120" w:beforeLines="50" w:line="360" w:lineRule="auto"/>
        <w:ind w:firstLine="480"/>
        <w:rPr>
          <w:rFonts w:ascii="Times New Roman" w:hAnsi="Times New Roman"/>
          <w:color w:val="auto"/>
        </w:rPr>
      </w:pPr>
      <w:r>
        <w:rPr>
          <w:rFonts w:ascii="Times New Roman" w:hAnsi="Times New Roman"/>
          <w:color w:val="auto"/>
        </w:rPr>
        <w:t>由表3.</w:t>
      </w:r>
      <w:r>
        <w:rPr>
          <w:rFonts w:hint="eastAsia" w:ascii="Times New Roman" w:hAnsi="Times New Roman"/>
          <w:color w:val="auto"/>
          <w:lang w:val="en-US" w:eastAsia="zh-CN"/>
        </w:rPr>
        <w:t>6</w:t>
      </w:r>
      <w:r>
        <w:rPr>
          <w:rFonts w:ascii="Times New Roman" w:hAnsi="Times New Roman"/>
          <w:color w:val="auto"/>
        </w:rPr>
        <w:t>-</w:t>
      </w:r>
      <w:r>
        <w:rPr>
          <w:rFonts w:hint="eastAsia" w:ascii="Times New Roman" w:hAnsi="Times New Roman"/>
          <w:color w:val="auto"/>
          <w:lang w:val="en-US" w:eastAsia="zh-CN"/>
        </w:rPr>
        <w:t>7</w:t>
      </w:r>
      <w:r>
        <w:rPr>
          <w:rFonts w:ascii="Times New Roman" w:hAnsi="Times New Roman"/>
          <w:color w:val="auto"/>
        </w:rPr>
        <w:t>可知，本项目干清粪工艺最高允许排水量：夏季1.8m</w:t>
      </w:r>
      <w:r>
        <w:rPr>
          <w:rFonts w:ascii="Times New Roman" w:hAnsi="Times New Roman"/>
          <w:color w:val="auto"/>
          <w:vertAlign w:val="superscript"/>
        </w:rPr>
        <w:t>3</w:t>
      </w:r>
      <w:r>
        <w:rPr>
          <w:rFonts w:ascii="Times New Roman" w:hAnsi="Times New Roman"/>
          <w:color w:val="auto"/>
        </w:rPr>
        <w:t>/百头猪·d，冬季1.2m</w:t>
      </w:r>
      <w:r>
        <w:rPr>
          <w:rFonts w:ascii="Times New Roman" w:hAnsi="Times New Roman"/>
          <w:color w:val="auto"/>
          <w:vertAlign w:val="superscript"/>
        </w:rPr>
        <w:t>3</w:t>
      </w:r>
      <w:r>
        <w:rPr>
          <w:rFonts w:ascii="Times New Roman" w:hAnsi="Times New Roman"/>
          <w:color w:val="auto"/>
        </w:rPr>
        <w:t>/百头猪·d，</w:t>
      </w:r>
      <w:r>
        <w:rPr>
          <w:rFonts w:hint="eastAsia" w:ascii="Times New Roman" w:hAnsi="Times New Roman"/>
          <w:color w:val="auto"/>
        </w:rPr>
        <w:t>春、秋季1</w:t>
      </w:r>
      <w:r>
        <w:rPr>
          <w:rFonts w:ascii="Times New Roman" w:hAnsi="Times New Roman"/>
          <w:color w:val="auto"/>
        </w:rPr>
        <w:t>.5m</w:t>
      </w:r>
      <w:r>
        <w:rPr>
          <w:rFonts w:ascii="Times New Roman" w:hAnsi="Times New Roman"/>
          <w:color w:val="auto"/>
          <w:vertAlign w:val="superscript"/>
        </w:rPr>
        <w:t>3</w:t>
      </w:r>
      <w:r>
        <w:rPr>
          <w:rFonts w:ascii="Times New Roman" w:hAnsi="Times New Roman"/>
          <w:color w:val="auto"/>
        </w:rPr>
        <w:t>/百头猪·d</w:t>
      </w:r>
      <w:r>
        <w:rPr>
          <w:rFonts w:hint="eastAsia" w:ascii="Times New Roman" w:hAnsi="Times New Roman"/>
          <w:color w:val="auto"/>
        </w:rPr>
        <w:t>，</w:t>
      </w:r>
      <w:r>
        <w:rPr>
          <w:rFonts w:ascii="Times New Roman" w:hAnsi="Times New Roman"/>
          <w:color w:val="auto"/>
        </w:rPr>
        <w:t>本项目按平均最高允许排水量计算（1.5m</w:t>
      </w:r>
      <w:r>
        <w:rPr>
          <w:rFonts w:ascii="Times New Roman" w:hAnsi="Times New Roman"/>
          <w:color w:val="auto"/>
          <w:vertAlign w:val="superscript"/>
        </w:rPr>
        <w:t>3</w:t>
      </w:r>
      <w:r>
        <w:rPr>
          <w:rFonts w:ascii="Times New Roman" w:hAnsi="Times New Roman"/>
          <w:color w:val="auto"/>
        </w:rPr>
        <w:t>/百头猪·d）。根据项目折算存栏量</w:t>
      </w:r>
      <w:r>
        <w:rPr>
          <w:rFonts w:hint="eastAsia" w:ascii="Times New Roman" w:hAnsi="Times New Roman"/>
          <w:color w:val="auto"/>
          <w:lang w:val="en-US" w:eastAsia="zh-CN"/>
        </w:rPr>
        <w:t>7000</w:t>
      </w:r>
      <w:r>
        <w:rPr>
          <w:rFonts w:ascii="Times New Roman" w:hAnsi="Times New Roman"/>
          <w:color w:val="auto"/>
        </w:rPr>
        <w:t>头，则本项目最高允许排放量为</w:t>
      </w:r>
      <w:r>
        <w:rPr>
          <w:rFonts w:hint="eastAsia" w:ascii="Times New Roman" w:hAnsi="Times New Roman"/>
          <w:color w:val="auto"/>
          <w:lang w:val="en-US" w:eastAsia="zh-CN"/>
        </w:rPr>
        <w:t>105</w:t>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/d，本项目养殖废水总排放量为</w:t>
      </w:r>
      <w:r>
        <w:rPr>
          <w:rFonts w:hint="default" w:ascii="Times New Roman" w:hAnsi="Times New Roman"/>
          <w:color w:val="auto"/>
          <w:lang w:eastAsia="zh-CN"/>
        </w:rPr>
        <w:fldChar w:fldCharType="begin"/>
      </w:r>
      <w:r>
        <w:rPr>
          <w:rFonts w:hint="default" w:ascii="Times New Roman" w:hAnsi="Times New Roman"/>
          <w:color w:val="auto"/>
          <w:lang w:eastAsia="zh-CN"/>
        </w:rPr>
        <w:instrText xml:space="preserve"> =SUM(ABOVE) \* MERGEFORMAT </w:instrText>
      </w:r>
      <w:r>
        <w:rPr>
          <w:rFonts w:hint="default" w:ascii="Times New Roman" w:hAnsi="Times New Roman"/>
          <w:color w:val="auto"/>
          <w:lang w:eastAsia="zh-CN"/>
        </w:rPr>
        <w:fldChar w:fldCharType="separate"/>
      </w:r>
      <w:r>
        <w:rPr>
          <w:rFonts w:hint="default" w:ascii="Times New Roman" w:hAnsi="Times New Roman"/>
          <w:color w:val="auto"/>
          <w:lang w:eastAsia="zh-CN"/>
        </w:rPr>
        <w:t>29.083</w:t>
      </w:r>
      <w:r>
        <w:rPr>
          <w:rFonts w:hint="default" w:ascii="Times New Roman" w:hAnsi="Times New Roman"/>
          <w:color w:val="auto"/>
          <w:lang w:eastAsia="zh-CN"/>
        </w:rPr>
        <w:fldChar w:fldCharType="end"/>
      </w:r>
      <w:r>
        <w:rPr>
          <w:rFonts w:ascii="Times New Roman" w:hAnsi="Times New Roman"/>
          <w:color w:val="auto"/>
        </w:rPr>
        <w:t>m</w:t>
      </w:r>
      <w:r>
        <w:rPr>
          <w:rFonts w:ascii="Times New Roman" w:hAnsi="Times New Roman"/>
          <w:color w:val="auto"/>
          <w:vertAlign w:val="superscript"/>
        </w:rPr>
        <w:t>3</w:t>
      </w:r>
      <w:r>
        <w:rPr>
          <w:rFonts w:ascii="Times New Roman" w:hAnsi="Times New Roman"/>
          <w:color w:val="auto"/>
        </w:rPr>
        <w:t>/d，满足《畜禽养殖业污染物排放标准》（GB18596-2001）中的相关要求。</w:t>
      </w:r>
    </w:p>
    <w:p>
      <w:pPr>
        <w:adjustRightInd w:val="0"/>
        <w:snapToGrid w:val="0"/>
        <w:ind w:firstLine="482"/>
        <w:rPr>
          <w:b/>
          <w:color w:val="auto"/>
        </w:rPr>
      </w:pPr>
      <w:r>
        <w:rPr>
          <w:b/>
          <w:color w:val="auto"/>
        </w:rPr>
        <w:t>（2）生活区污水</w:t>
      </w:r>
    </w:p>
    <w:p>
      <w:pPr>
        <w:ind w:firstLine="480"/>
        <w:rPr>
          <w:color w:val="auto"/>
        </w:rPr>
      </w:pPr>
      <w:r>
        <w:rPr>
          <w:color w:val="auto"/>
        </w:rPr>
        <w:t>本项目劳动定员</w:t>
      </w:r>
      <w:r>
        <w:rPr>
          <w:rFonts w:hint="eastAsia"/>
          <w:color w:val="auto"/>
          <w:lang w:val="en-US" w:eastAsia="zh-CN"/>
        </w:rPr>
        <w:t>7</w:t>
      </w:r>
      <w:r>
        <w:rPr>
          <w:color w:val="auto"/>
        </w:rPr>
        <w:t>人，场区内内设置有职工食堂和倒班宿舍，根据项目水平衡分析，运营期职工生活用水量为</w:t>
      </w:r>
      <w:r>
        <w:rPr>
          <w:rFonts w:hint="eastAsia"/>
          <w:color w:val="auto"/>
          <w:lang w:val="en-US" w:eastAsia="zh-CN"/>
        </w:rPr>
        <w:t>1.225</w:t>
      </w:r>
      <w:r>
        <w:rPr>
          <w:color w:val="auto"/>
        </w:rPr>
        <w:t>m</w:t>
      </w:r>
      <w:r>
        <w:rPr>
          <w:color w:val="auto"/>
          <w:vertAlign w:val="superscript"/>
        </w:rPr>
        <w:t>3</w:t>
      </w:r>
      <w:r>
        <w:rPr>
          <w:color w:val="auto"/>
        </w:rPr>
        <w:t>/d（</w:t>
      </w:r>
      <w:r>
        <w:rPr>
          <w:rFonts w:hint="eastAsia"/>
          <w:color w:val="auto"/>
        </w:rPr>
        <w:t>447.125</w:t>
      </w:r>
      <w:r>
        <w:rPr>
          <w:color w:val="auto"/>
        </w:rPr>
        <w:t>m</w:t>
      </w:r>
      <w:r>
        <w:rPr>
          <w:color w:val="auto"/>
          <w:vertAlign w:val="superscript"/>
        </w:rPr>
        <w:t>3</w:t>
      </w:r>
      <w:r>
        <w:rPr>
          <w:color w:val="auto"/>
        </w:rPr>
        <w:t>/a），污水产生系数按80%计，则本项目生活污水产生量为</w:t>
      </w:r>
      <w:r>
        <w:rPr>
          <w:rFonts w:hint="eastAsia"/>
          <w:color w:val="auto"/>
        </w:rPr>
        <w:t>0.98</w:t>
      </w:r>
      <w:r>
        <w:rPr>
          <w:color w:val="auto"/>
        </w:rPr>
        <w:t>m</w:t>
      </w:r>
      <w:r>
        <w:rPr>
          <w:color w:val="auto"/>
          <w:vertAlign w:val="superscript"/>
        </w:rPr>
        <w:t>3</w:t>
      </w:r>
      <w:r>
        <w:rPr>
          <w:color w:val="auto"/>
        </w:rPr>
        <w:t>/d（</w:t>
      </w:r>
      <w:r>
        <w:rPr>
          <w:rFonts w:hint="eastAsia"/>
          <w:color w:val="auto"/>
        </w:rPr>
        <w:t>357.7</w:t>
      </w:r>
      <w:r>
        <w:rPr>
          <w:color w:val="auto"/>
        </w:rPr>
        <w:t>m</w:t>
      </w:r>
      <w:r>
        <w:rPr>
          <w:color w:val="auto"/>
          <w:vertAlign w:val="superscript"/>
        </w:rPr>
        <w:t>3</w:t>
      </w:r>
      <w:r>
        <w:rPr>
          <w:color w:val="auto"/>
        </w:rPr>
        <w:t>/a）。</w:t>
      </w:r>
    </w:p>
    <w:p>
      <w:pPr>
        <w:pStyle w:val="166"/>
        <w:spacing w:before="120" w:beforeLines="0"/>
        <w:ind w:firstLine="480"/>
        <w:rPr>
          <w:color w:val="auto"/>
        </w:rPr>
      </w:pPr>
      <w:r>
        <w:rPr>
          <w:color w:val="auto"/>
        </w:rPr>
        <w:t>表3.</w:t>
      </w:r>
      <w:r>
        <w:rPr>
          <w:rFonts w:hint="eastAsia"/>
          <w:color w:val="auto"/>
          <w:lang w:val="en-US" w:eastAsia="zh-CN"/>
        </w:rPr>
        <w:t>6</w:t>
      </w:r>
      <w:r>
        <w:rPr>
          <w:color w:val="auto"/>
        </w:rPr>
        <w:t>-</w:t>
      </w:r>
      <w:r>
        <w:rPr>
          <w:rFonts w:hint="eastAsia"/>
          <w:color w:val="auto"/>
          <w:lang w:val="en-US" w:eastAsia="zh-CN"/>
        </w:rPr>
        <w:t xml:space="preserve">8 </w:t>
      </w:r>
      <w:r>
        <w:rPr>
          <w:color w:val="auto"/>
        </w:rPr>
        <w:t>项目生活污水水质情况一览表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59"/>
        <w:gridCol w:w="1944"/>
        <w:gridCol w:w="1184"/>
        <w:gridCol w:w="1051"/>
        <w:gridCol w:w="1051"/>
        <w:gridCol w:w="1051"/>
        <w:gridCol w:w="1047"/>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459" w:type="dxa"/>
            <w:noWrap w:val="0"/>
            <w:vAlign w:val="center"/>
          </w:tcPr>
          <w:p>
            <w:pPr>
              <w:pStyle w:val="332"/>
              <w:kinsoku w:val="0"/>
              <w:overflowPunct w:val="0"/>
              <w:spacing w:line="240" w:lineRule="exact"/>
              <w:jc w:val="center"/>
              <w:rPr>
                <w:b/>
                <w:color w:val="auto"/>
                <w:sz w:val="20"/>
                <w:szCs w:val="20"/>
              </w:rPr>
            </w:pPr>
            <w:r>
              <w:rPr>
                <w:b/>
                <w:color w:val="auto"/>
                <w:sz w:val="20"/>
                <w:szCs w:val="20"/>
              </w:rPr>
              <w:t>生活污水</w:t>
            </w:r>
          </w:p>
        </w:tc>
        <w:tc>
          <w:tcPr>
            <w:tcW w:w="1944" w:type="dxa"/>
            <w:noWrap w:val="0"/>
            <w:vAlign w:val="center"/>
          </w:tcPr>
          <w:p>
            <w:pPr>
              <w:pStyle w:val="332"/>
              <w:kinsoku w:val="0"/>
              <w:overflowPunct w:val="0"/>
              <w:spacing w:line="240" w:lineRule="exact"/>
              <w:jc w:val="center"/>
              <w:rPr>
                <w:b/>
                <w:color w:val="auto"/>
                <w:sz w:val="20"/>
                <w:szCs w:val="20"/>
              </w:rPr>
            </w:pPr>
            <w:r>
              <w:rPr>
                <w:b/>
                <w:color w:val="auto"/>
                <w:sz w:val="20"/>
                <w:szCs w:val="20"/>
              </w:rPr>
              <w:t>污染物名称</w:t>
            </w:r>
          </w:p>
        </w:tc>
        <w:tc>
          <w:tcPr>
            <w:tcW w:w="1184" w:type="dxa"/>
            <w:noWrap w:val="0"/>
            <w:vAlign w:val="center"/>
          </w:tcPr>
          <w:p>
            <w:pPr>
              <w:pStyle w:val="332"/>
              <w:kinsoku w:val="0"/>
              <w:overflowPunct w:val="0"/>
              <w:spacing w:before="14"/>
              <w:jc w:val="center"/>
              <w:rPr>
                <w:b/>
                <w:color w:val="auto"/>
                <w:sz w:val="20"/>
                <w:szCs w:val="20"/>
              </w:rPr>
            </w:pPr>
            <w:r>
              <w:rPr>
                <w:b/>
                <w:color w:val="auto"/>
                <w:sz w:val="20"/>
                <w:szCs w:val="20"/>
              </w:rPr>
              <w:t>CODcr</w:t>
            </w:r>
          </w:p>
        </w:tc>
        <w:tc>
          <w:tcPr>
            <w:tcW w:w="1051" w:type="dxa"/>
            <w:noWrap w:val="0"/>
            <w:vAlign w:val="center"/>
          </w:tcPr>
          <w:p>
            <w:pPr>
              <w:pStyle w:val="332"/>
              <w:kinsoku w:val="0"/>
              <w:overflowPunct w:val="0"/>
              <w:spacing w:before="10"/>
              <w:jc w:val="center"/>
              <w:rPr>
                <w:b/>
                <w:color w:val="auto"/>
                <w:sz w:val="20"/>
                <w:szCs w:val="20"/>
              </w:rPr>
            </w:pPr>
            <w:r>
              <w:rPr>
                <w:b/>
                <w:color w:val="auto"/>
                <w:position w:val="2"/>
                <w:sz w:val="20"/>
                <w:szCs w:val="20"/>
              </w:rPr>
              <w:t>BOD</w:t>
            </w:r>
            <w:r>
              <w:rPr>
                <w:b/>
                <w:color w:val="auto"/>
                <w:sz w:val="20"/>
                <w:szCs w:val="20"/>
                <w:vertAlign w:val="subscript"/>
              </w:rPr>
              <w:t>5</w:t>
            </w:r>
          </w:p>
        </w:tc>
        <w:tc>
          <w:tcPr>
            <w:tcW w:w="1051" w:type="dxa"/>
            <w:noWrap w:val="0"/>
            <w:vAlign w:val="center"/>
          </w:tcPr>
          <w:p>
            <w:pPr>
              <w:pStyle w:val="332"/>
              <w:kinsoku w:val="0"/>
              <w:overflowPunct w:val="0"/>
              <w:spacing w:before="14"/>
              <w:ind w:right="1"/>
              <w:jc w:val="center"/>
              <w:rPr>
                <w:b/>
                <w:color w:val="auto"/>
                <w:sz w:val="20"/>
                <w:szCs w:val="20"/>
              </w:rPr>
            </w:pPr>
            <w:r>
              <w:rPr>
                <w:b/>
                <w:color w:val="auto"/>
                <w:sz w:val="20"/>
                <w:szCs w:val="20"/>
              </w:rPr>
              <w:t>SS</w:t>
            </w:r>
          </w:p>
        </w:tc>
        <w:tc>
          <w:tcPr>
            <w:tcW w:w="1051" w:type="dxa"/>
            <w:noWrap w:val="0"/>
            <w:vAlign w:val="center"/>
          </w:tcPr>
          <w:p>
            <w:pPr>
              <w:pStyle w:val="332"/>
              <w:kinsoku w:val="0"/>
              <w:overflowPunct w:val="0"/>
              <w:spacing w:before="10"/>
              <w:jc w:val="center"/>
              <w:rPr>
                <w:b/>
                <w:color w:val="auto"/>
                <w:sz w:val="20"/>
                <w:szCs w:val="20"/>
              </w:rPr>
            </w:pPr>
            <w:r>
              <w:rPr>
                <w:b/>
                <w:color w:val="auto"/>
                <w:position w:val="2"/>
                <w:sz w:val="20"/>
                <w:szCs w:val="20"/>
              </w:rPr>
              <w:t>NH</w:t>
            </w:r>
            <w:r>
              <w:rPr>
                <w:b/>
                <w:color w:val="auto"/>
                <w:position w:val="2"/>
                <w:sz w:val="20"/>
                <w:szCs w:val="20"/>
                <w:vertAlign w:val="subscript"/>
              </w:rPr>
              <w:t>3</w:t>
            </w:r>
            <w:r>
              <w:rPr>
                <w:b/>
                <w:color w:val="auto"/>
                <w:position w:val="2"/>
                <w:sz w:val="20"/>
                <w:szCs w:val="20"/>
              </w:rPr>
              <w:t>-N</w:t>
            </w:r>
          </w:p>
        </w:tc>
        <w:tc>
          <w:tcPr>
            <w:tcW w:w="1047" w:type="dxa"/>
            <w:noWrap w:val="0"/>
            <w:vAlign w:val="center"/>
          </w:tcPr>
          <w:p>
            <w:pPr>
              <w:pStyle w:val="332"/>
              <w:kinsoku w:val="0"/>
              <w:overflowPunct w:val="0"/>
              <w:spacing w:before="14"/>
              <w:ind w:right="1"/>
              <w:jc w:val="center"/>
              <w:rPr>
                <w:b/>
                <w:color w:val="auto"/>
                <w:sz w:val="20"/>
                <w:szCs w:val="20"/>
              </w:rPr>
            </w:pPr>
            <w:r>
              <w:rPr>
                <w:b/>
                <w:color w:val="auto"/>
                <w:sz w:val="20"/>
                <w:szCs w:val="20"/>
              </w:rPr>
              <w:t>TP</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459" w:type="dxa"/>
            <w:vMerge w:val="restart"/>
            <w:noWrap w:val="0"/>
            <w:vAlign w:val="center"/>
          </w:tcPr>
          <w:p>
            <w:pPr>
              <w:pStyle w:val="332"/>
              <w:kinsoku w:val="0"/>
              <w:overflowPunct w:val="0"/>
              <w:spacing w:before="34"/>
              <w:ind w:right="243"/>
              <w:jc w:val="center"/>
              <w:rPr>
                <w:color w:val="auto"/>
                <w:sz w:val="20"/>
                <w:szCs w:val="20"/>
              </w:rPr>
            </w:pPr>
            <w:r>
              <w:rPr>
                <w:rFonts w:hint="eastAsia"/>
                <w:color w:val="auto"/>
                <w:sz w:val="20"/>
                <w:szCs w:val="20"/>
              </w:rPr>
              <w:t>357.7</w:t>
            </w:r>
            <w:r>
              <w:rPr>
                <w:color w:val="auto"/>
                <w:sz w:val="20"/>
                <w:szCs w:val="20"/>
              </w:rPr>
              <w:t>m</w:t>
            </w:r>
            <w:r>
              <w:rPr>
                <w:color w:val="auto"/>
                <w:sz w:val="20"/>
                <w:szCs w:val="20"/>
                <w:vertAlign w:val="superscript"/>
              </w:rPr>
              <w:t>3</w:t>
            </w:r>
            <w:r>
              <w:rPr>
                <w:color w:val="auto"/>
                <w:sz w:val="20"/>
                <w:szCs w:val="20"/>
              </w:rPr>
              <w:t>/a</w:t>
            </w:r>
          </w:p>
        </w:tc>
        <w:tc>
          <w:tcPr>
            <w:tcW w:w="1944" w:type="dxa"/>
            <w:noWrap w:val="0"/>
            <w:vAlign w:val="center"/>
          </w:tcPr>
          <w:p>
            <w:pPr>
              <w:pStyle w:val="332"/>
              <w:kinsoku w:val="0"/>
              <w:overflowPunct w:val="0"/>
              <w:spacing w:line="257" w:lineRule="exact"/>
              <w:jc w:val="center"/>
              <w:rPr>
                <w:color w:val="auto"/>
                <w:sz w:val="20"/>
                <w:szCs w:val="20"/>
              </w:rPr>
            </w:pPr>
            <w:r>
              <w:rPr>
                <w:color w:val="auto"/>
                <w:sz w:val="20"/>
                <w:szCs w:val="20"/>
              </w:rPr>
              <w:t>产生浓度（mg/L）</w:t>
            </w:r>
          </w:p>
        </w:tc>
        <w:tc>
          <w:tcPr>
            <w:tcW w:w="1184" w:type="dxa"/>
            <w:noWrap w:val="0"/>
            <w:vAlign w:val="center"/>
          </w:tcPr>
          <w:p>
            <w:pPr>
              <w:pStyle w:val="332"/>
              <w:kinsoku w:val="0"/>
              <w:overflowPunct w:val="0"/>
              <w:spacing w:before="15"/>
              <w:ind w:right="1"/>
              <w:jc w:val="center"/>
              <w:rPr>
                <w:color w:val="auto"/>
                <w:sz w:val="20"/>
                <w:szCs w:val="20"/>
              </w:rPr>
            </w:pPr>
            <w:r>
              <w:rPr>
                <w:color w:val="auto"/>
                <w:sz w:val="20"/>
                <w:szCs w:val="20"/>
              </w:rPr>
              <w:t>530</w:t>
            </w:r>
          </w:p>
        </w:tc>
        <w:tc>
          <w:tcPr>
            <w:tcW w:w="1051" w:type="dxa"/>
            <w:noWrap w:val="0"/>
            <w:vAlign w:val="center"/>
          </w:tcPr>
          <w:p>
            <w:pPr>
              <w:pStyle w:val="332"/>
              <w:kinsoku w:val="0"/>
              <w:overflowPunct w:val="0"/>
              <w:spacing w:before="15"/>
              <w:jc w:val="center"/>
              <w:rPr>
                <w:color w:val="auto"/>
                <w:sz w:val="20"/>
                <w:szCs w:val="20"/>
              </w:rPr>
            </w:pPr>
            <w:r>
              <w:rPr>
                <w:color w:val="auto"/>
                <w:sz w:val="20"/>
                <w:szCs w:val="20"/>
              </w:rPr>
              <w:t>300</w:t>
            </w:r>
          </w:p>
        </w:tc>
        <w:tc>
          <w:tcPr>
            <w:tcW w:w="1051" w:type="dxa"/>
            <w:noWrap w:val="0"/>
            <w:vAlign w:val="center"/>
          </w:tcPr>
          <w:p>
            <w:pPr>
              <w:pStyle w:val="332"/>
              <w:kinsoku w:val="0"/>
              <w:overflowPunct w:val="0"/>
              <w:spacing w:before="15"/>
              <w:jc w:val="center"/>
              <w:rPr>
                <w:color w:val="auto"/>
                <w:sz w:val="20"/>
                <w:szCs w:val="20"/>
              </w:rPr>
            </w:pPr>
            <w:r>
              <w:rPr>
                <w:color w:val="auto"/>
                <w:sz w:val="20"/>
                <w:szCs w:val="20"/>
              </w:rPr>
              <w:t>250</w:t>
            </w:r>
          </w:p>
        </w:tc>
        <w:tc>
          <w:tcPr>
            <w:tcW w:w="1051" w:type="dxa"/>
            <w:noWrap w:val="0"/>
            <w:vAlign w:val="center"/>
          </w:tcPr>
          <w:p>
            <w:pPr>
              <w:pStyle w:val="332"/>
              <w:kinsoku w:val="0"/>
              <w:overflowPunct w:val="0"/>
              <w:spacing w:before="15"/>
              <w:jc w:val="center"/>
              <w:rPr>
                <w:color w:val="auto"/>
                <w:sz w:val="20"/>
                <w:szCs w:val="20"/>
              </w:rPr>
            </w:pPr>
            <w:r>
              <w:rPr>
                <w:color w:val="auto"/>
                <w:sz w:val="20"/>
                <w:szCs w:val="20"/>
              </w:rPr>
              <w:t>45</w:t>
            </w:r>
          </w:p>
        </w:tc>
        <w:tc>
          <w:tcPr>
            <w:tcW w:w="1047" w:type="dxa"/>
            <w:noWrap w:val="0"/>
            <w:vAlign w:val="center"/>
          </w:tcPr>
          <w:p>
            <w:pPr>
              <w:pStyle w:val="332"/>
              <w:kinsoku w:val="0"/>
              <w:overflowPunct w:val="0"/>
              <w:spacing w:before="15"/>
              <w:jc w:val="center"/>
              <w:rPr>
                <w:color w:val="auto"/>
                <w:sz w:val="20"/>
                <w:szCs w:val="20"/>
              </w:rPr>
            </w:pPr>
            <w:r>
              <w:rPr>
                <w:color w:val="auto"/>
                <w:w w:val="99"/>
                <w:sz w:val="20"/>
                <w:szCs w:val="20"/>
              </w:rPr>
              <w:t>3</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459" w:type="dxa"/>
            <w:vMerge w:val="continue"/>
            <w:noWrap w:val="0"/>
            <w:vAlign w:val="center"/>
          </w:tcPr>
          <w:p>
            <w:pPr>
              <w:pStyle w:val="332"/>
              <w:kinsoku w:val="0"/>
              <w:overflowPunct w:val="0"/>
              <w:spacing w:before="15"/>
              <w:ind w:firstLine="480"/>
              <w:jc w:val="center"/>
              <w:rPr>
                <w:color w:val="auto"/>
                <w:sz w:val="20"/>
                <w:szCs w:val="20"/>
              </w:rPr>
            </w:pPr>
          </w:p>
        </w:tc>
        <w:tc>
          <w:tcPr>
            <w:tcW w:w="1944" w:type="dxa"/>
            <w:noWrap w:val="0"/>
            <w:vAlign w:val="center"/>
          </w:tcPr>
          <w:p>
            <w:pPr>
              <w:pStyle w:val="332"/>
              <w:kinsoku w:val="0"/>
              <w:overflowPunct w:val="0"/>
              <w:spacing w:line="257" w:lineRule="exact"/>
              <w:jc w:val="center"/>
              <w:rPr>
                <w:color w:val="auto"/>
                <w:sz w:val="20"/>
                <w:szCs w:val="20"/>
              </w:rPr>
            </w:pPr>
            <w:r>
              <w:rPr>
                <w:color w:val="auto"/>
                <w:sz w:val="20"/>
                <w:szCs w:val="20"/>
              </w:rPr>
              <w:t>产生量（t/a）</w:t>
            </w:r>
          </w:p>
        </w:tc>
        <w:tc>
          <w:tcPr>
            <w:tcW w:w="1184" w:type="dxa"/>
            <w:noWrap w:val="0"/>
            <w:vAlign w:val="bottom"/>
          </w:tcPr>
          <w:p>
            <w:pPr>
              <w:pStyle w:val="332"/>
              <w:kinsoku w:val="0"/>
              <w:overflowPunct w:val="0"/>
              <w:spacing w:before="15"/>
              <w:ind w:right="1"/>
              <w:jc w:val="center"/>
              <w:rPr>
                <w:rFonts w:hint="default" w:eastAsia="宋体"/>
                <w:color w:val="auto"/>
                <w:sz w:val="20"/>
                <w:szCs w:val="20"/>
                <w:lang w:val="en-US" w:eastAsia="zh-CN"/>
              </w:rPr>
            </w:pPr>
            <w:r>
              <w:rPr>
                <w:rFonts w:hint="eastAsia"/>
                <w:color w:val="auto"/>
                <w:sz w:val="20"/>
                <w:szCs w:val="20"/>
                <w:lang w:val="en-US" w:eastAsia="zh-CN"/>
              </w:rPr>
              <w:t>0.1896</w:t>
            </w:r>
          </w:p>
        </w:tc>
        <w:tc>
          <w:tcPr>
            <w:tcW w:w="1051" w:type="dxa"/>
            <w:noWrap w:val="0"/>
            <w:vAlign w:val="bottom"/>
          </w:tcPr>
          <w:p>
            <w:pPr>
              <w:pStyle w:val="332"/>
              <w:kinsoku w:val="0"/>
              <w:overflowPunct w:val="0"/>
              <w:spacing w:before="15"/>
              <w:ind w:right="1"/>
              <w:jc w:val="center"/>
              <w:rPr>
                <w:rFonts w:hint="default" w:eastAsia="宋体"/>
                <w:color w:val="auto"/>
                <w:sz w:val="20"/>
                <w:szCs w:val="20"/>
                <w:lang w:val="en-US" w:eastAsia="zh-CN"/>
              </w:rPr>
            </w:pPr>
            <w:r>
              <w:rPr>
                <w:rFonts w:hint="eastAsia"/>
                <w:color w:val="auto"/>
                <w:sz w:val="20"/>
                <w:szCs w:val="20"/>
                <w:lang w:val="en-US" w:eastAsia="zh-CN"/>
              </w:rPr>
              <w:t>0.1073</w:t>
            </w:r>
          </w:p>
        </w:tc>
        <w:tc>
          <w:tcPr>
            <w:tcW w:w="1051" w:type="dxa"/>
            <w:noWrap w:val="0"/>
            <w:vAlign w:val="bottom"/>
          </w:tcPr>
          <w:p>
            <w:pPr>
              <w:pStyle w:val="332"/>
              <w:kinsoku w:val="0"/>
              <w:overflowPunct w:val="0"/>
              <w:spacing w:before="15"/>
              <w:ind w:right="1"/>
              <w:jc w:val="center"/>
              <w:rPr>
                <w:rFonts w:hint="default" w:eastAsia="宋体"/>
                <w:color w:val="auto"/>
                <w:sz w:val="20"/>
                <w:szCs w:val="20"/>
                <w:lang w:val="en-US" w:eastAsia="zh-CN"/>
              </w:rPr>
            </w:pPr>
            <w:r>
              <w:rPr>
                <w:rFonts w:hint="eastAsia"/>
                <w:color w:val="auto"/>
                <w:sz w:val="20"/>
                <w:szCs w:val="20"/>
                <w:lang w:val="en-US" w:eastAsia="zh-CN"/>
              </w:rPr>
              <w:t>0.0894</w:t>
            </w:r>
          </w:p>
        </w:tc>
        <w:tc>
          <w:tcPr>
            <w:tcW w:w="1051" w:type="dxa"/>
            <w:noWrap w:val="0"/>
            <w:vAlign w:val="bottom"/>
          </w:tcPr>
          <w:p>
            <w:pPr>
              <w:pStyle w:val="332"/>
              <w:kinsoku w:val="0"/>
              <w:overflowPunct w:val="0"/>
              <w:spacing w:before="15"/>
              <w:ind w:right="1"/>
              <w:jc w:val="center"/>
              <w:rPr>
                <w:rFonts w:hint="default" w:eastAsia="宋体"/>
                <w:color w:val="auto"/>
                <w:sz w:val="20"/>
                <w:szCs w:val="20"/>
                <w:lang w:val="en-US" w:eastAsia="zh-CN"/>
              </w:rPr>
            </w:pPr>
            <w:r>
              <w:rPr>
                <w:rFonts w:hint="eastAsia"/>
                <w:color w:val="auto"/>
                <w:sz w:val="20"/>
                <w:szCs w:val="20"/>
                <w:lang w:val="en-US" w:eastAsia="zh-CN"/>
              </w:rPr>
              <w:t>0.0161</w:t>
            </w:r>
          </w:p>
        </w:tc>
        <w:tc>
          <w:tcPr>
            <w:tcW w:w="1047" w:type="dxa"/>
            <w:noWrap w:val="0"/>
            <w:vAlign w:val="bottom"/>
          </w:tcPr>
          <w:p>
            <w:pPr>
              <w:pStyle w:val="332"/>
              <w:kinsoku w:val="0"/>
              <w:overflowPunct w:val="0"/>
              <w:spacing w:before="15"/>
              <w:ind w:right="1"/>
              <w:jc w:val="center"/>
              <w:rPr>
                <w:rFonts w:hint="default" w:eastAsia="宋体"/>
                <w:color w:val="auto"/>
                <w:sz w:val="20"/>
                <w:szCs w:val="20"/>
                <w:lang w:val="en-US" w:eastAsia="zh-CN"/>
              </w:rPr>
            </w:pPr>
            <w:r>
              <w:rPr>
                <w:rFonts w:hint="eastAsia"/>
                <w:color w:val="auto"/>
                <w:sz w:val="20"/>
                <w:szCs w:val="20"/>
                <w:lang w:val="en-US" w:eastAsia="zh-CN"/>
              </w:rPr>
              <w:t>0.0011</w:t>
            </w:r>
          </w:p>
        </w:tc>
      </w:tr>
    </w:tbl>
    <w:p>
      <w:pPr>
        <w:spacing w:before="120" w:beforeLines="50"/>
        <w:ind w:firstLine="482"/>
        <w:rPr>
          <w:b/>
          <w:color w:val="auto"/>
        </w:rPr>
      </w:pPr>
      <w:r>
        <w:rPr>
          <w:b/>
          <w:color w:val="auto"/>
        </w:rPr>
        <w:t>2、废水治理措施</w:t>
      </w:r>
    </w:p>
    <w:p>
      <w:pPr>
        <w:ind w:firstLine="480"/>
        <w:rPr>
          <w:color w:val="auto"/>
        </w:rPr>
      </w:pPr>
      <w:r>
        <w:rPr>
          <w:color w:val="auto"/>
        </w:rPr>
        <w:t>（1）雨水</w:t>
      </w:r>
    </w:p>
    <w:p>
      <w:pPr>
        <w:ind w:firstLine="480"/>
        <w:rPr>
          <w:color w:val="auto"/>
        </w:rPr>
      </w:pPr>
      <w:r>
        <w:rPr>
          <w:color w:val="auto"/>
        </w:rPr>
        <w:t>本项目实施雨污分流，雨水经养殖场内雨水沟收集，经周围沟渠就近汇入地表水体。</w:t>
      </w:r>
    </w:p>
    <w:p>
      <w:pPr>
        <w:ind w:firstLine="480"/>
        <w:rPr>
          <w:color w:val="auto"/>
        </w:rPr>
      </w:pPr>
      <w:r>
        <w:rPr>
          <w:color w:val="auto"/>
        </w:rPr>
        <w:t>（2）污水</w:t>
      </w:r>
    </w:p>
    <w:p>
      <w:pPr>
        <w:ind w:firstLine="480"/>
        <w:rPr>
          <w:color w:val="auto"/>
        </w:rPr>
      </w:pPr>
      <w:r>
        <w:rPr>
          <w:color w:val="auto"/>
        </w:rPr>
        <w:t>综上，项目养殖废水</w:t>
      </w:r>
      <w:r>
        <w:rPr>
          <w:rFonts w:hint="eastAsia"/>
          <w:color w:val="auto"/>
        </w:rPr>
        <w:t>产生</w:t>
      </w:r>
      <w:r>
        <w:rPr>
          <w:color w:val="auto"/>
        </w:rPr>
        <w:t>量为</w:t>
      </w:r>
      <w:r>
        <w:rPr>
          <w:rFonts w:hint="default"/>
          <w:color w:val="auto"/>
          <w:lang w:eastAsia="zh-CN"/>
        </w:rPr>
        <w:fldChar w:fldCharType="begin"/>
      </w:r>
      <w:r>
        <w:rPr>
          <w:rFonts w:hint="default"/>
          <w:color w:val="auto"/>
          <w:lang w:eastAsia="zh-CN"/>
        </w:rPr>
        <w:instrText xml:space="preserve"> =SUM(ABOVE) \* MERGEFORMAT </w:instrText>
      </w:r>
      <w:r>
        <w:rPr>
          <w:rFonts w:hint="default"/>
          <w:color w:val="auto"/>
          <w:lang w:eastAsia="zh-CN"/>
        </w:rPr>
        <w:fldChar w:fldCharType="separate"/>
      </w:r>
      <w:r>
        <w:rPr>
          <w:rFonts w:hint="default"/>
          <w:color w:val="auto"/>
          <w:lang w:eastAsia="zh-CN"/>
        </w:rPr>
        <w:t>29.083</w:t>
      </w:r>
      <w:r>
        <w:rPr>
          <w:rFonts w:hint="default"/>
          <w:color w:val="auto"/>
          <w:lang w:eastAsia="zh-CN"/>
        </w:rPr>
        <w:fldChar w:fldCharType="end"/>
      </w:r>
      <w:r>
        <w:rPr>
          <w:color w:val="auto"/>
        </w:rPr>
        <w:t>m</w:t>
      </w:r>
      <w:r>
        <w:rPr>
          <w:color w:val="auto"/>
          <w:vertAlign w:val="superscript"/>
        </w:rPr>
        <w:t>3</w:t>
      </w:r>
      <w:r>
        <w:rPr>
          <w:color w:val="auto"/>
        </w:rPr>
        <w:t>/d，生活污水产生量为</w:t>
      </w:r>
      <w:r>
        <w:rPr>
          <w:rFonts w:hint="eastAsia"/>
          <w:color w:val="auto"/>
        </w:rPr>
        <w:t>0.98</w:t>
      </w:r>
      <w:r>
        <w:rPr>
          <w:color w:val="auto"/>
        </w:rPr>
        <w:t>m</w:t>
      </w:r>
      <w:r>
        <w:rPr>
          <w:color w:val="auto"/>
          <w:vertAlign w:val="superscript"/>
        </w:rPr>
        <w:t>3</w:t>
      </w:r>
      <w:r>
        <w:rPr>
          <w:color w:val="auto"/>
        </w:rPr>
        <w:t>/d。本项目拟采用干清粪工艺，猪舍内产生的粪尿依靠重力进入缝隙地板下的</w:t>
      </w:r>
      <w:r>
        <w:rPr>
          <w:rFonts w:hint="eastAsia"/>
          <w:color w:val="auto"/>
          <w:lang w:val="en-US" w:eastAsia="zh-CN"/>
        </w:rPr>
        <w:t>集污池</w:t>
      </w:r>
      <w:r>
        <w:rPr>
          <w:color w:val="auto"/>
        </w:rPr>
        <w:t>，再采用干湿分离机对粪便和废水（尿液、圈舍冲洗废水）进行分离，分离的尿液、废水通过管道进入</w:t>
      </w:r>
      <w:r>
        <w:rPr>
          <w:rFonts w:hint="eastAsia"/>
          <w:color w:val="auto"/>
        </w:rPr>
        <w:t>黑膜沼气池</w:t>
      </w:r>
      <w:r>
        <w:rPr>
          <w:color w:val="auto"/>
        </w:rPr>
        <w:t>厌氧处理，粪便则运至</w:t>
      </w:r>
      <w:r>
        <w:rPr>
          <w:rFonts w:hint="eastAsia"/>
          <w:color w:val="auto"/>
        </w:rPr>
        <w:t>干粪堆场临时堆放，定期外售堆肥厂</w:t>
      </w:r>
      <w:r>
        <w:rPr>
          <w:color w:val="auto"/>
        </w:rPr>
        <w:t>进行堆肥。</w:t>
      </w:r>
    </w:p>
    <w:p>
      <w:pPr>
        <w:ind w:firstLine="480"/>
        <w:rPr>
          <w:color w:val="auto"/>
        </w:rPr>
      </w:pPr>
      <w:r>
        <w:rPr>
          <w:color w:val="auto"/>
        </w:rPr>
        <w:t>本项目生活污水、养殖废水全部进入</w:t>
      </w:r>
      <w:r>
        <w:rPr>
          <w:rFonts w:hint="eastAsia"/>
          <w:color w:val="auto"/>
        </w:rPr>
        <w:t>黑膜沼气池</w:t>
      </w:r>
      <w:r>
        <w:rPr>
          <w:color w:val="auto"/>
        </w:rPr>
        <w:t>内进行处理后用于土地消纳，不外排；食堂产生的餐饮废水经隔油池预处理后再进入</w:t>
      </w:r>
      <w:r>
        <w:rPr>
          <w:rFonts w:hint="eastAsia"/>
          <w:color w:val="auto"/>
        </w:rPr>
        <w:t>沼气池</w:t>
      </w:r>
      <w:r>
        <w:rPr>
          <w:color w:val="auto"/>
        </w:rPr>
        <w:t>处理，具体处理工艺流程见图3.</w:t>
      </w:r>
      <w:r>
        <w:rPr>
          <w:rFonts w:hint="eastAsia"/>
          <w:color w:val="auto"/>
          <w:lang w:val="en-US" w:eastAsia="zh-CN"/>
        </w:rPr>
        <w:t>6</w:t>
      </w:r>
      <w:r>
        <w:rPr>
          <w:color w:val="auto"/>
        </w:rPr>
        <w:t>-</w:t>
      </w:r>
      <w:r>
        <w:rPr>
          <w:rFonts w:hint="eastAsia"/>
          <w:color w:val="auto"/>
          <w:lang w:val="en-US" w:eastAsia="zh-CN"/>
        </w:rPr>
        <w:t>4</w:t>
      </w:r>
      <w:r>
        <w:rPr>
          <w:color w:val="auto"/>
        </w:rPr>
        <w:t>，项目废水主要污染物产生、处理和排放情况统计见表3.</w:t>
      </w:r>
      <w:r>
        <w:rPr>
          <w:rFonts w:hint="eastAsia"/>
          <w:color w:val="auto"/>
          <w:lang w:val="en-US" w:eastAsia="zh-CN"/>
        </w:rPr>
        <w:t>6</w:t>
      </w:r>
      <w:r>
        <w:rPr>
          <w:color w:val="auto"/>
        </w:rPr>
        <w:t>-</w:t>
      </w:r>
      <w:r>
        <w:rPr>
          <w:rFonts w:hint="eastAsia"/>
          <w:color w:val="auto"/>
          <w:lang w:val="en-US" w:eastAsia="zh-CN"/>
        </w:rPr>
        <w:t>9</w:t>
      </w:r>
      <w:r>
        <w:rPr>
          <w:color w:val="auto"/>
        </w:rPr>
        <w:t>。</w:t>
      </w:r>
    </w:p>
    <w:p>
      <w:pPr>
        <w:pStyle w:val="166"/>
        <w:spacing w:before="120" w:beforeLines="0"/>
        <w:ind w:firstLine="480"/>
        <w:rPr>
          <w:color w:val="auto"/>
        </w:rPr>
      </w:pPr>
      <w:r>
        <w:rPr>
          <w:color w:val="auto"/>
        </w:rPr>
        <w:t>表3.</w:t>
      </w:r>
      <w:r>
        <w:rPr>
          <w:rFonts w:hint="eastAsia"/>
          <w:color w:val="auto"/>
          <w:lang w:val="en-US" w:eastAsia="zh-CN"/>
        </w:rPr>
        <w:t>6</w:t>
      </w:r>
      <w:r>
        <w:rPr>
          <w:color w:val="auto"/>
        </w:rPr>
        <w:t>-</w:t>
      </w:r>
      <w:r>
        <w:rPr>
          <w:rFonts w:hint="eastAsia"/>
          <w:color w:val="auto"/>
          <w:lang w:val="en-US" w:eastAsia="zh-CN"/>
        </w:rPr>
        <w:t xml:space="preserve">9 </w:t>
      </w:r>
      <w:r>
        <w:rPr>
          <w:color w:val="auto"/>
        </w:rPr>
        <w:t>项目废水主要污染物产生、处理和排放情况统计表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69"/>
        <w:gridCol w:w="855"/>
        <w:gridCol w:w="1030"/>
        <w:gridCol w:w="750"/>
        <w:gridCol w:w="790"/>
        <w:gridCol w:w="749"/>
        <w:gridCol w:w="687"/>
        <w:gridCol w:w="663"/>
        <w:gridCol w:w="1160"/>
        <w:gridCol w:w="1075"/>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restart"/>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污水</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b/>
                <w:color w:val="auto"/>
                <w:kern w:val="0"/>
                <w:sz w:val="20"/>
                <w:szCs w:val="20"/>
              </w:rPr>
              <w:t>种类</w:t>
            </w:r>
          </w:p>
        </w:tc>
        <w:tc>
          <w:tcPr>
            <w:tcW w:w="855" w:type="dxa"/>
            <w:vMerge w:val="restart"/>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排放量</w:t>
            </w:r>
          </w:p>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m</w:t>
            </w:r>
            <w:r>
              <w:rPr>
                <w:b/>
                <w:color w:val="auto"/>
                <w:kern w:val="0"/>
                <w:sz w:val="20"/>
                <w:szCs w:val="20"/>
                <w:vertAlign w:val="superscript"/>
              </w:rPr>
              <w:t>3</w:t>
            </w:r>
            <w:r>
              <w:rPr>
                <w:b/>
                <w:color w:val="auto"/>
                <w:kern w:val="0"/>
                <w:sz w:val="20"/>
                <w:szCs w:val="20"/>
              </w:rPr>
              <w:t>/a</w:t>
            </w:r>
          </w:p>
        </w:tc>
        <w:tc>
          <w:tcPr>
            <w:tcW w:w="1030" w:type="dxa"/>
            <w:vMerge w:val="restart"/>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项目</w:t>
            </w:r>
          </w:p>
        </w:tc>
        <w:tc>
          <w:tcPr>
            <w:tcW w:w="5874" w:type="dxa"/>
            <w:gridSpan w:val="7"/>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主要污染物</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855" w:type="dxa"/>
            <w:vMerge w:val="continue"/>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p>
        </w:tc>
        <w:tc>
          <w:tcPr>
            <w:tcW w:w="1030" w:type="dxa"/>
            <w:vMerge w:val="continue"/>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COD</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position w:val="2"/>
                <w:sz w:val="20"/>
                <w:szCs w:val="20"/>
              </w:rPr>
              <w:t>BOD</w:t>
            </w:r>
            <w:r>
              <w:rPr>
                <w:b/>
                <w:color w:val="auto"/>
                <w:kern w:val="0"/>
                <w:sz w:val="20"/>
                <w:szCs w:val="20"/>
                <w:vertAlign w:val="subscript"/>
              </w:rPr>
              <w:t>5</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SS</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position w:val="2"/>
                <w:sz w:val="20"/>
                <w:szCs w:val="20"/>
              </w:rPr>
              <w:t>NH</w:t>
            </w:r>
            <w:r>
              <w:rPr>
                <w:b/>
                <w:color w:val="auto"/>
                <w:kern w:val="0"/>
                <w:sz w:val="20"/>
                <w:szCs w:val="20"/>
                <w:vertAlign w:val="subscript"/>
              </w:rPr>
              <w:t>3</w:t>
            </w:r>
            <w:r>
              <w:rPr>
                <w:b/>
                <w:color w:val="auto"/>
                <w:kern w:val="0"/>
                <w:position w:val="2"/>
                <w:sz w:val="20"/>
                <w:szCs w:val="20"/>
              </w:rPr>
              <w:t>-N</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TP</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粪大肠菌群</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b/>
                <w:color w:val="auto"/>
                <w:kern w:val="0"/>
                <w:sz w:val="20"/>
                <w:szCs w:val="20"/>
              </w:rPr>
            </w:pPr>
            <w:r>
              <w:rPr>
                <w:b/>
                <w:color w:val="auto"/>
                <w:kern w:val="0"/>
                <w:sz w:val="20"/>
                <w:szCs w:val="20"/>
              </w:rPr>
              <w:t>蛔虫卵</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养殖废水</w:t>
            </w:r>
          </w:p>
        </w:tc>
        <w:tc>
          <w:tcPr>
            <w:tcW w:w="855"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sz w:val="20"/>
                <w:szCs w:val="20"/>
              </w:rPr>
              <w:t>10469.88</w:t>
            </w: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产生浓度</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mg/L</w:t>
            </w:r>
          </w:p>
        </w:tc>
        <w:tc>
          <w:tcPr>
            <w:tcW w:w="750" w:type="dxa"/>
            <w:noWrap w:val="0"/>
            <w:vAlign w:val="center"/>
          </w:tcPr>
          <w:p>
            <w:pPr>
              <w:pStyle w:val="332"/>
              <w:kinsoku w:val="0"/>
              <w:overflowPunct w:val="0"/>
              <w:spacing w:before="15"/>
              <w:ind w:firstLine="0" w:firstLineChars="0"/>
              <w:jc w:val="center"/>
              <w:rPr>
                <w:color w:val="auto"/>
                <w:kern w:val="0"/>
                <w:sz w:val="20"/>
                <w:szCs w:val="20"/>
              </w:rPr>
            </w:pPr>
            <w:r>
              <w:rPr>
                <w:color w:val="auto"/>
                <w:sz w:val="20"/>
                <w:szCs w:val="20"/>
              </w:rPr>
              <w:t>2640</w:t>
            </w:r>
          </w:p>
        </w:tc>
        <w:tc>
          <w:tcPr>
            <w:tcW w:w="790" w:type="dxa"/>
            <w:noWrap w:val="0"/>
            <w:vAlign w:val="center"/>
          </w:tcPr>
          <w:p>
            <w:pPr>
              <w:pStyle w:val="332"/>
              <w:kinsoku w:val="0"/>
              <w:overflowPunct w:val="0"/>
              <w:spacing w:before="15"/>
              <w:ind w:firstLine="0" w:firstLineChars="0"/>
              <w:jc w:val="center"/>
              <w:rPr>
                <w:rFonts w:hint="default" w:eastAsia="宋体"/>
                <w:color w:val="auto"/>
                <w:kern w:val="0"/>
                <w:sz w:val="20"/>
                <w:szCs w:val="20"/>
                <w:lang w:val="en-US" w:eastAsia="zh-CN"/>
              </w:rPr>
            </w:pPr>
            <w:r>
              <w:rPr>
                <w:rFonts w:hint="eastAsia"/>
                <w:color w:val="auto"/>
                <w:sz w:val="20"/>
                <w:szCs w:val="20"/>
              </w:rPr>
              <w:t>1000</w:t>
            </w:r>
          </w:p>
        </w:tc>
        <w:tc>
          <w:tcPr>
            <w:tcW w:w="749"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800</w:t>
            </w:r>
          </w:p>
        </w:tc>
        <w:tc>
          <w:tcPr>
            <w:tcW w:w="687" w:type="dxa"/>
            <w:noWrap w:val="0"/>
            <w:vAlign w:val="center"/>
          </w:tcPr>
          <w:p>
            <w:pPr>
              <w:pStyle w:val="332"/>
              <w:kinsoku w:val="0"/>
              <w:overflowPunct w:val="0"/>
              <w:spacing w:before="15"/>
              <w:ind w:firstLine="0" w:firstLineChars="0"/>
              <w:jc w:val="center"/>
              <w:rPr>
                <w:color w:val="auto"/>
                <w:kern w:val="0"/>
                <w:sz w:val="20"/>
                <w:szCs w:val="20"/>
              </w:rPr>
            </w:pPr>
            <w:r>
              <w:rPr>
                <w:color w:val="auto"/>
                <w:sz w:val="20"/>
                <w:szCs w:val="20"/>
              </w:rPr>
              <w:t>26</w:t>
            </w:r>
            <w:r>
              <w:rPr>
                <w:rFonts w:hint="eastAsia"/>
                <w:color w:val="auto"/>
                <w:sz w:val="20"/>
                <w:szCs w:val="20"/>
                <w:lang w:val="en-US" w:eastAsia="zh-CN"/>
              </w:rPr>
              <w:t>0</w:t>
            </w:r>
          </w:p>
        </w:tc>
        <w:tc>
          <w:tcPr>
            <w:tcW w:w="663" w:type="dxa"/>
            <w:noWrap w:val="0"/>
            <w:vAlign w:val="center"/>
          </w:tcPr>
          <w:p>
            <w:pPr>
              <w:pStyle w:val="332"/>
              <w:kinsoku w:val="0"/>
              <w:overflowPunct w:val="0"/>
              <w:spacing w:before="15"/>
              <w:ind w:firstLine="0" w:firstLineChars="0"/>
              <w:jc w:val="center"/>
              <w:rPr>
                <w:color w:val="auto"/>
                <w:kern w:val="0"/>
                <w:sz w:val="20"/>
                <w:szCs w:val="20"/>
              </w:rPr>
            </w:pPr>
            <w:r>
              <w:rPr>
                <w:color w:val="auto"/>
                <w:sz w:val="20"/>
                <w:szCs w:val="20"/>
              </w:rPr>
              <w:t>4</w:t>
            </w:r>
            <w:r>
              <w:rPr>
                <w:rFonts w:hint="eastAsia"/>
                <w:color w:val="auto"/>
                <w:sz w:val="20"/>
                <w:szCs w:val="20"/>
                <w:lang w:val="en-US" w:eastAsia="zh-CN"/>
              </w:rPr>
              <w:t>2</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22000个/</w:t>
            </w:r>
            <w:r>
              <w:rPr>
                <w:rFonts w:hint="eastAsia"/>
                <w:color w:val="auto"/>
                <w:kern w:val="0"/>
                <w:sz w:val="20"/>
                <w:szCs w:val="20"/>
                <w:lang w:val="en-US" w:eastAsia="zh-CN"/>
              </w:rPr>
              <w:t>100</w:t>
            </w:r>
            <w:r>
              <w:rPr>
                <w:color w:val="auto"/>
                <w:kern w:val="0"/>
                <w:sz w:val="20"/>
                <w:szCs w:val="20"/>
              </w:rPr>
              <w:t>ml</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10</w:t>
            </w:r>
            <w:r>
              <w:rPr>
                <w:color w:val="auto"/>
                <w:spacing w:val="-3"/>
                <w:kern w:val="0"/>
                <w:sz w:val="20"/>
                <w:szCs w:val="20"/>
              </w:rPr>
              <w:t xml:space="preserve"> </w:t>
            </w:r>
            <w:r>
              <w:rPr>
                <w:color w:val="auto"/>
                <w:kern w:val="0"/>
                <w:sz w:val="20"/>
                <w:szCs w:val="20"/>
              </w:rPr>
              <w:t>个/L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855"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产生量</w:t>
            </w:r>
            <w:r>
              <w:rPr>
                <w:color w:val="auto"/>
                <w:spacing w:val="-59"/>
                <w:kern w:val="0"/>
                <w:sz w:val="20"/>
                <w:szCs w:val="20"/>
              </w:rPr>
              <w:t xml:space="preserve"> </w:t>
            </w:r>
            <w:r>
              <w:rPr>
                <w:color w:val="auto"/>
                <w:kern w:val="0"/>
                <w:sz w:val="20"/>
                <w:szCs w:val="20"/>
              </w:rPr>
              <w:t>t/a</w:t>
            </w:r>
          </w:p>
        </w:tc>
        <w:tc>
          <w:tcPr>
            <w:tcW w:w="750"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27.640</w:t>
            </w:r>
          </w:p>
        </w:tc>
        <w:tc>
          <w:tcPr>
            <w:tcW w:w="790"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10.470</w:t>
            </w:r>
          </w:p>
        </w:tc>
        <w:tc>
          <w:tcPr>
            <w:tcW w:w="749"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8.376</w:t>
            </w:r>
          </w:p>
        </w:tc>
        <w:tc>
          <w:tcPr>
            <w:tcW w:w="687"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2.722</w:t>
            </w:r>
          </w:p>
        </w:tc>
        <w:tc>
          <w:tcPr>
            <w:tcW w:w="663" w:type="dxa"/>
            <w:noWrap w:val="0"/>
            <w:vAlign w:val="center"/>
          </w:tcPr>
          <w:p>
            <w:pPr>
              <w:pStyle w:val="332"/>
              <w:kinsoku w:val="0"/>
              <w:overflowPunct w:val="0"/>
              <w:spacing w:before="15"/>
              <w:ind w:firstLine="0" w:firstLineChars="0"/>
              <w:jc w:val="center"/>
              <w:rPr>
                <w:color w:val="auto"/>
                <w:kern w:val="0"/>
                <w:sz w:val="20"/>
                <w:szCs w:val="20"/>
              </w:rPr>
            </w:pPr>
            <w:r>
              <w:rPr>
                <w:rFonts w:hint="eastAsia"/>
                <w:color w:val="auto"/>
                <w:sz w:val="20"/>
                <w:szCs w:val="20"/>
                <w:lang w:val="en-US" w:eastAsia="zh-CN"/>
              </w:rPr>
              <w:t>0.440</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生活</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污水</w:t>
            </w:r>
          </w:p>
        </w:tc>
        <w:tc>
          <w:tcPr>
            <w:tcW w:w="855"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sz w:val="20"/>
                <w:szCs w:val="20"/>
              </w:rPr>
              <w:t>357.7</w:t>
            </w: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产生浓度</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mg/L</w:t>
            </w: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530</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300</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250</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45</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3</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855"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产生量</w:t>
            </w:r>
            <w:r>
              <w:rPr>
                <w:color w:val="auto"/>
                <w:spacing w:val="-59"/>
                <w:kern w:val="0"/>
                <w:sz w:val="20"/>
                <w:szCs w:val="20"/>
              </w:rPr>
              <w:t xml:space="preserve"> </w:t>
            </w:r>
            <w:r>
              <w:rPr>
                <w:color w:val="auto"/>
                <w:kern w:val="0"/>
                <w:sz w:val="20"/>
                <w:szCs w:val="20"/>
              </w:rPr>
              <w:t>t/a</w:t>
            </w:r>
          </w:p>
        </w:tc>
        <w:tc>
          <w:tcPr>
            <w:tcW w:w="750" w:type="dxa"/>
            <w:noWrap w:val="0"/>
            <w:vAlign w:val="bottom"/>
          </w:tcPr>
          <w:p>
            <w:pPr>
              <w:pStyle w:val="332"/>
              <w:kinsoku w:val="0"/>
              <w:overflowPunct w:val="0"/>
              <w:spacing w:before="15"/>
              <w:ind w:right="1" w:rightChars="0" w:firstLine="0" w:firstLineChars="0"/>
              <w:jc w:val="center"/>
              <w:rPr>
                <w:color w:val="auto"/>
                <w:kern w:val="0"/>
                <w:sz w:val="20"/>
                <w:szCs w:val="20"/>
              </w:rPr>
            </w:pPr>
            <w:r>
              <w:rPr>
                <w:rFonts w:hint="eastAsia"/>
                <w:color w:val="auto"/>
                <w:sz w:val="20"/>
                <w:szCs w:val="20"/>
                <w:lang w:val="en-US" w:eastAsia="zh-CN"/>
              </w:rPr>
              <w:t>0.1896</w:t>
            </w:r>
          </w:p>
        </w:tc>
        <w:tc>
          <w:tcPr>
            <w:tcW w:w="790" w:type="dxa"/>
            <w:noWrap w:val="0"/>
            <w:vAlign w:val="bottom"/>
          </w:tcPr>
          <w:p>
            <w:pPr>
              <w:pStyle w:val="332"/>
              <w:kinsoku w:val="0"/>
              <w:overflowPunct w:val="0"/>
              <w:spacing w:before="15"/>
              <w:ind w:right="1" w:rightChars="0" w:firstLine="0" w:firstLineChars="0"/>
              <w:jc w:val="center"/>
              <w:rPr>
                <w:color w:val="auto"/>
                <w:kern w:val="0"/>
                <w:sz w:val="20"/>
                <w:szCs w:val="20"/>
              </w:rPr>
            </w:pPr>
            <w:r>
              <w:rPr>
                <w:rFonts w:hint="eastAsia"/>
                <w:color w:val="auto"/>
                <w:sz w:val="20"/>
                <w:szCs w:val="20"/>
                <w:lang w:val="en-US" w:eastAsia="zh-CN"/>
              </w:rPr>
              <w:t>0.1073</w:t>
            </w:r>
          </w:p>
        </w:tc>
        <w:tc>
          <w:tcPr>
            <w:tcW w:w="749" w:type="dxa"/>
            <w:noWrap w:val="0"/>
            <w:vAlign w:val="bottom"/>
          </w:tcPr>
          <w:p>
            <w:pPr>
              <w:pStyle w:val="332"/>
              <w:kinsoku w:val="0"/>
              <w:overflowPunct w:val="0"/>
              <w:spacing w:before="15"/>
              <w:ind w:right="1" w:rightChars="0" w:firstLine="0" w:firstLineChars="0"/>
              <w:jc w:val="center"/>
              <w:rPr>
                <w:color w:val="auto"/>
                <w:kern w:val="0"/>
                <w:sz w:val="20"/>
                <w:szCs w:val="20"/>
              </w:rPr>
            </w:pPr>
            <w:r>
              <w:rPr>
                <w:rFonts w:hint="eastAsia"/>
                <w:color w:val="auto"/>
                <w:sz w:val="20"/>
                <w:szCs w:val="20"/>
                <w:lang w:val="en-US" w:eastAsia="zh-CN"/>
              </w:rPr>
              <w:t>0.0894</w:t>
            </w:r>
          </w:p>
        </w:tc>
        <w:tc>
          <w:tcPr>
            <w:tcW w:w="687" w:type="dxa"/>
            <w:noWrap w:val="0"/>
            <w:vAlign w:val="bottom"/>
          </w:tcPr>
          <w:p>
            <w:pPr>
              <w:pStyle w:val="332"/>
              <w:kinsoku w:val="0"/>
              <w:overflowPunct w:val="0"/>
              <w:spacing w:before="15"/>
              <w:ind w:right="1" w:rightChars="0" w:firstLine="0" w:firstLineChars="0"/>
              <w:jc w:val="center"/>
              <w:rPr>
                <w:color w:val="auto"/>
                <w:kern w:val="0"/>
                <w:sz w:val="20"/>
                <w:szCs w:val="20"/>
              </w:rPr>
            </w:pPr>
            <w:r>
              <w:rPr>
                <w:rFonts w:hint="eastAsia"/>
                <w:color w:val="auto"/>
                <w:sz w:val="20"/>
                <w:szCs w:val="20"/>
                <w:lang w:val="en-US" w:eastAsia="zh-CN"/>
              </w:rPr>
              <w:t>0.0161</w:t>
            </w:r>
          </w:p>
        </w:tc>
        <w:tc>
          <w:tcPr>
            <w:tcW w:w="663" w:type="dxa"/>
            <w:noWrap w:val="0"/>
            <w:vAlign w:val="bottom"/>
          </w:tcPr>
          <w:p>
            <w:pPr>
              <w:pStyle w:val="332"/>
              <w:kinsoku w:val="0"/>
              <w:overflowPunct w:val="0"/>
              <w:spacing w:before="15"/>
              <w:ind w:right="1" w:rightChars="0" w:firstLine="0" w:firstLineChars="0"/>
              <w:jc w:val="center"/>
              <w:rPr>
                <w:color w:val="auto"/>
                <w:kern w:val="0"/>
                <w:sz w:val="20"/>
                <w:szCs w:val="20"/>
              </w:rPr>
            </w:pPr>
            <w:r>
              <w:rPr>
                <w:rFonts w:hint="eastAsia"/>
                <w:color w:val="auto"/>
                <w:sz w:val="20"/>
                <w:szCs w:val="20"/>
                <w:lang w:val="en-US" w:eastAsia="zh-CN"/>
              </w:rPr>
              <w:t>0.0011</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c>
          <w:tcPr>
            <w:tcW w:w="1075"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混合后</w:t>
            </w:r>
          </w:p>
        </w:tc>
        <w:tc>
          <w:tcPr>
            <w:tcW w:w="855" w:type="dxa"/>
            <w:vMerge w:val="restart"/>
            <w:noWrap w:val="0"/>
            <w:vAlign w:val="center"/>
          </w:tcPr>
          <w:p>
            <w:pPr>
              <w:kinsoku w:val="0"/>
              <w:overflowPunct w:val="0"/>
              <w:autoSpaceDE w:val="0"/>
              <w:autoSpaceDN w:val="0"/>
              <w:adjustRightInd w:val="0"/>
              <w:snapToGrid w:val="0"/>
              <w:spacing w:line="240" w:lineRule="auto"/>
              <w:ind w:firstLine="0" w:firstLineChars="0"/>
              <w:jc w:val="center"/>
              <w:rPr>
                <w:rFonts w:eastAsia="等线"/>
                <w:color w:val="auto"/>
                <w:kern w:val="0"/>
                <w:sz w:val="20"/>
                <w:szCs w:val="20"/>
              </w:rPr>
            </w:pPr>
            <w:r>
              <w:rPr>
                <w:rFonts w:hint="eastAsia"/>
                <w:color w:val="auto"/>
                <w:kern w:val="0"/>
                <w:sz w:val="20"/>
                <w:szCs w:val="20"/>
              </w:rPr>
              <w:t>10827.58</w:t>
            </w: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产生浓度</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mg/L</w:t>
            </w: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2570</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977</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782</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253</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41</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22000个/</w:t>
            </w:r>
            <w:r>
              <w:rPr>
                <w:rFonts w:hint="eastAsia"/>
                <w:color w:val="auto"/>
                <w:kern w:val="0"/>
                <w:sz w:val="20"/>
                <w:szCs w:val="20"/>
                <w:lang w:val="en-US" w:eastAsia="zh-CN"/>
              </w:rPr>
              <w:t>100</w:t>
            </w:r>
            <w:r>
              <w:rPr>
                <w:color w:val="auto"/>
                <w:kern w:val="0"/>
                <w:sz w:val="20"/>
                <w:szCs w:val="20"/>
              </w:rPr>
              <w:t>ml</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10个/L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855"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产生量</w:t>
            </w:r>
            <w:r>
              <w:rPr>
                <w:color w:val="auto"/>
                <w:spacing w:val="-59"/>
                <w:kern w:val="0"/>
                <w:sz w:val="20"/>
                <w:szCs w:val="20"/>
              </w:rPr>
              <w:t xml:space="preserve"> </w:t>
            </w:r>
            <w:r>
              <w:rPr>
                <w:color w:val="auto"/>
                <w:kern w:val="0"/>
                <w:sz w:val="20"/>
                <w:szCs w:val="20"/>
              </w:rPr>
              <w:t>t/a</w:t>
            </w: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27.830</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10.577</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default" w:eastAsia="宋体"/>
                <w:color w:val="auto"/>
                <w:kern w:val="0"/>
                <w:sz w:val="20"/>
                <w:szCs w:val="20"/>
                <w:lang w:val="en-US" w:eastAsia="zh-CN"/>
              </w:rPr>
              <w:t>8.465</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default" w:eastAsia="宋体"/>
                <w:color w:val="auto"/>
                <w:kern w:val="0"/>
                <w:sz w:val="20"/>
                <w:szCs w:val="20"/>
                <w:lang w:val="en-US" w:eastAsia="zh-CN"/>
              </w:rPr>
              <w:t>2.738</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default" w:eastAsia="宋体"/>
                <w:color w:val="auto"/>
                <w:kern w:val="0"/>
                <w:sz w:val="20"/>
                <w:szCs w:val="20"/>
                <w:lang w:val="en-US" w:eastAsia="zh-CN"/>
              </w:rPr>
              <w:t>0.441</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处理后</w:t>
            </w:r>
          </w:p>
        </w:tc>
        <w:tc>
          <w:tcPr>
            <w:tcW w:w="855" w:type="dxa"/>
            <w:vMerge w:val="restart"/>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10827.58</w:t>
            </w: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产生浓度</w:t>
            </w:r>
          </w:p>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mg/L</w:t>
            </w: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4</w:t>
            </w:r>
            <w:r>
              <w:rPr>
                <w:color w:val="auto"/>
                <w:kern w:val="0"/>
                <w:sz w:val="20"/>
                <w:szCs w:val="20"/>
              </w:rPr>
              <w:t>00</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1</w:t>
            </w:r>
            <w:r>
              <w:rPr>
                <w:color w:val="auto"/>
                <w:kern w:val="0"/>
                <w:sz w:val="20"/>
                <w:szCs w:val="20"/>
              </w:rPr>
              <w:t>50</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2</w:t>
            </w:r>
            <w:r>
              <w:rPr>
                <w:color w:val="auto"/>
                <w:kern w:val="0"/>
                <w:sz w:val="20"/>
                <w:szCs w:val="20"/>
              </w:rPr>
              <w:t>00</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8</w:t>
            </w:r>
            <w:r>
              <w:rPr>
                <w:color w:val="auto"/>
                <w:kern w:val="0"/>
                <w:sz w:val="20"/>
                <w:szCs w:val="20"/>
              </w:rPr>
              <w:t>0</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rPr>
              <w:t>8</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rFonts w:hint="eastAsia"/>
                <w:color w:val="auto"/>
                <w:kern w:val="0"/>
                <w:sz w:val="20"/>
                <w:szCs w:val="20"/>
                <w:lang w:val="en-US" w:eastAsia="zh-CN"/>
              </w:rPr>
              <w:t>1</w:t>
            </w:r>
            <w:r>
              <w:rPr>
                <w:color w:val="auto"/>
                <w:kern w:val="0"/>
                <w:sz w:val="20"/>
                <w:szCs w:val="20"/>
              </w:rPr>
              <w:t>000个/</w:t>
            </w:r>
            <w:r>
              <w:rPr>
                <w:rFonts w:hint="eastAsia"/>
                <w:color w:val="auto"/>
                <w:kern w:val="0"/>
                <w:sz w:val="20"/>
                <w:szCs w:val="20"/>
                <w:lang w:val="en-US" w:eastAsia="zh-CN"/>
              </w:rPr>
              <w:t>100</w:t>
            </w:r>
            <w:r>
              <w:rPr>
                <w:color w:val="auto"/>
                <w:kern w:val="0"/>
                <w:sz w:val="20"/>
                <w:szCs w:val="20"/>
              </w:rPr>
              <w:t>ml</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2.0个/L</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69"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855" w:type="dxa"/>
            <w:vMerge w:val="continue"/>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p>
        </w:tc>
        <w:tc>
          <w:tcPr>
            <w:tcW w:w="103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kern w:val="0"/>
                <w:sz w:val="20"/>
                <w:szCs w:val="20"/>
              </w:rPr>
              <w:t>产生量</w:t>
            </w:r>
            <w:r>
              <w:rPr>
                <w:color w:val="auto"/>
                <w:spacing w:val="-59"/>
                <w:kern w:val="0"/>
                <w:sz w:val="20"/>
                <w:szCs w:val="20"/>
              </w:rPr>
              <w:t xml:space="preserve"> </w:t>
            </w:r>
            <w:r>
              <w:rPr>
                <w:color w:val="auto"/>
                <w:kern w:val="0"/>
                <w:sz w:val="20"/>
                <w:szCs w:val="20"/>
              </w:rPr>
              <w:t>t/a</w:t>
            </w:r>
          </w:p>
        </w:tc>
        <w:tc>
          <w:tcPr>
            <w:tcW w:w="75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4.331</w:t>
            </w:r>
          </w:p>
        </w:tc>
        <w:tc>
          <w:tcPr>
            <w:tcW w:w="790"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1.624</w:t>
            </w:r>
          </w:p>
        </w:tc>
        <w:tc>
          <w:tcPr>
            <w:tcW w:w="749"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2.166</w:t>
            </w:r>
          </w:p>
        </w:tc>
        <w:tc>
          <w:tcPr>
            <w:tcW w:w="687"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0.866</w:t>
            </w:r>
          </w:p>
        </w:tc>
        <w:tc>
          <w:tcPr>
            <w:tcW w:w="663" w:type="dxa"/>
            <w:noWrap w:val="0"/>
            <w:vAlign w:val="center"/>
          </w:tcPr>
          <w:p>
            <w:pPr>
              <w:kinsoku w:val="0"/>
              <w:overflowPunct w:val="0"/>
              <w:autoSpaceDE w:val="0"/>
              <w:autoSpaceDN w:val="0"/>
              <w:adjustRightInd w:val="0"/>
              <w:snapToGrid w:val="0"/>
              <w:spacing w:line="240" w:lineRule="auto"/>
              <w:ind w:firstLine="0" w:firstLineChars="0"/>
              <w:jc w:val="center"/>
              <w:rPr>
                <w:rFonts w:hint="default" w:eastAsia="宋体"/>
                <w:color w:val="auto"/>
                <w:kern w:val="0"/>
                <w:sz w:val="20"/>
                <w:szCs w:val="20"/>
                <w:lang w:val="en-US" w:eastAsia="zh-CN"/>
              </w:rPr>
            </w:pPr>
            <w:r>
              <w:rPr>
                <w:rFonts w:hint="eastAsia"/>
                <w:color w:val="auto"/>
                <w:kern w:val="0"/>
                <w:sz w:val="20"/>
                <w:szCs w:val="20"/>
                <w:lang w:val="en-US" w:eastAsia="zh-CN"/>
              </w:rPr>
              <w:t>0.087</w:t>
            </w:r>
          </w:p>
        </w:tc>
        <w:tc>
          <w:tcPr>
            <w:tcW w:w="1160"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c>
          <w:tcPr>
            <w:tcW w:w="1075" w:type="dxa"/>
            <w:noWrap w:val="0"/>
            <w:vAlign w:val="center"/>
          </w:tcPr>
          <w:p>
            <w:pPr>
              <w:kinsoku w:val="0"/>
              <w:overflowPunct w:val="0"/>
              <w:autoSpaceDE w:val="0"/>
              <w:autoSpaceDN w:val="0"/>
              <w:adjustRightInd w:val="0"/>
              <w:snapToGrid w:val="0"/>
              <w:spacing w:line="240" w:lineRule="auto"/>
              <w:ind w:firstLine="0" w:firstLineChars="0"/>
              <w:jc w:val="center"/>
              <w:rPr>
                <w:color w:val="auto"/>
                <w:kern w:val="0"/>
                <w:sz w:val="20"/>
                <w:szCs w:val="20"/>
              </w:rPr>
            </w:pPr>
            <w:r>
              <w:rPr>
                <w:color w:val="auto"/>
                <w:w w:val="99"/>
                <w:kern w:val="0"/>
                <w:sz w:val="20"/>
                <w:szCs w:val="20"/>
              </w:rPr>
              <w:t>/</w:t>
            </w:r>
          </w:p>
        </w:tc>
      </w:tr>
    </w:tbl>
    <w:p>
      <w:pPr>
        <w:ind w:firstLine="480"/>
        <w:rPr>
          <w:color w:val="auto"/>
        </w:rPr>
      </w:pPr>
      <w:r>
        <w:rPr>
          <w:color w:val="auto"/>
        </w:rPr>
        <w:t>根据农业部办公厅2018年1月5日印发关于《畜禽规模养殖场粪污资源化利用设施建设规范（试行）》的通知，液体或全量粪污采用完全混合式厌氧反应器、上流式厌氧污泥床反应器等处理的，配套调节池、固液分离机、贮气设施、沼渣</w:t>
      </w:r>
      <w:r>
        <w:rPr>
          <w:rFonts w:hint="eastAsia"/>
          <w:color w:val="auto"/>
          <w:lang w:eastAsia="zh-CN"/>
        </w:rPr>
        <w:t>沼液暂存池</w:t>
      </w:r>
      <w:r>
        <w:rPr>
          <w:color w:val="auto"/>
        </w:rPr>
        <w:t>等设施设备，相关建设要求依据（NY/T1220）执行。沼液贮存池容积依据第九条确定（液体或全量粪污通过氧化塘、沉淀池等进行无害化处理的，氧化塘、贮存池容积不小于单位畜禽日粪污产生量（m</w:t>
      </w:r>
      <w:r>
        <w:rPr>
          <w:color w:val="auto"/>
          <w:vertAlign w:val="superscript"/>
        </w:rPr>
        <w:t>3</w:t>
      </w:r>
      <w:r>
        <w:rPr>
          <w:color w:val="auto"/>
        </w:rPr>
        <w:t>）×贮存周期(天)×设计存栏量(头)。单位畜禽粪污日产生量推荐值为：生猪0.01m</w:t>
      </w:r>
      <w:r>
        <w:rPr>
          <w:color w:val="auto"/>
          <w:vertAlign w:val="superscript"/>
        </w:rPr>
        <w:t>3</w:t>
      </w:r>
      <w:r>
        <w:rPr>
          <w:color w:val="auto"/>
        </w:rPr>
        <w:t>，奶牛0.045m</w:t>
      </w:r>
      <w:r>
        <w:rPr>
          <w:color w:val="auto"/>
          <w:vertAlign w:val="superscript"/>
        </w:rPr>
        <w:t>3</w:t>
      </w:r>
      <w:r>
        <w:rPr>
          <w:color w:val="auto"/>
        </w:rPr>
        <w:t>，肉牛0.017m</w:t>
      </w:r>
      <w:r>
        <w:rPr>
          <w:color w:val="auto"/>
          <w:vertAlign w:val="superscript"/>
        </w:rPr>
        <w:t>3</w:t>
      </w:r>
      <w:r>
        <w:rPr>
          <w:color w:val="auto"/>
        </w:rPr>
        <w:t>，家禽0.0002m</w:t>
      </w:r>
      <w:r>
        <w:rPr>
          <w:color w:val="auto"/>
          <w:vertAlign w:val="superscript"/>
        </w:rPr>
        <w:t>3</w:t>
      </w:r>
      <w:r>
        <w:rPr>
          <w:color w:val="auto"/>
        </w:rPr>
        <w:t>，具体可根据养殖场实际情况核定）。本项目最大年存栏量</w:t>
      </w:r>
      <w:r>
        <w:rPr>
          <w:rFonts w:hint="eastAsia"/>
          <w:color w:val="auto"/>
        </w:rPr>
        <w:t>折算</w:t>
      </w:r>
      <w:r>
        <w:rPr>
          <w:color w:val="auto"/>
        </w:rPr>
        <w:t>为</w:t>
      </w:r>
      <w:r>
        <w:rPr>
          <w:rFonts w:hint="eastAsia"/>
          <w:color w:val="auto"/>
          <w:lang w:val="en-US" w:eastAsia="zh-CN"/>
        </w:rPr>
        <w:t>7000</w:t>
      </w:r>
      <w:r>
        <w:rPr>
          <w:color w:val="auto"/>
        </w:rPr>
        <w:t>头，</w:t>
      </w:r>
      <w:r>
        <w:rPr>
          <w:rFonts w:hint="eastAsia"/>
          <w:color w:val="auto"/>
        </w:rPr>
        <w:t>营运期废水产生总量</w:t>
      </w:r>
      <w:r>
        <w:rPr>
          <w:rFonts w:hint="eastAsia"/>
          <w:color w:val="auto"/>
          <w:lang w:val="en-US" w:eastAsia="zh-CN"/>
        </w:rPr>
        <w:t>30.063</w:t>
      </w:r>
      <w:r>
        <w:rPr>
          <w:rFonts w:hint="eastAsia"/>
          <w:color w:val="auto"/>
        </w:rPr>
        <w:t>m</w:t>
      </w:r>
      <w:r>
        <w:rPr>
          <w:rFonts w:hint="eastAsia"/>
          <w:color w:val="auto"/>
          <w:vertAlign w:val="superscript"/>
        </w:rPr>
        <w:t>3</w:t>
      </w:r>
      <w:r>
        <w:rPr>
          <w:rFonts w:hint="eastAsia"/>
          <w:color w:val="auto"/>
        </w:rPr>
        <w:t>/d</w:t>
      </w:r>
      <w:r>
        <w:rPr>
          <w:rFonts w:hint="eastAsia"/>
          <w:color w:val="auto"/>
          <w:lang w:eastAsia="zh-CN"/>
        </w:rPr>
        <w:t>，</w:t>
      </w:r>
      <w:r>
        <w:rPr>
          <w:rFonts w:hint="eastAsia"/>
          <w:color w:val="auto"/>
          <w:lang w:val="en-US" w:eastAsia="zh-CN"/>
        </w:rPr>
        <w:t>收集池</w:t>
      </w:r>
      <w:r>
        <w:rPr>
          <w:rFonts w:hint="eastAsia"/>
          <w:color w:val="auto"/>
        </w:rPr>
        <w:t>、沼气池及沼液暂存池粪污贮存周期分别为2天、30天及</w:t>
      </w:r>
      <w:r>
        <w:rPr>
          <w:rFonts w:hint="eastAsia"/>
          <w:color w:val="auto"/>
          <w:lang w:val="en-US" w:eastAsia="zh-CN"/>
        </w:rPr>
        <w:t>90</w:t>
      </w:r>
      <w:r>
        <w:rPr>
          <w:rFonts w:hint="eastAsia"/>
          <w:color w:val="auto"/>
        </w:rPr>
        <w:t>天，则</w:t>
      </w:r>
      <w:r>
        <w:rPr>
          <w:color w:val="auto"/>
        </w:rPr>
        <w:t>本项目</w:t>
      </w:r>
      <w:r>
        <w:rPr>
          <w:rFonts w:hint="eastAsia"/>
          <w:color w:val="auto"/>
          <w:lang w:val="en-US" w:eastAsia="zh-CN"/>
        </w:rPr>
        <w:t>育肥</w:t>
      </w:r>
      <w:r>
        <w:rPr>
          <w:rFonts w:hint="eastAsia"/>
          <w:color w:val="auto"/>
        </w:rPr>
        <w:t>猪场集粪池、沼气池及沼液暂存池容积分别不应小于</w:t>
      </w:r>
      <w:r>
        <w:rPr>
          <w:rFonts w:hint="eastAsia"/>
          <w:color w:val="auto"/>
          <w:lang w:val="en-US" w:eastAsia="zh-CN"/>
        </w:rPr>
        <w:t>60.126</w:t>
      </w:r>
      <w:r>
        <w:rPr>
          <w:color w:val="auto"/>
        </w:rPr>
        <w:t>m</w:t>
      </w:r>
      <w:r>
        <w:rPr>
          <w:color w:val="auto"/>
          <w:vertAlign w:val="superscript"/>
        </w:rPr>
        <w:t>3</w:t>
      </w:r>
      <w:r>
        <w:rPr>
          <w:rFonts w:hint="eastAsia"/>
          <w:color w:val="auto"/>
        </w:rPr>
        <w:t>、</w:t>
      </w:r>
      <w:r>
        <w:rPr>
          <w:rFonts w:hint="eastAsia"/>
          <w:color w:val="auto"/>
          <w:lang w:val="en-US" w:eastAsia="zh-CN"/>
        </w:rPr>
        <w:t>901.89</w:t>
      </w:r>
      <w:r>
        <w:rPr>
          <w:color w:val="auto"/>
        </w:rPr>
        <w:t>m</w:t>
      </w:r>
      <w:r>
        <w:rPr>
          <w:color w:val="auto"/>
          <w:vertAlign w:val="superscript"/>
        </w:rPr>
        <w:t>3</w:t>
      </w:r>
      <w:r>
        <w:rPr>
          <w:rFonts w:hint="eastAsia"/>
          <w:color w:val="auto"/>
        </w:rPr>
        <w:t>及</w:t>
      </w:r>
      <w:r>
        <w:rPr>
          <w:rFonts w:hint="eastAsia"/>
          <w:color w:val="auto"/>
          <w:lang w:val="en-US" w:eastAsia="zh-CN"/>
        </w:rPr>
        <w:t>901.89</w:t>
      </w:r>
      <w:r>
        <w:rPr>
          <w:color w:val="auto"/>
        </w:rPr>
        <w:t>m</w:t>
      </w:r>
      <w:r>
        <w:rPr>
          <w:color w:val="auto"/>
          <w:vertAlign w:val="superscript"/>
        </w:rPr>
        <w:t>3</w:t>
      </w:r>
      <w:r>
        <w:rPr>
          <w:rFonts w:hint="eastAsia"/>
          <w:color w:val="auto"/>
        </w:rPr>
        <w:t>。</w:t>
      </w:r>
      <w:r>
        <w:rPr>
          <w:color w:val="auto"/>
        </w:rPr>
        <w:t>故本项目</w:t>
      </w:r>
      <w:r>
        <w:rPr>
          <w:rFonts w:hint="eastAsia"/>
          <w:color w:val="auto"/>
        </w:rPr>
        <w:t>猪场</w:t>
      </w:r>
      <w:r>
        <w:rPr>
          <w:rFonts w:hint="eastAsia"/>
          <w:color w:val="auto"/>
          <w:lang w:val="en-US" w:eastAsia="zh-CN"/>
        </w:rPr>
        <w:t>建设</w:t>
      </w:r>
      <w:r>
        <w:rPr>
          <w:rFonts w:hint="eastAsia"/>
          <w:color w:val="auto"/>
          <w:sz w:val="24"/>
          <w:szCs w:val="24"/>
          <w:lang w:val="en-US" w:eastAsia="zh-CN"/>
        </w:rPr>
        <w:t>收集池</w:t>
      </w:r>
      <w:r>
        <w:rPr>
          <w:color w:val="auto"/>
          <w:sz w:val="24"/>
          <w:szCs w:val="24"/>
        </w:rPr>
        <w:t>（</w:t>
      </w:r>
      <w:r>
        <w:rPr>
          <w:rFonts w:hint="eastAsia"/>
          <w:color w:val="auto"/>
          <w:sz w:val="24"/>
          <w:szCs w:val="24"/>
          <w:lang w:val="en-US" w:eastAsia="zh-CN"/>
        </w:rPr>
        <w:t>共2个，565m</w:t>
      </w:r>
      <w:r>
        <w:rPr>
          <w:rFonts w:hint="eastAsia"/>
          <w:color w:val="auto"/>
          <w:sz w:val="24"/>
          <w:szCs w:val="24"/>
          <w:vertAlign w:val="superscript"/>
          <w:lang w:val="en-US" w:eastAsia="zh-CN"/>
        </w:rPr>
        <w:t>3</w:t>
      </w:r>
      <w:r>
        <w:rPr>
          <w:rFonts w:hint="eastAsia"/>
          <w:color w:val="auto"/>
          <w:sz w:val="24"/>
          <w:szCs w:val="24"/>
          <w:lang w:val="en-US" w:eastAsia="zh-CN"/>
        </w:rPr>
        <w:t>/个</w:t>
      </w:r>
      <w:r>
        <w:rPr>
          <w:color w:val="auto"/>
          <w:sz w:val="24"/>
          <w:szCs w:val="24"/>
        </w:rPr>
        <w:t>）、</w:t>
      </w:r>
      <w:r>
        <w:rPr>
          <w:rFonts w:hint="eastAsia"/>
          <w:color w:val="auto"/>
          <w:sz w:val="24"/>
          <w:szCs w:val="24"/>
        </w:rPr>
        <w:t>沼气池（</w:t>
      </w:r>
      <w:r>
        <w:rPr>
          <w:rFonts w:hint="eastAsia"/>
          <w:color w:val="auto"/>
          <w:sz w:val="24"/>
          <w:szCs w:val="24"/>
          <w:lang w:val="en-US" w:eastAsia="zh-CN"/>
        </w:rPr>
        <w:t>一个，1500</w:t>
      </w:r>
      <w:r>
        <w:rPr>
          <w:color w:val="auto"/>
          <w:sz w:val="24"/>
          <w:szCs w:val="24"/>
        </w:rPr>
        <w:t>m</w:t>
      </w:r>
      <w:r>
        <w:rPr>
          <w:color w:val="auto"/>
          <w:sz w:val="24"/>
          <w:szCs w:val="24"/>
          <w:vertAlign w:val="superscript"/>
        </w:rPr>
        <w:t>3</w:t>
      </w:r>
      <w:r>
        <w:rPr>
          <w:rFonts w:hint="eastAsia"/>
          <w:color w:val="auto"/>
          <w:sz w:val="24"/>
          <w:szCs w:val="24"/>
        </w:rPr>
        <w:t>）、沼液暂存池（</w:t>
      </w:r>
      <w:r>
        <w:rPr>
          <w:rFonts w:hint="eastAsia"/>
          <w:color w:val="auto"/>
          <w:sz w:val="24"/>
          <w:szCs w:val="24"/>
          <w:lang w:val="en-US" w:eastAsia="zh-CN"/>
        </w:rPr>
        <w:t>一个，6500</w:t>
      </w:r>
      <w:r>
        <w:rPr>
          <w:color w:val="auto"/>
          <w:sz w:val="24"/>
          <w:szCs w:val="24"/>
        </w:rPr>
        <w:t>m</w:t>
      </w:r>
      <w:r>
        <w:rPr>
          <w:color w:val="auto"/>
          <w:sz w:val="24"/>
          <w:szCs w:val="24"/>
          <w:vertAlign w:val="superscript"/>
        </w:rPr>
        <w:t>3</w:t>
      </w:r>
      <w:r>
        <w:rPr>
          <w:rFonts w:hint="eastAsia"/>
          <w:color w:val="auto"/>
          <w:sz w:val="24"/>
          <w:szCs w:val="24"/>
        </w:rPr>
        <w:t>）</w:t>
      </w:r>
      <w:r>
        <w:rPr>
          <w:color w:val="auto"/>
          <w:sz w:val="24"/>
          <w:szCs w:val="24"/>
        </w:rPr>
        <w:t>处理负荷能满足</w:t>
      </w:r>
      <w:r>
        <w:rPr>
          <w:color w:val="auto"/>
        </w:rPr>
        <w:t>要求。</w:t>
      </w:r>
    </w:p>
    <w:p>
      <w:pPr>
        <w:pStyle w:val="9"/>
        <w:numPr>
          <w:ilvl w:val="0"/>
          <w:numId w:val="0"/>
        </w:numPr>
        <w:spacing w:before="120" w:beforeLines="50"/>
        <w:ind w:leftChars="0"/>
        <w:rPr>
          <w:color w:val="auto"/>
        </w:rPr>
      </w:pPr>
      <w:r>
        <w:rPr>
          <w:rFonts w:hint="eastAsia"/>
          <w:color w:val="auto"/>
          <w:lang w:val="en-US" w:eastAsia="zh-CN"/>
        </w:rPr>
        <w:t>3.6.3.2</w:t>
      </w:r>
      <w:r>
        <w:rPr>
          <w:color w:val="auto"/>
        </w:rPr>
        <w:t>废气产生、排放及治理措施</w:t>
      </w:r>
    </w:p>
    <w:p>
      <w:pPr>
        <w:ind w:firstLine="480"/>
        <w:rPr>
          <w:color w:val="auto"/>
        </w:rPr>
      </w:pPr>
      <w:bookmarkStart w:id="134" w:name="_Hlk504489505"/>
      <w:r>
        <w:rPr>
          <w:color w:val="auto"/>
        </w:rPr>
        <w:t>本项目运营期产生的大气污染物主要包括恶臭气体（养殖区猪舍恶臭、</w:t>
      </w:r>
      <w:r>
        <w:rPr>
          <w:rFonts w:hint="eastAsia"/>
          <w:color w:val="auto"/>
        </w:rPr>
        <w:t>干粪堆场</w:t>
      </w:r>
      <w:r>
        <w:rPr>
          <w:color w:val="auto"/>
        </w:rPr>
        <w:t>恶臭</w:t>
      </w:r>
      <w:r>
        <w:rPr>
          <w:rFonts w:hint="eastAsia"/>
          <w:color w:val="auto"/>
          <w:lang w:eastAsia="zh-CN"/>
        </w:rPr>
        <w:t>、</w:t>
      </w:r>
      <w:r>
        <w:rPr>
          <w:rFonts w:hint="eastAsia"/>
          <w:color w:val="auto"/>
        </w:rPr>
        <w:t>污水处理</w:t>
      </w:r>
      <w:r>
        <w:rPr>
          <w:rFonts w:hint="eastAsia"/>
          <w:color w:val="auto"/>
          <w:lang w:val="en-US" w:eastAsia="zh-CN"/>
        </w:rPr>
        <w:t>区</w:t>
      </w:r>
      <w:r>
        <w:rPr>
          <w:color w:val="auto"/>
        </w:rPr>
        <w:t>恶臭）、</w:t>
      </w:r>
      <w:r>
        <w:rPr>
          <w:rFonts w:hint="eastAsia"/>
          <w:color w:val="auto"/>
        </w:rPr>
        <w:t>运输恶臭及尾气</w:t>
      </w:r>
      <w:r>
        <w:rPr>
          <w:rFonts w:hint="eastAsia"/>
          <w:color w:val="auto"/>
          <w:lang w:eastAsia="zh-CN"/>
        </w:rPr>
        <w:t>、</w:t>
      </w:r>
      <w:r>
        <w:rPr>
          <w:color w:val="auto"/>
        </w:rPr>
        <w:t>沼气、食堂油烟废气</w:t>
      </w:r>
      <w:r>
        <w:rPr>
          <w:rFonts w:hint="eastAsia"/>
          <w:color w:val="auto"/>
          <w:lang w:eastAsia="zh-CN"/>
        </w:rPr>
        <w:t>、</w:t>
      </w:r>
      <w:r>
        <w:rPr>
          <w:color w:val="auto"/>
        </w:rPr>
        <w:t>柴油发电机废气等。</w:t>
      </w:r>
    </w:p>
    <w:bookmarkEnd w:id="134"/>
    <w:p>
      <w:pPr>
        <w:ind w:firstLine="482"/>
        <w:rPr>
          <w:b/>
          <w:color w:val="auto"/>
        </w:rPr>
      </w:pPr>
      <w:r>
        <w:rPr>
          <w:b/>
          <w:color w:val="auto"/>
        </w:rPr>
        <w:t>1、恶臭气体</w:t>
      </w:r>
    </w:p>
    <w:p>
      <w:pPr>
        <w:pStyle w:val="2"/>
        <w:spacing w:line="360" w:lineRule="auto"/>
        <w:ind w:firstLine="480" w:firstLineChars="200"/>
        <w:rPr>
          <w:rFonts w:hint="eastAsia" w:eastAsia="宋体"/>
          <w:color w:val="auto"/>
          <w:lang w:eastAsia="zh-CN"/>
        </w:rPr>
      </w:pPr>
      <w:r>
        <w:rPr>
          <w:rFonts w:hint="eastAsia"/>
          <w:color w:val="auto"/>
        </w:rPr>
        <w:t>由于本项目清粪工艺采用干清粪工艺，猪舍内产生的粪尿依靠重力进入缝隙地板下的</w:t>
      </w:r>
      <w:r>
        <w:rPr>
          <w:rFonts w:hint="eastAsia"/>
          <w:color w:val="auto"/>
          <w:lang w:val="en-US" w:eastAsia="zh-CN"/>
        </w:rPr>
        <w:t>集污</w:t>
      </w:r>
      <w:r>
        <w:rPr>
          <w:rFonts w:hint="eastAsia"/>
          <w:color w:val="auto"/>
        </w:rPr>
        <w:t>池，</w:t>
      </w:r>
      <w:r>
        <w:rPr>
          <w:rFonts w:hint="eastAsia"/>
          <w:color w:val="auto"/>
          <w:lang w:val="en-US" w:eastAsia="zh-CN"/>
        </w:rPr>
        <w:t>集污</w:t>
      </w:r>
      <w:r>
        <w:rPr>
          <w:rFonts w:hint="eastAsia"/>
          <w:color w:val="auto"/>
        </w:rPr>
        <w:t>池内粪尿通过刮板排出，立即进行固废分离，分离出的固体粪渣进行脱水及打包后暂存于</w:t>
      </w:r>
      <w:r>
        <w:rPr>
          <w:rFonts w:hint="eastAsia"/>
          <w:color w:val="auto"/>
          <w:lang w:val="en-US" w:eastAsia="zh-CN"/>
        </w:rPr>
        <w:t>干粪</w:t>
      </w:r>
      <w:r>
        <w:rPr>
          <w:rFonts w:hint="eastAsia"/>
          <w:color w:val="auto"/>
        </w:rPr>
        <w:t>堆场并及时</w:t>
      </w:r>
      <w:r>
        <w:rPr>
          <w:rFonts w:hint="eastAsia"/>
          <w:color w:val="auto"/>
          <w:lang w:val="en-US" w:eastAsia="zh-CN"/>
        </w:rPr>
        <w:t>清运</w:t>
      </w:r>
      <w:r>
        <w:rPr>
          <w:rFonts w:hint="eastAsia"/>
          <w:color w:val="auto"/>
        </w:rPr>
        <w:t>，做到日产日清，本项目恶臭主要产生于猪舍、干粪</w:t>
      </w:r>
      <w:r>
        <w:rPr>
          <w:rFonts w:hint="eastAsia"/>
          <w:color w:val="auto"/>
          <w:lang w:val="en-US" w:eastAsia="zh-CN"/>
        </w:rPr>
        <w:t>堆场</w:t>
      </w:r>
      <w:r>
        <w:rPr>
          <w:rFonts w:hint="eastAsia"/>
          <w:color w:val="auto"/>
        </w:rPr>
        <w:t>和污水处理区</w:t>
      </w:r>
      <w:r>
        <w:rPr>
          <w:rFonts w:hint="eastAsia"/>
          <w:color w:val="auto"/>
          <w:lang w:eastAsia="zh-CN"/>
        </w:rPr>
        <w:t>。</w:t>
      </w:r>
    </w:p>
    <w:p>
      <w:pPr>
        <w:ind w:firstLine="480"/>
        <w:rPr>
          <w:rFonts w:hint="eastAsia" w:eastAsia="宋体"/>
          <w:b/>
          <w:bCs/>
          <w:color w:val="auto"/>
          <w:lang w:eastAsia="zh-CN"/>
        </w:rPr>
      </w:pPr>
      <w:r>
        <w:rPr>
          <w:b/>
          <w:bCs/>
          <w:color w:val="auto"/>
        </w:rPr>
        <w:t>（1）猪舍</w:t>
      </w:r>
      <w:r>
        <w:rPr>
          <w:rFonts w:hint="eastAsia"/>
          <w:b/>
          <w:bCs/>
          <w:color w:val="auto"/>
          <w:lang w:eastAsia="zh-CN"/>
        </w:rPr>
        <w:t>、</w:t>
      </w:r>
      <w:r>
        <w:rPr>
          <w:rFonts w:hint="eastAsia"/>
          <w:b/>
          <w:bCs/>
          <w:color w:val="auto"/>
        </w:rPr>
        <w:t>干粪堆场</w:t>
      </w:r>
      <w:r>
        <w:rPr>
          <w:b/>
          <w:bCs/>
          <w:color w:val="auto"/>
        </w:rPr>
        <w:t>恶臭</w:t>
      </w:r>
    </w:p>
    <w:p>
      <w:pPr>
        <w:ind w:firstLine="482"/>
        <w:rPr>
          <w:color w:val="auto"/>
        </w:rPr>
      </w:pPr>
      <w:r>
        <w:rPr>
          <w:b/>
          <w:color w:val="auto"/>
        </w:rPr>
        <w:t>产生情况</w:t>
      </w:r>
      <w:r>
        <w:rPr>
          <w:rFonts w:hint="eastAsia"/>
          <w:color w:val="auto"/>
        </w:rPr>
        <w:t>：</w:t>
      </w:r>
    </w:p>
    <w:p>
      <w:pPr>
        <w:ind w:firstLine="480"/>
        <w:rPr>
          <w:rFonts w:hint="eastAsia"/>
          <w:color w:val="auto"/>
        </w:rPr>
      </w:pPr>
      <w:r>
        <w:rPr>
          <w:rFonts w:hint="eastAsia"/>
          <w:color w:val="auto"/>
        </w:rPr>
        <w:t xml:space="preserve">1）动物本身：包括猪只皮脂腺和汗腺的分泌物、猪只体外激素、黏附在体表的污物、呼出气中的 CO </w:t>
      </w:r>
      <w:r>
        <w:rPr>
          <w:rFonts w:hint="eastAsia"/>
          <w:color w:val="auto"/>
          <w:vertAlign w:val="subscript"/>
        </w:rPr>
        <w:t>2</w:t>
      </w:r>
      <w:r>
        <w:rPr>
          <w:rFonts w:hint="eastAsia"/>
          <w:color w:val="auto"/>
        </w:rPr>
        <w:t xml:space="preserve"> （含量比大气约高 100 倍）等都会散发出难闻的气味等。</w:t>
      </w:r>
    </w:p>
    <w:p>
      <w:pPr>
        <w:ind w:firstLine="480"/>
        <w:rPr>
          <w:rFonts w:hint="eastAsia"/>
          <w:color w:val="auto"/>
        </w:rPr>
      </w:pPr>
      <w:r>
        <w:rPr>
          <w:rFonts w:hint="eastAsia"/>
          <w:color w:val="auto"/>
        </w:rPr>
        <w:t>2）饲料：饲料中纤维分解时产生的甲烷、饲料在猪只消化道内经过各种消化酶、肠道细菌的作用，会产生吲哚、粪臭素、硫化氢等使粪有臭味的气体。</w:t>
      </w:r>
    </w:p>
    <w:p>
      <w:pPr>
        <w:ind w:firstLine="480"/>
        <w:rPr>
          <w:rFonts w:hint="eastAsia"/>
          <w:color w:val="auto"/>
        </w:rPr>
      </w:pPr>
      <w:r>
        <w:rPr>
          <w:rFonts w:hint="eastAsia"/>
          <w:color w:val="auto"/>
        </w:rPr>
        <w:t>3）粪尿的臭味：猪舍中刚排泄出的粪尿中有氨、硫化氢、胺等有害气体，进而产生甲硫醇、多胺、脂肪酸、吲哚等，在高温季节尤为明显；此外，粪尿在猪舍地下的堆粪池内停留，形成厌氧发酵，产生大量的有害气体，如 NH</w:t>
      </w:r>
      <w:r>
        <w:rPr>
          <w:rFonts w:hint="eastAsia"/>
          <w:color w:val="auto"/>
          <w:vertAlign w:val="subscript"/>
        </w:rPr>
        <w:t>3</w:t>
      </w:r>
      <w:r>
        <w:rPr>
          <w:rFonts w:hint="eastAsia"/>
          <w:color w:val="auto"/>
        </w:rPr>
        <w:t xml:space="preserve"> 、H</w:t>
      </w:r>
      <w:r>
        <w:rPr>
          <w:rFonts w:hint="eastAsia"/>
          <w:color w:val="auto"/>
          <w:vertAlign w:val="subscript"/>
        </w:rPr>
        <w:t>2</w:t>
      </w:r>
      <w:r>
        <w:rPr>
          <w:rFonts w:hint="eastAsia"/>
          <w:color w:val="auto"/>
        </w:rPr>
        <w:t>S、CH</w:t>
      </w:r>
      <w:r>
        <w:rPr>
          <w:rFonts w:hint="eastAsia"/>
          <w:color w:val="auto"/>
          <w:vertAlign w:val="subscript"/>
        </w:rPr>
        <w:t xml:space="preserve"> 4</w:t>
      </w:r>
      <w:r>
        <w:rPr>
          <w:rFonts w:hint="eastAsia"/>
          <w:color w:val="auto"/>
        </w:rPr>
        <w:t xml:space="preserve"> 等恶化室内空气环境。</w:t>
      </w:r>
    </w:p>
    <w:p>
      <w:pPr>
        <w:ind w:firstLine="480"/>
        <w:rPr>
          <w:rFonts w:hint="eastAsia"/>
          <w:color w:val="auto"/>
        </w:rPr>
      </w:pPr>
      <w:r>
        <w:rPr>
          <w:rFonts w:hint="eastAsia"/>
          <w:color w:val="auto"/>
        </w:rPr>
        <w:t>4）粪便暂存：项目内不进行粪便堆肥，产生的粪便干湿分离后打包后送至干粪</w:t>
      </w:r>
      <w:r>
        <w:rPr>
          <w:rFonts w:hint="eastAsia"/>
          <w:color w:val="auto"/>
          <w:lang w:val="en-US" w:eastAsia="zh-CN"/>
        </w:rPr>
        <w:t>堆场</w:t>
      </w:r>
      <w:r>
        <w:rPr>
          <w:rFonts w:hint="eastAsia"/>
          <w:color w:val="auto"/>
        </w:rPr>
        <w:t>（日产日清），外运用作有机肥生产原料，干粪</w:t>
      </w:r>
      <w:r>
        <w:rPr>
          <w:rFonts w:hint="eastAsia"/>
          <w:color w:val="auto"/>
          <w:lang w:val="en-US" w:eastAsia="zh-CN"/>
        </w:rPr>
        <w:t>堆场</w:t>
      </w:r>
      <w:r>
        <w:rPr>
          <w:rFonts w:hint="eastAsia"/>
          <w:color w:val="auto"/>
        </w:rPr>
        <w:t>会散发出恶臭气体。</w:t>
      </w:r>
    </w:p>
    <w:p>
      <w:pPr>
        <w:ind w:firstLine="480"/>
        <w:rPr>
          <w:rFonts w:hint="eastAsia"/>
          <w:color w:val="auto"/>
        </w:rPr>
      </w:pPr>
      <w:r>
        <w:rPr>
          <w:rFonts w:hint="eastAsia"/>
          <w:color w:val="auto"/>
        </w:rPr>
        <w:t>根据《畜禽养殖排污系数表》可知，每吨猪尿含氮量约为3.3kg，项目猪尿</w:t>
      </w:r>
      <w:r>
        <w:rPr>
          <w:rFonts w:hint="eastAsia"/>
          <w:color w:val="auto"/>
          <w:lang w:val="en-US" w:eastAsia="zh-CN"/>
        </w:rPr>
        <w:t>排放量8316t/a，则猪尿</w:t>
      </w:r>
      <w:r>
        <w:rPr>
          <w:rFonts w:hint="eastAsia"/>
          <w:color w:val="auto"/>
        </w:rPr>
        <w:t>中含氮量为</w:t>
      </w:r>
      <w:r>
        <w:rPr>
          <w:rFonts w:hint="eastAsia"/>
          <w:color w:val="auto"/>
          <w:lang w:val="en-US" w:eastAsia="zh-CN"/>
        </w:rPr>
        <w:t>27.443</w:t>
      </w:r>
      <w:r>
        <w:rPr>
          <w:rFonts w:hint="eastAsia"/>
          <w:color w:val="auto"/>
        </w:rPr>
        <w:t>t/a；根据经验值，猪粪中总固体量约</w:t>
      </w:r>
      <w:r>
        <w:rPr>
          <w:color w:val="auto"/>
        </w:rPr>
        <w:t>23.25</w:t>
      </w:r>
      <w:r>
        <w:rPr>
          <w:rFonts w:hint="eastAsia"/>
          <w:color w:val="auto"/>
        </w:rPr>
        <w:t>%，其中含氮量0.6%，含硫量0.</w:t>
      </w:r>
      <w:r>
        <w:rPr>
          <w:color w:val="auto"/>
        </w:rPr>
        <w:t>2</w:t>
      </w:r>
      <w:r>
        <w:rPr>
          <w:rFonts w:hint="eastAsia"/>
          <w:color w:val="auto"/>
        </w:rPr>
        <w:t>%，本项目产生猪粪</w:t>
      </w:r>
      <w:r>
        <w:rPr>
          <w:rFonts w:hint="eastAsia"/>
          <w:color w:val="auto"/>
          <w:lang w:val="en-US" w:eastAsia="zh-CN"/>
        </w:rPr>
        <w:t>5040</w:t>
      </w:r>
      <w:r>
        <w:rPr>
          <w:rFonts w:hint="eastAsia"/>
          <w:color w:val="auto"/>
        </w:rPr>
        <w:t>t/a，则项目猪粪中含氮量为7.03</w:t>
      </w:r>
      <w:r>
        <w:rPr>
          <w:rFonts w:hint="eastAsia"/>
          <w:color w:val="auto"/>
          <w:lang w:val="en-US" w:eastAsia="zh-CN"/>
        </w:rPr>
        <w:t>1</w:t>
      </w:r>
      <w:r>
        <w:rPr>
          <w:rFonts w:hint="eastAsia"/>
          <w:color w:val="auto"/>
        </w:rPr>
        <w:t>t/a，含硫量2.34</w:t>
      </w:r>
      <w:r>
        <w:rPr>
          <w:rFonts w:hint="eastAsia"/>
          <w:color w:val="auto"/>
          <w:lang w:val="en-US" w:eastAsia="zh-CN"/>
        </w:rPr>
        <w:t>4</w:t>
      </w:r>
      <w:r>
        <w:rPr>
          <w:rFonts w:hint="eastAsia"/>
          <w:color w:val="auto"/>
        </w:rPr>
        <w:t>t/a。两者合计项目日排总氮量34.474t/a，总硫量2.34</w:t>
      </w:r>
      <w:r>
        <w:rPr>
          <w:rFonts w:hint="eastAsia"/>
          <w:color w:val="auto"/>
          <w:lang w:val="en-US" w:eastAsia="zh-CN"/>
        </w:rPr>
        <w:t>4</w:t>
      </w:r>
      <w:r>
        <w:rPr>
          <w:rFonts w:hint="eastAsia"/>
          <w:color w:val="auto"/>
        </w:rPr>
        <w:t>t/a。饲料选用合理、猪舍管理得当时预计项目总氮、总硫转化成NH</w:t>
      </w:r>
      <w:r>
        <w:rPr>
          <w:rFonts w:hint="eastAsia"/>
          <w:color w:val="auto"/>
          <w:vertAlign w:val="subscript"/>
        </w:rPr>
        <w:t>3</w:t>
      </w:r>
      <w:r>
        <w:rPr>
          <w:rFonts w:hint="eastAsia"/>
          <w:color w:val="auto"/>
        </w:rPr>
        <w:t>、H</w:t>
      </w:r>
      <w:r>
        <w:rPr>
          <w:rFonts w:hint="eastAsia"/>
          <w:color w:val="auto"/>
          <w:vertAlign w:val="subscript"/>
        </w:rPr>
        <w:t>2</w:t>
      </w:r>
      <w:r>
        <w:rPr>
          <w:rFonts w:hint="eastAsia"/>
          <w:color w:val="auto"/>
        </w:rPr>
        <w:t>S量可控制在5%左右，则相应NH</w:t>
      </w:r>
      <w:r>
        <w:rPr>
          <w:rFonts w:hint="eastAsia"/>
          <w:color w:val="auto"/>
          <w:vertAlign w:val="subscript"/>
        </w:rPr>
        <w:t>3</w:t>
      </w:r>
      <w:r>
        <w:rPr>
          <w:rFonts w:hint="eastAsia"/>
          <w:color w:val="auto"/>
        </w:rPr>
        <w:t>、H</w:t>
      </w:r>
      <w:r>
        <w:rPr>
          <w:rFonts w:hint="eastAsia"/>
          <w:color w:val="auto"/>
          <w:vertAlign w:val="subscript"/>
        </w:rPr>
        <w:t>2</w:t>
      </w:r>
      <w:r>
        <w:rPr>
          <w:rFonts w:hint="eastAsia"/>
          <w:color w:val="auto"/>
        </w:rPr>
        <w:t>S最大产生量分别为1.7237t/a、0.117</w:t>
      </w:r>
      <w:r>
        <w:rPr>
          <w:rFonts w:hint="eastAsia"/>
          <w:color w:val="auto"/>
          <w:lang w:val="en-US" w:eastAsia="zh-CN"/>
        </w:rPr>
        <w:t>2</w:t>
      </w:r>
      <w:r>
        <w:rPr>
          <w:rFonts w:hint="eastAsia"/>
          <w:color w:val="auto"/>
        </w:rPr>
        <w:t>t/a。</w:t>
      </w:r>
    </w:p>
    <w:p>
      <w:pPr>
        <w:ind w:firstLine="482"/>
        <w:rPr>
          <w:rFonts w:hint="eastAsia"/>
          <w:color w:val="auto"/>
          <w:lang w:val="en-US" w:eastAsia="zh-CN"/>
        </w:rPr>
      </w:pPr>
      <w:r>
        <w:rPr>
          <w:b/>
          <w:color w:val="auto"/>
        </w:rPr>
        <w:t>防治措施：</w:t>
      </w:r>
    </w:p>
    <w:p>
      <w:pPr>
        <w:rPr>
          <w:rFonts w:hint="eastAsia"/>
          <w:color w:val="auto"/>
          <w:lang w:val="en-US" w:eastAsia="zh-CN"/>
        </w:rPr>
      </w:pPr>
      <w:r>
        <w:rPr>
          <w:rFonts w:hint="eastAsia"/>
          <w:color w:val="auto"/>
          <w:lang w:val="en-US" w:eastAsia="zh-CN"/>
        </w:rPr>
        <w:t>①科学设计日粮，提高饲料利用率，合理使用饲料添加剂（EM 菌），并采用低</w:t>
      </w:r>
    </w:p>
    <w:p>
      <w:pPr>
        <w:ind w:left="0" w:leftChars="0" w:firstLine="0" w:firstLineChars="0"/>
        <w:rPr>
          <w:rFonts w:hint="eastAsia"/>
          <w:color w:val="auto"/>
          <w:lang w:val="en-US" w:eastAsia="zh-CN"/>
        </w:rPr>
      </w:pPr>
      <w:r>
        <w:rPr>
          <w:rFonts w:hint="eastAsia"/>
          <w:color w:val="auto"/>
          <w:lang w:val="en-US" w:eastAsia="zh-CN"/>
        </w:rPr>
        <w:t>氮饲料喂养；</w:t>
      </w:r>
    </w:p>
    <w:p>
      <w:pPr>
        <w:rPr>
          <w:rFonts w:hint="eastAsia"/>
          <w:color w:val="auto"/>
          <w:lang w:val="en-US" w:eastAsia="zh-CN"/>
        </w:rPr>
      </w:pPr>
      <w:r>
        <w:rPr>
          <w:rFonts w:hint="eastAsia"/>
          <w:color w:val="auto"/>
          <w:lang w:val="en-US" w:eastAsia="zh-CN"/>
        </w:rPr>
        <w:t>②项目污水收集管道采用地埋式，不得采用明沟布设，减少恶臭气体的无组织排</w:t>
      </w:r>
    </w:p>
    <w:p>
      <w:pPr>
        <w:ind w:left="0" w:leftChars="0" w:firstLine="0" w:firstLineChars="0"/>
        <w:rPr>
          <w:rFonts w:hint="eastAsia"/>
          <w:color w:val="auto"/>
          <w:lang w:val="en-US" w:eastAsia="zh-CN"/>
        </w:rPr>
      </w:pPr>
      <w:r>
        <w:rPr>
          <w:rFonts w:hint="eastAsia"/>
          <w:color w:val="auto"/>
          <w:lang w:val="en-US" w:eastAsia="zh-CN"/>
        </w:rPr>
        <w:t>放；</w:t>
      </w:r>
    </w:p>
    <w:p>
      <w:pPr>
        <w:rPr>
          <w:rFonts w:hint="eastAsia"/>
          <w:color w:val="auto"/>
          <w:lang w:val="en-US" w:eastAsia="zh-CN"/>
        </w:rPr>
      </w:pPr>
      <w:r>
        <w:rPr>
          <w:rFonts w:hint="eastAsia"/>
          <w:color w:val="auto"/>
          <w:lang w:val="en-US" w:eastAsia="zh-CN"/>
        </w:rPr>
        <w:t>③猪舍为密闭结构，采用漏缝板干清粪工艺，猪粪日产日清，猪舍采用机械通风</w:t>
      </w:r>
    </w:p>
    <w:p>
      <w:pPr>
        <w:ind w:left="0" w:leftChars="0" w:firstLine="0" w:firstLineChars="0"/>
        <w:rPr>
          <w:rFonts w:hint="eastAsia"/>
          <w:color w:val="auto"/>
          <w:lang w:val="en-US" w:eastAsia="zh-CN"/>
        </w:rPr>
      </w:pPr>
      <w:r>
        <w:rPr>
          <w:rFonts w:hint="eastAsia"/>
          <w:color w:val="auto"/>
          <w:lang w:val="en-US" w:eastAsia="zh-CN"/>
        </w:rPr>
        <w:t>和水量调温，保持圈舍内良好的通风条件和温度，减少厌氧条件下恶臭的产生；</w:t>
      </w:r>
    </w:p>
    <w:p>
      <w:pPr>
        <w:rPr>
          <w:rFonts w:hint="eastAsia"/>
          <w:color w:val="auto"/>
          <w:lang w:val="en-US" w:eastAsia="zh-CN"/>
        </w:rPr>
      </w:pPr>
      <w:r>
        <w:rPr>
          <w:rFonts w:hint="eastAsia"/>
          <w:color w:val="auto"/>
          <w:lang w:val="en-US" w:eastAsia="zh-CN"/>
        </w:rPr>
        <w:t>④加强养殖场消毒卫生管理，加强废水收集、处理设施管理；</w:t>
      </w:r>
    </w:p>
    <w:p>
      <w:pPr>
        <w:rPr>
          <w:rFonts w:hint="eastAsia"/>
          <w:color w:val="auto"/>
          <w:lang w:val="en-US" w:eastAsia="zh-CN"/>
        </w:rPr>
      </w:pPr>
      <w:r>
        <w:rPr>
          <w:rFonts w:hint="eastAsia"/>
          <w:color w:val="auto"/>
          <w:lang w:val="en-US" w:eastAsia="zh-CN"/>
        </w:rPr>
        <w:t>⑤养殖场产生的干粪日产日清，经固液分离后暂存至干粪堆场，定期外运至有机肥生产单位；</w:t>
      </w:r>
    </w:p>
    <w:p>
      <w:pPr>
        <w:rPr>
          <w:rFonts w:hint="eastAsia"/>
          <w:color w:val="auto"/>
          <w:lang w:val="en-US" w:eastAsia="zh-CN"/>
        </w:rPr>
      </w:pPr>
      <w:r>
        <w:rPr>
          <w:rFonts w:hint="eastAsia"/>
          <w:color w:val="auto"/>
          <w:lang w:val="en-US" w:eastAsia="zh-CN"/>
        </w:rPr>
        <w:t>⑥对养殖区、干粪堆场、污水处理区喷洒除臭剂（</w:t>
      </w:r>
      <w:r>
        <w:rPr>
          <w:rFonts w:hint="eastAsia"/>
          <w:color w:val="auto"/>
        </w:rPr>
        <w:t>万洁芬</w:t>
      </w:r>
      <w:r>
        <w:rPr>
          <w:rFonts w:hint="eastAsia"/>
          <w:color w:val="auto"/>
          <w:lang w:val="en-US" w:eastAsia="zh-CN"/>
        </w:rPr>
        <w:t>等）、种植绿化等措施，减少恶臭气体的排放；夏季在产生臭气污染源处投放吸附剂（沸石、锯末、膨润土、蛭石），除臭剂等减少恶臭污染。</w:t>
      </w:r>
    </w:p>
    <w:p>
      <w:pPr>
        <w:rPr>
          <w:rFonts w:hint="eastAsia"/>
          <w:color w:val="auto"/>
          <w:lang w:val="en-US" w:eastAsia="zh-CN"/>
        </w:rPr>
      </w:pPr>
      <w:r>
        <w:rPr>
          <w:rFonts w:hint="eastAsia"/>
          <w:color w:val="auto"/>
          <w:lang w:val="en-US" w:eastAsia="zh-CN"/>
        </w:rPr>
        <w:t>⑦设置卫生防护距离：以猪舍、干粪堆场、污水处理设施的边界为中心，设立 100m的卫生防护距离。根据现场调查，本项目卫生防护距离内无学校、居民等恶臭环境敏感点。</w:t>
      </w:r>
    </w:p>
    <w:p>
      <w:pPr>
        <w:ind w:firstLine="480"/>
        <w:rPr>
          <w:rFonts w:hint="eastAsia"/>
          <w:color w:val="auto"/>
        </w:rPr>
      </w:pPr>
      <w:r>
        <w:rPr>
          <w:color w:val="auto"/>
        </w:rPr>
        <w:t>根据《规模畜禽养殖场污染防治最佳可行技术指南（实行）》，</w:t>
      </w:r>
      <w:r>
        <w:rPr>
          <w:rFonts w:hint="eastAsia"/>
          <w:color w:val="auto"/>
        </w:rPr>
        <w:t>采用培育优良品种、科学饲养、科学配料、使用无公害绿色添加剂等措施，可有效降低畜禽排泄物中氮的含量及恶臭气体的排放。根据《活菌制剂改进猪氮转化和减少猪舍氨气的研究》（家畜生态，2</w:t>
      </w:r>
      <w:r>
        <w:rPr>
          <w:color w:val="auto"/>
        </w:rPr>
        <w:t>002</w:t>
      </w:r>
      <w:r>
        <w:rPr>
          <w:rFonts w:hint="eastAsia"/>
          <w:color w:val="auto"/>
        </w:rPr>
        <w:t>，第2</w:t>
      </w:r>
      <w:r>
        <w:rPr>
          <w:color w:val="auto"/>
        </w:rPr>
        <w:t>3卷第</w:t>
      </w:r>
      <w:r>
        <w:rPr>
          <w:rFonts w:hint="eastAsia"/>
          <w:color w:val="auto"/>
        </w:rPr>
        <w:t>2期，廖新俤等），通过在饲料中添加活菌剂，可使猪舍中臭气含量下降40.28%-56.46%。根据《微生物除臭剂研究进展》（现代化农业，2011年，第6期（总第383期），赵晓锋、隋文志）的资料：利用生长在滤料上的除臭微生物，可有效的对硫化氢、氨气等恶臭物进行降解，经国家环境分析测试中心和陕西环境监测中心测试，万洁芬生物除臭剂对NH</w:t>
      </w:r>
      <w:r>
        <w:rPr>
          <w:rFonts w:hint="eastAsia"/>
          <w:color w:val="auto"/>
          <w:vertAlign w:val="subscript"/>
        </w:rPr>
        <w:t>3</w:t>
      </w:r>
      <w:r>
        <w:rPr>
          <w:rFonts w:hint="eastAsia"/>
          <w:color w:val="auto"/>
        </w:rPr>
        <w:t>和H</w:t>
      </w:r>
      <w:r>
        <w:rPr>
          <w:rFonts w:hint="eastAsia"/>
          <w:color w:val="auto"/>
          <w:vertAlign w:val="subscript"/>
        </w:rPr>
        <w:t>2</w:t>
      </w:r>
      <w:r>
        <w:rPr>
          <w:rFonts w:hint="eastAsia"/>
          <w:color w:val="auto"/>
        </w:rPr>
        <w:t>S的降解率分别为92.6%和89%。</w:t>
      </w:r>
    </w:p>
    <w:p>
      <w:pPr>
        <w:ind w:firstLine="480"/>
        <w:rPr>
          <w:rFonts w:hint="eastAsia"/>
          <w:b/>
          <w:bCs/>
          <w:color w:val="auto"/>
          <w:lang w:val="en-US" w:eastAsia="zh-CN"/>
        </w:rPr>
      </w:pPr>
      <w:r>
        <w:rPr>
          <w:rFonts w:hint="eastAsia"/>
          <w:b/>
          <w:bCs/>
          <w:color w:val="auto"/>
          <w:lang w:val="en-US" w:eastAsia="zh-CN"/>
        </w:rPr>
        <w:t>排放情况</w:t>
      </w:r>
    </w:p>
    <w:p>
      <w:pPr>
        <w:ind w:firstLine="480"/>
        <w:rPr>
          <w:rFonts w:hint="eastAsia" w:eastAsia="宋体"/>
          <w:color w:val="auto"/>
          <w:lang w:eastAsia="zh-CN"/>
        </w:rPr>
      </w:pPr>
      <w:r>
        <w:rPr>
          <w:rFonts w:hint="eastAsia"/>
          <w:color w:val="auto"/>
        </w:rPr>
        <w:t>采取上述措施，可使恶臭下降90%以上</w:t>
      </w:r>
      <w:r>
        <w:rPr>
          <w:rFonts w:hint="eastAsia"/>
          <w:color w:val="auto"/>
          <w:lang w:eastAsia="zh-CN"/>
        </w:rPr>
        <w:t>。</w:t>
      </w:r>
    </w:p>
    <w:p>
      <w:pPr>
        <w:pStyle w:val="166"/>
        <w:spacing w:before="0" w:beforeLines="0"/>
        <w:ind w:firstLine="482"/>
        <w:rPr>
          <w:rFonts w:hint="eastAsia"/>
          <w:color w:val="auto"/>
        </w:rPr>
      </w:pPr>
      <w:r>
        <w:rPr>
          <w:rFonts w:hint="eastAsia"/>
          <w:color w:val="auto"/>
        </w:rPr>
        <w:t>表3.</w:t>
      </w:r>
      <w:r>
        <w:rPr>
          <w:rFonts w:hint="eastAsia"/>
          <w:color w:val="auto"/>
          <w:lang w:val="en-US" w:eastAsia="zh-CN"/>
        </w:rPr>
        <w:t>6</w:t>
      </w:r>
      <w:r>
        <w:rPr>
          <w:rFonts w:hint="eastAsia"/>
          <w:color w:val="auto"/>
        </w:rPr>
        <w:t>-1</w:t>
      </w:r>
      <w:r>
        <w:rPr>
          <w:rFonts w:hint="eastAsia"/>
          <w:color w:val="auto"/>
          <w:lang w:val="en-US" w:eastAsia="zh-CN"/>
        </w:rPr>
        <w:t xml:space="preserve">0 </w:t>
      </w:r>
      <w:r>
        <w:rPr>
          <w:rFonts w:hint="eastAsia"/>
          <w:color w:val="auto"/>
        </w:rPr>
        <w:t>猪舍</w:t>
      </w:r>
      <w:r>
        <w:rPr>
          <w:rFonts w:hint="eastAsia"/>
          <w:color w:val="auto"/>
          <w:lang w:eastAsia="zh-CN"/>
        </w:rPr>
        <w:t>、</w:t>
      </w:r>
      <w:r>
        <w:rPr>
          <w:rFonts w:hint="eastAsia"/>
          <w:color w:val="auto"/>
          <w:lang w:val="en-US" w:eastAsia="zh-CN"/>
        </w:rPr>
        <w:t>干粪堆场</w:t>
      </w:r>
      <w:r>
        <w:rPr>
          <w:rFonts w:hint="eastAsia"/>
          <w:color w:val="auto"/>
        </w:rPr>
        <w:t>恶臭产生及排放情况一览表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2"/>
        <w:gridCol w:w="850"/>
        <w:gridCol w:w="3403"/>
        <w:gridCol w:w="1275"/>
        <w:gridCol w:w="873"/>
        <w:gridCol w:w="9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4" w:hRule="atLeast"/>
          <w:jc w:val="center"/>
        </w:trPr>
        <w:tc>
          <w:tcPr>
            <w:tcW w:w="817" w:type="dxa"/>
            <w:vMerge w:val="restart"/>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污染物</w:t>
            </w:r>
          </w:p>
        </w:tc>
        <w:tc>
          <w:tcPr>
            <w:tcW w:w="1702" w:type="dxa"/>
            <w:gridSpan w:val="2"/>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无措施污染物产生量</w:t>
            </w:r>
          </w:p>
        </w:tc>
        <w:tc>
          <w:tcPr>
            <w:tcW w:w="3403" w:type="dxa"/>
            <w:vMerge w:val="restart"/>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采取措施</w:t>
            </w:r>
          </w:p>
        </w:tc>
        <w:tc>
          <w:tcPr>
            <w:tcW w:w="1275" w:type="dxa"/>
            <w:vMerge w:val="restart"/>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臭气去除效率（%）</w:t>
            </w:r>
          </w:p>
        </w:tc>
        <w:tc>
          <w:tcPr>
            <w:tcW w:w="1806" w:type="dxa"/>
            <w:gridSpan w:val="2"/>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臭气排放量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3" w:hRule="atLeast"/>
          <w:jc w:val="center"/>
        </w:trPr>
        <w:tc>
          <w:tcPr>
            <w:tcW w:w="817" w:type="dxa"/>
            <w:vMerge w:val="continue"/>
            <w:noWrap w:val="0"/>
            <w:vAlign w:val="center"/>
          </w:tcPr>
          <w:p>
            <w:pPr>
              <w:pStyle w:val="297"/>
              <w:jc w:val="center"/>
              <w:rPr>
                <w:rFonts w:hint="eastAsia" w:eastAsia="宋体"/>
                <w:b/>
                <w:bCs/>
                <w:color w:val="auto"/>
                <w:sz w:val="21"/>
                <w:szCs w:val="21"/>
              </w:rPr>
            </w:pPr>
          </w:p>
        </w:tc>
        <w:tc>
          <w:tcPr>
            <w:tcW w:w="852" w:type="dxa"/>
            <w:noWrap w:val="0"/>
            <w:vAlign w:val="center"/>
          </w:tcPr>
          <w:p>
            <w:pPr>
              <w:pStyle w:val="297"/>
              <w:jc w:val="center"/>
              <w:rPr>
                <w:rFonts w:hint="eastAsia" w:eastAsia="宋体"/>
                <w:b/>
                <w:bCs/>
                <w:color w:val="auto"/>
                <w:sz w:val="21"/>
                <w:szCs w:val="21"/>
              </w:rPr>
            </w:pPr>
            <w:r>
              <w:rPr>
                <w:rFonts w:eastAsia="宋体"/>
                <w:b/>
                <w:bCs/>
                <w:color w:val="auto"/>
                <w:sz w:val="21"/>
                <w:szCs w:val="21"/>
              </w:rPr>
              <w:t>kg</w:t>
            </w:r>
            <w:r>
              <w:rPr>
                <w:rFonts w:hint="eastAsia" w:eastAsia="宋体"/>
                <w:b/>
                <w:bCs/>
                <w:color w:val="auto"/>
                <w:sz w:val="21"/>
                <w:szCs w:val="21"/>
              </w:rPr>
              <w:t>/h</w:t>
            </w:r>
          </w:p>
        </w:tc>
        <w:tc>
          <w:tcPr>
            <w:tcW w:w="850" w:type="dxa"/>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t/a</w:t>
            </w:r>
          </w:p>
        </w:tc>
        <w:tc>
          <w:tcPr>
            <w:tcW w:w="3403" w:type="dxa"/>
            <w:vMerge w:val="continue"/>
            <w:noWrap w:val="0"/>
            <w:vAlign w:val="center"/>
          </w:tcPr>
          <w:p>
            <w:pPr>
              <w:pStyle w:val="297"/>
              <w:jc w:val="center"/>
              <w:rPr>
                <w:rFonts w:hint="eastAsia" w:eastAsia="宋体"/>
                <w:b/>
                <w:bCs/>
                <w:color w:val="auto"/>
                <w:sz w:val="21"/>
                <w:szCs w:val="21"/>
              </w:rPr>
            </w:pPr>
          </w:p>
        </w:tc>
        <w:tc>
          <w:tcPr>
            <w:tcW w:w="1275" w:type="dxa"/>
            <w:vMerge w:val="continue"/>
            <w:noWrap w:val="0"/>
            <w:vAlign w:val="center"/>
          </w:tcPr>
          <w:p>
            <w:pPr>
              <w:pStyle w:val="297"/>
              <w:jc w:val="center"/>
              <w:rPr>
                <w:rFonts w:hint="eastAsia" w:eastAsia="宋体"/>
                <w:b/>
                <w:bCs/>
                <w:color w:val="auto"/>
                <w:sz w:val="21"/>
                <w:szCs w:val="21"/>
              </w:rPr>
            </w:pPr>
          </w:p>
        </w:tc>
        <w:tc>
          <w:tcPr>
            <w:tcW w:w="873" w:type="dxa"/>
            <w:noWrap w:val="0"/>
            <w:vAlign w:val="center"/>
          </w:tcPr>
          <w:p>
            <w:pPr>
              <w:pStyle w:val="297"/>
              <w:jc w:val="center"/>
              <w:rPr>
                <w:rFonts w:hint="eastAsia" w:eastAsia="宋体"/>
                <w:b/>
                <w:bCs/>
                <w:color w:val="auto"/>
                <w:sz w:val="21"/>
                <w:szCs w:val="21"/>
              </w:rPr>
            </w:pPr>
            <w:r>
              <w:rPr>
                <w:rFonts w:eastAsia="宋体"/>
                <w:b/>
                <w:bCs/>
                <w:color w:val="auto"/>
                <w:sz w:val="21"/>
                <w:szCs w:val="21"/>
              </w:rPr>
              <w:t>kg</w:t>
            </w:r>
            <w:r>
              <w:rPr>
                <w:rFonts w:hint="eastAsia" w:eastAsia="宋体"/>
                <w:b/>
                <w:bCs/>
                <w:color w:val="auto"/>
                <w:sz w:val="21"/>
                <w:szCs w:val="21"/>
              </w:rPr>
              <w:t>/h</w:t>
            </w:r>
          </w:p>
        </w:tc>
        <w:tc>
          <w:tcPr>
            <w:tcW w:w="933" w:type="dxa"/>
            <w:noWrap w:val="0"/>
            <w:vAlign w:val="center"/>
          </w:tcPr>
          <w:p>
            <w:pPr>
              <w:pStyle w:val="297"/>
              <w:jc w:val="center"/>
              <w:rPr>
                <w:rFonts w:hint="eastAsia" w:eastAsia="宋体"/>
                <w:b/>
                <w:bCs/>
                <w:color w:val="auto"/>
                <w:sz w:val="21"/>
                <w:szCs w:val="21"/>
              </w:rPr>
            </w:pPr>
            <w:r>
              <w:rPr>
                <w:rFonts w:hint="eastAsia" w:eastAsia="宋体"/>
                <w:b/>
                <w:bCs/>
                <w:color w:val="auto"/>
                <w:sz w:val="21"/>
                <w:szCs w:val="21"/>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3" w:hRule="atLeast"/>
          <w:jc w:val="center"/>
        </w:trPr>
        <w:tc>
          <w:tcPr>
            <w:tcW w:w="817" w:type="dxa"/>
            <w:noWrap w:val="0"/>
            <w:vAlign w:val="center"/>
          </w:tcPr>
          <w:p>
            <w:pPr>
              <w:pStyle w:val="297"/>
              <w:jc w:val="center"/>
              <w:rPr>
                <w:rFonts w:hint="eastAsia" w:eastAsia="宋体"/>
                <w:color w:val="auto"/>
                <w:sz w:val="21"/>
                <w:szCs w:val="21"/>
              </w:rPr>
            </w:pPr>
            <w:r>
              <w:rPr>
                <w:rFonts w:hint="eastAsia" w:eastAsia="宋体"/>
                <w:color w:val="auto"/>
                <w:sz w:val="21"/>
                <w:szCs w:val="21"/>
              </w:rPr>
              <w:t>NH</w:t>
            </w:r>
            <w:r>
              <w:rPr>
                <w:rFonts w:hint="eastAsia" w:eastAsia="宋体"/>
                <w:color w:val="auto"/>
                <w:sz w:val="21"/>
                <w:szCs w:val="21"/>
                <w:vertAlign w:val="subscript"/>
              </w:rPr>
              <w:t>3</w:t>
            </w:r>
          </w:p>
        </w:tc>
        <w:tc>
          <w:tcPr>
            <w:tcW w:w="852" w:type="dxa"/>
            <w:noWrap w:val="0"/>
            <w:vAlign w:val="center"/>
          </w:tcPr>
          <w:p>
            <w:pPr>
              <w:pStyle w:val="297"/>
              <w:jc w:val="center"/>
              <w:rPr>
                <w:rFonts w:hint="default" w:eastAsia="等线"/>
                <w:color w:val="auto"/>
                <w:sz w:val="21"/>
                <w:szCs w:val="21"/>
                <w:lang w:val="en-US" w:eastAsia="zh-CN"/>
              </w:rPr>
            </w:pPr>
            <w:r>
              <w:rPr>
                <w:rFonts w:hint="eastAsia" w:eastAsia="等线"/>
                <w:color w:val="auto"/>
                <w:sz w:val="21"/>
                <w:szCs w:val="21"/>
                <w:lang w:val="en-US" w:eastAsia="zh-CN"/>
              </w:rPr>
              <w:t>0.1995</w:t>
            </w:r>
          </w:p>
        </w:tc>
        <w:tc>
          <w:tcPr>
            <w:tcW w:w="850" w:type="dxa"/>
            <w:noWrap w:val="0"/>
            <w:vAlign w:val="center"/>
          </w:tcPr>
          <w:p>
            <w:pPr>
              <w:pStyle w:val="297"/>
              <w:jc w:val="center"/>
              <w:rPr>
                <w:rFonts w:hint="eastAsia" w:eastAsia="宋体"/>
                <w:color w:val="auto"/>
                <w:sz w:val="21"/>
                <w:szCs w:val="21"/>
              </w:rPr>
            </w:pPr>
            <w:r>
              <w:rPr>
                <w:rFonts w:hint="eastAsia"/>
                <w:color w:val="auto"/>
                <w:sz w:val="21"/>
                <w:szCs w:val="21"/>
              </w:rPr>
              <w:t>1.7237</w:t>
            </w:r>
          </w:p>
        </w:tc>
        <w:tc>
          <w:tcPr>
            <w:tcW w:w="3403" w:type="dxa"/>
            <w:vMerge w:val="restart"/>
            <w:noWrap w:val="0"/>
            <w:vAlign w:val="center"/>
          </w:tcPr>
          <w:p>
            <w:pPr>
              <w:pStyle w:val="297"/>
              <w:jc w:val="center"/>
              <w:rPr>
                <w:rFonts w:hint="eastAsia" w:eastAsia="宋体"/>
                <w:color w:val="auto"/>
                <w:sz w:val="21"/>
                <w:szCs w:val="21"/>
              </w:rPr>
            </w:pPr>
            <w:r>
              <w:rPr>
                <w:rFonts w:hint="eastAsia" w:eastAsia="宋体"/>
                <w:color w:val="auto"/>
                <w:sz w:val="21"/>
                <w:szCs w:val="21"/>
                <w:lang w:val="en-US" w:eastAsia="zh-CN"/>
              </w:rPr>
              <w:t>科学设计日粮，</w:t>
            </w:r>
            <w:r>
              <w:rPr>
                <w:rFonts w:hint="eastAsia" w:eastAsia="宋体"/>
                <w:color w:val="auto"/>
                <w:sz w:val="21"/>
                <w:szCs w:val="21"/>
              </w:rPr>
              <w:t>选用益生菌配方饲料</w:t>
            </w:r>
            <w:r>
              <w:rPr>
                <w:rFonts w:hint="eastAsia" w:eastAsia="宋体"/>
                <w:color w:val="auto"/>
                <w:sz w:val="21"/>
                <w:szCs w:val="21"/>
                <w:lang w:eastAsia="zh-CN"/>
              </w:rPr>
              <w:t>；</w:t>
            </w:r>
            <w:r>
              <w:rPr>
                <w:rFonts w:hint="eastAsia" w:eastAsia="宋体"/>
                <w:color w:val="auto"/>
                <w:sz w:val="21"/>
                <w:szCs w:val="21"/>
                <w:lang w:val="en-US" w:eastAsia="zh-CN"/>
              </w:rPr>
              <w:t>采用干清粪工艺，</w:t>
            </w:r>
            <w:r>
              <w:rPr>
                <w:rFonts w:hint="eastAsia" w:eastAsia="宋体"/>
                <w:color w:val="auto"/>
                <w:sz w:val="21"/>
                <w:szCs w:val="21"/>
                <w:lang w:eastAsia="zh-CN"/>
              </w:rPr>
              <w:t>猪舍、</w:t>
            </w:r>
            <w:r>
              <w:rPr>
                <w:rFonts w:hint="eastAsia" w:eastAsia="宋体"/>
                <w:color w:val="auto"/>
                <w:sz w:val="21"/>
                <w:szCs w:val="21"/>
                <w:lang w:val="en-US" w:eastAsia="zh-CN"/>
              </w:rPr>
              <w:t>干粪堆场及时清运粪污并喷洒除臭剂；加强绿化；污水管道地埋式；猪舍密闭，安装负压通风机，加强舍内通风；保持圈舍清洁卫生；以猪舍、干粪堆场为边界设置 100m 的卫生防护距离</w:t>
            </w:r>
          </w:p>
        </w:tc>
        <w:tc>
          <w:tcPr>
            <w:tcW w:w="1275" w:type="dxa"/>
            <w:noWrap w:val="0"/>
            <w:vAlign w:val="center"/>
          </w:tcPr>
          <w:p>
            <w:pPr>
              <w:pStyle w:val="297"/>
              <w:jc w:val="center"/>
              <w:rPr>
                <w:rFonts w:hint="eastAsia" w:eastAsia="宋体"/>
                <w:color w:val="auto"/>
                <w:sz w:val="21"/>
                <w:szCs w:val="21"/>
              </w:rPr>
            </w:pPr>
            <w:r>
              <w:rPr>
                <w:rFonts w:hint="eastAsia" w:eastAsia="宋体"/>
                <w:color w:val="auto"/>
                <w:sz w:val="21"/>
                <w:szCs w:val="21"/>
              </w:rPr>
              <w:t>9</w:t>
            </w:r>
            <w:r>
              <w:rPr>
                <w:rFonts w:eastAsia="宋体"/>
                <w:color w:val="auto"/>
                <w:sz w:val="21"/>
                <w:szCs w:val="21"/>
              </w:rPr>
              <w:t>0</w:t>
            </w:r>
          </w:p>
        </w:tc>
        <w:tc>
          <w:tcPr>
            <w:tcW w:w="873" w:type="dxa"/>
            <w:noWrap w:val="0"/>
            <w:vAlign w:val="center"/>
          </w:tcPr>
          <w:p>
            <w:pPr>
              <w:pStyle w:val="297"/>
              <w:jc w:val="center"/>
              <w:rPr>
                <w:rFonts w:hint="default" w:eastAsia="等线"/>
                <w:color w:val="auto"/>
                <w:sz w:val="21"/>
                <w:szCs w:val="21"/>
                <w:lang w:val="en-US"/>
              </w:rPr>
            </w:pPr>
            <w:r>
              <w:rPr>
                <w:rFonts w:hint="eastAsia" w:eastAsia="等线"/>
                <w:color w:val="auto"/>
                <w:sz w:val="21"/>
                <w:szCs w:val="21"/>
                <w:lang w:val="en-US" w:eastAsia="zh-CN"/>
              </w:rPr>
              <w:t>0.0200</w:t>
            </w:r>
          </w:p>
        </w:tc>
        <w:tc>
          <w:tcPr>
            <w:tcW w:w="933" w:type="dxa"/>
            <w:noWrap w:val="0"/>
            <w:vAlign w:val="center"/>
          </w:tcPr>
          <w:p>
            <w:pPr>
              <w:pStyle w:val="297"/>
              <w:jc w:val="center"/>
              <w:rPr>
                <w:rFonts w:hint="eastAsia" w:eastAsia="黑体"/>
                <w:color w:val="auto"/>
                <w:sz w:val="21"/>
                <w:szCs w:val="21"/>
                <w:lang w:eastAsia="zh-CN"/>
              </w:rPr>
            </w:pPr>
            <w:r>
              <w:rPr>
                <w:rFonts w:hint="eastAsia"/>
                <w:color w:val="auto"/>
                <w:sz w:val="21"/>
                <w:szCs w:val="21"/>
                <w:lang w:val="en-US" w:eastAsia="zh-CN"/>
              </w:rPr>
              <w:t>0.1</w:t>
            </w:r>
            <w:r>
              <w:rPr>
                <w:rFonts w:hint="eastAsia"/>
                <w:color w:val="auto"/>
                <w:sz w:val="21"/>
                <w:szCs w:val="21"/>
              </w:rPr>
              <w:t>72</w:t>
            </w:r>
            <w:r>
              <w:rPr>
                <w:rFonts w:hint="eastAsia"/>
                <w:color w:val="auto"/>
                <w:sz w:val="21"/>
                <w:szCs w:val="21"/>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07" w:hRule="atLeast"/>
          <w:jc w:val="center"/>
        </w:trPr>
        <w:tc>
          <w:tcPr>
            <w:tcW w:w="817" w:type="dxa"/>
            <w:noWrap w:val="0"/>
            <w:vAlign w:val="center"/>
          </w:tcPr>
          <w:p>
            <w:pPr>
              <w:pStyle w:val="297"/>
              <w:jc w:val="center"/>
              <w:rPr>
                <w:rFonts w:hint="eastAsia" w:eastAsia="宋体"/>
                <w:color w:val="auto"/>
                <w:sz w:val="21"/>
                <w:szCs w:val="21"/>
              </w:rPr>
            </w:pPr>
            <w:r>
              <w:rPr>
                <w:rFonts w:hint="eastAsia" w:eastAsia="宋体"/>
                <w:color w:val="auto"/>
                <w:sz w:val="21"/>
                <w:szCs w:val="21"/>
              </w:rPr>
              <w:t>H</w:t>
            </w:r>
            <w:r>
              <w:rPr>
                <w:rFonts w:hint="eastAsia" w:eastAsia="宋体"/>
                <w:color w:val="auto"/>
                <w:sz w:val="21"/>
                <w:szCs w:val="21"/>
                <w:vertAlign w:val="subscript"/>
              </w:rPr>
              <w:t>2</w:t>
            </w:r>
            <w:r>
              <w:rPr>
                <w:rFonts w:hint="eastAsia" w:eastAsia="宋体"/>
                <w:color w:val="auto"/>
                <w:sz w:val="21"/>
                <w:szCs w:val="21"/>
              </w:rPr>
              <w:t>S</w:t>
            </w:r>
          </w:p>
        </w:tc>
        <w:tc>
          <w:tcPr>
            <w:tcW w:w="852" w:type="dxa"/>
            <w:noWrap w:val="0"/>
            <w:vAlign w:val="center"/>
          </w:tcPr>
          <w:p>
            <w:pPr>
              <w:pStyle w:val="297"/>
              <w:jc w:val="center"/>
              <w:rPr>
                <w:rFonts w:hint="default" w:eastAsia="等线"/>
                <w:color w:val="auto"/>
                <w:sz w:val="21"/>
                <w:szCs w:val="21"/>
                <w:lang w:val="en-US" w:eastAsia="zh-CN"/>
              </w:rPr>
            </w:pPr>
            <w:r>
              <w:rPr>
                <w:rFonts w:hint="eastAsia" w:eastAsia="等线"/>
                <w:color w:val="auto"/>
                <w:sz w:val="21"/>
                <w:szCs w:val="21"/>
                <w:lang w:val="en-US" w:eastAsia="zh-CN"/>
              </w:rPr>
              <w:t>0.0136</w:t>
            </w:r>
          </w:p>
        </w:tc>
        <w:tc>
          <w:tcPr>
            <w:tcW w:w="850" w:type="dxa"/>
            <w:noWrap w:val="0"/>
            <w:vAlign w:val="center"/>
          </w:tcPr>
          <w:p>
            <w:pPr>
              <w:pStyle w:val="297"/>
              <w:jc w:val="center"/>
              <w:rPr>
                <w:rFonts w:hint="eastAsia" w:eastAsia="宋体"/>
                <w:color w:val="auto"/>
                <w:sz w:val="21"/>
                <w:szCs w:val="21"/>
              </w:rPr>
            </w:pPr>
            <w:r>
              <w:rPr>
                <w:rFonts w:hint="eastAsia" w:eastAsia="宋体"/>
                <w:color w:val="auto"/>
                <w:sz w:val="21"/>
                <w:szCs w:val="21"/>
              </w:rPr>
              <w:t>0.117</w:t>
            </w:r>
            <w:r>
              <w:rPr>
                <w:rFonts w:hint="eastAsia" w:eastAsia="宋体"/>
                <w:color w:val="auto"/>
                <w:sz w:val="21"/>
                <w:szCs w:val="21"/>
                <w:lang w:val="en-US" w:eastAsia="zh-CN"/>
              </w:rPr>
              <w:t>2</w:t>
            </w:r>
          </w:p>
        </w:tc>
        <w:tc>
          <w:tcPr>
            <w:tcW w:w="3403" w:type="dxa"/>
            <w:vMerge w:val="continue"/>
            <w:noWrap w:val="0"/>
            <w:vAlign w:val="center"/>
          </w:tcPr>
          <w:p>
            <w:pPr>
              <w:pStyle w:val="297"/>
              <w:jc w:val="center"/>
              <w:rPr>
                <w:rFonts w:hint="eastAsia" w:eastAsia="宋体"/>
                <w:color w:val="auto"/>
                <w:sz w:val="21"/>
                <w:szCs w:val="21"/>
              </w:rPr>
            </w:pPr>
          </w:p>
        </w:tc>
        <w:tc>
          <w:tcPr>
            <w:tcW w:w="1275" w:type="dxa"/>
            <w:noWrap w:val="0"/>
            <w:vAlign w:val="center"/>
          </w:tcPr>
          <w:p>
            <w:pPr>
              <w:pStyle w:val="297"/>
              <w:jc w:val="center"/>
              <w:rPr>
                <w:rFonts w:hint="eastAsia" w:eastAsia="宋体"/>
                <w:color w:val="auto"/>
                <w:sz w:val="21"/>
                <w:szCs w:val="21"/>
              </w:rPr>
            </w:pPr>
            <w:r>
              <w:rPr>
                <w:rFonts w:hint="eastAsia" w:eastAsia="宋体"/>
                <w:color w:val="auto"/>
                <w:sz w:val="21"/>
                <w:szCs w:val="21"/>
              </w:rPr>
              <w:t>9</w:t>
            </w:r>
            <w:r>
              <w:rPr>
                <w:rFonts w:eastAsia="宋体"/>
                <w:color w:val="auto"/>
                <w:sz w:val="21"/>
                <w:szCs w:val="21"/>
              </w:rPr>
              <w:t>0</w:t>
            </w:r>
          </w:p>
        </w:tc>
        <w:tc>
          <w:tcPr>
            <w:tcW w:w="873" w:type="dxa"/>
            <w:noWrap w:val="0"/>
            <w:vAlign w:val="center"/>
          </w:tcPr>
          <w:p>
            <w:pPr>
              <w:pStyle w:val="297"/>
              <w:jc w:val="center"/>
              <w:rPr>
                <w:rFonts w:eastAsia="等线"/>
                <w:color w:val="auto"/>
                <w:sz w:val="21"/>
                <w:szCs w:val="21"/>
              </w:rPr>
            </w:pPr>
            <w:r>
              <w:rPr>
                <w:rFonts w:hint="eastAsia" w:eastAsia="等线"/>
                <w:color w:val="auto"/>
                <w:sz w:val="21"/>
                <w:szCs w:val="21"/>
                <w:lang w:val="en-US" w:eastAsia="zh-CN"/>
              </w:rPr>
              <w:t>0.0014</w:t>
            </w:r>
          </w:p>
        </w:tc>
        <w:tc>
          <w:tcPr>
            <w:tcW w:w="933" w:type="dxa"/>
            <w:noWrap w:val="0"/>
            <w:vAlign w:val="center"/>
          </w:tcPr>
          <w:p>
            <w:pPr>
              <w:pStyle w:val="297"/>
              <w:jc w:val="center"/>
              <w:rPr>
                <w:rFonts w:eastAsia="等线"/>
                <w:color w:val="auto"/>
                <w:sz w:val="21"/>
                <w:szCs w:val="21"/>
              </w:rPr>
            </w:pPr>
            <w:r>
              <w:rPr>
                <w:rFonts w:hint="eastAsia" w:eastAsia="宋体"/>
                <w:color w:val="auto"/>
                <w:sz w:val="21"/>
                <w:szCs w:val="21"/>
              </w:rPr>
              <w:t>0.</w:t>
            </w:r>
            <w:r>
              <w:rPr>
                <w:rFonts w:hint="eastAsia" w:eastAsia="宋体"/>
                <w:color w:val="auto"/>
                <w:sz w:val="21"/>
                <w:szCs w:val="21"/>
                <w:lang w:val="en-US" w:eastAsia="zh-CN"/>
              </w:rPr>
              <w:t>0</w:t>
            </w:r>
            <w:r>
              <w:rPr>
                <w:rFonts w:hint="eastAsia" w:eastAsia="宋体"/>
                <w:color w:val="auto"/>
                <w:sz w:val="21"/>
                <w:szCs w:val="21"/>
              </w:rPr>
              <w:t>117</w:t>
            </w:r>
          </w:p>
        </w:tc>
      </w:tr>
    </w:tbl>
    <w:p>
      <w:pPr>
        <w:spacing w:before="120" w:beforeLines="50"/>
        <w:ind w:firstLine="480"/>
        <w:rPr>
          <w:b/>
          <w:bCs/>
          <w:color w:val="auto"/>
        </w:rPr>
      </w:pPr>
      <w:r>
        <w:rPr>
          <w:b/>
          <w:bCs/>
          <w:color w:val="auto"/>
        </w:rPr>
        <w:t>（</w:t>
      </w:r>
      <w:r>
        <w:rPr>
          <w:rFonts w:hint="eastAsia"/>
          <w:b/>
          <w:bCs/>
          <w:color w:val="auto"/>
          <w:lang w:val="en-US" w:eastAsia="zh-CN"/>
        </w:rPr>
        <w:t>2</w:t>
      </w:r>
      <w:r>
        <w:rPr>
          <w:b/>
          <w:bCs/>
          <w:color w:val="auto"/>
        </w:rPr>
        <w:t>）</w:t>
      </w:r>
      <w:r>
        <w:rPr>
          <w:rFonts w:hint="eastAsia"/>
          <w:b/>
          <w:bCs/>
          <w:color w:val="auto"/>
        </w:rPr>
        <w:t>污水处理区恶臭气体</w:t>
      </w:r>
    </w:p>
    <w:p>
      <w:pPr>
        <w:ind w:firstLine="480"/>
        <w:rPr>
          <w:color w:val="auto"/>
        </w:rPr>
      </w:pPr>
      <w:r>
        <w:rPr>
          <w:color w:val="auto"/>
        </w:rPr>
        <w:t>根据美国EPA的研究，污水处理厂每处理1gBOD</w:t>
      </w:r>
      <w:r>
        <w:rPr>
          <w:color w:val="auto"/>
          <w:vertAlign w:val="subscript"/>
        </w:rPr>
        <w:t>5</w:t>
      </w:r>
      <w:r>
        <w:rPr>
          <w:color w:val="auto"/>
        </w:rPr>
        <w:t>，可产生0.0031g的氨和 0.00012g硫化氢。本项目污水处理设施去除BOD</w:t>
      </w:r>
      <w:r>
        <w:rPr>
          <w:color w:val="auto"/>
          <w:vertAlign w:val="subscript"/>
        </w:rPr>
        <w:t>5</w:t>
      </w:r>
      <w:r>
        <w:rPr>
          <w:color w:val="auto"/>
        </w:rPr>
        <w:t>量约</w:t>
      </w:r>
      <w:r>
        <w:rPr>
          <w:rFonts w:hint="eastAsia"/>
          <w:color w:val="auto"/>
          <w:lang w:val="en-US" w:eastAsia="zh-CN"/>
        </w:rPr>
        <w:t>8.953</w:t>
      </w:r>
      <w:r>
        <w:rPr>
          <w:color w:val="auto"/>
        </w:rPr>
        <w:t>t/a，则氨产生量0.0</w:t>
      </w:r>
      <w:r>
        <w:rPr>
          <w:rFonts w:hint="eastAsia"/>
          <w:color w:val="auto"/>
          <w:lang w:val="en-US" w:eastAsia="zh-CN"/>
        </w:rPr>
        <w:t>278</w:t>
      </w:r>
      <w:r>
        <w:rPr>
          <w:color w:val="auto"/>
        </w:rPr>
        <w:t>t/a，硫化氢产生量为0.001</w:t>
      </w:r>
      <w:r>
        <w:rPr>
          <w:rFonts w:hint="eastAsia"/>
          <w:color w:val="auto"/>
          <w:lang w:val="en-US" w:eastAsia="zh-CN"/>
        </w:rPr>
        <w:t>1</w:t>
      </w:r>
      <w:r>
        <w:rPr>
          <w:color w:val="auto"/>
        </w:rPr>
        <w:t>t/a。</w:t>
      </w:r>
    </w:p>
    <w:p>
      <w:pPr>
        <w:ind w:firstLine="480"/>
        <w:rPr>
          <w:color w:val="auto"/>
        </w:rPr>
      </w:pPr>
      <w:r>
        <w:rPr>
          <w:rFonts w:hint="eastAsia"/>
          <w:color w:val="auto"/>
        </w:rPr>
        <w:t>本工程拟对项目建成后正常运行期间产生H</w:t>
      </w:r>
      <w:r>
        <w:rPr>
          <w:rFonts w:hint="eastAsia"/>
          <w:color w:val="auto"/>
          <w:vertAlign w:val="subscript"/>
        </w:rPr>
        <w:t>2</w:t>
      </w:r>
      <w:r>
        <w:rPr>
          <w:rFonts w:hint="eastAsia"/>
          <w:color w:val="auto"/>
        </w:rPr>
        <w:t>S和NH</w:t>
      </w:r>
      <w:r>
        <w:rPr>
          <w:rFonts w:hint="eastAsia"/>
          <w:color w:val="auto"/>
          <w:vertAlign w:val="subscript"/>
        </w:rPr>
        <w:t>3</w:t>
      </w:r>
      <w:r>
        <w:rPr>
          <w:rFonts w:hint="eastAsia"/>
          <w:color w:val="auto"/>
        </w:rPr>
        <w:t>的主要构筑物池体采用加盖封闭的形式，黑膜沼气池采取黑膜加盖封闭，污水收集池采取加盖，再通过喷洒除臭剂，可以降低6</w:t>
      </w:r>
      <w:r>
        <w:rPr>
          <w:color w:val="auto"/>
        </w:rPr>
        <w:t>5</w:t>
      </w:r>
      <w:r>
        <w:rPr>
          <w:rFonts w:hint="eastAsia"/>
          <w:color w:val="auto"/>
        </w:rPr>
        <w:t>%以上的恶臭。该恶臭污染物产排情况见表3.</w:t>
      </w:r>
      <w:r>
        <w:rPr>
          <w:rFonts w:hint="eastAsia"/>
          <w:color w:val="auto"/>
          <w:lang w:val="en-US" w:eastAsia="zh-CN"/>
        </w:rPr>
        <w:t>6</w:t>
      </w:r>
      <w:r>
        <w:rPr>
          <w:rFonts w:hint="eastAsia"/>
          <w:color w:val="auto"/>
        </w:rPr>
        <w:t>-</w:t>
      </w:r>
      <w:r>
        <w:rPr>
          <w:color w:val="auto"/>
        </w:rPr>
        <w:t>1</w:t>
      </w:r>
      <w:r>
        <w:rPr>
          <w:rFonts w:hint="eastAsia"/>
          <w:color w:val="auto"/>
          <w:lang w:val="en-US" w:eastAsia="zh-CN"/>
        </w:rPr>
        <w:t>1</w:t>
      </w:r>
      <w:r>
        <w:rPr>
          <w:rFonts w:hint="eastAsia"/>
          <w:color w:val="auto"/>
        </w:rPr>
        <w:t>。</w:t>
      </w:r>
    </w:p>
    <w:p>
      <w:pPr>
        <w:pStyle w:val="166"/>
        <w:spacing w:before="0" w:beforeLines="0"/>
        <w:ind w:firstLine="482"/>
        <w:rPr>
          <w:rFonts w:hint="eastAsia"/>
          <w:color w:val="auto"/>
        </w:rPr>
      </w:pPr>
      <w:r>
        <w:rPr>
          <w:rFonts w:hint="eastAsia"/>
          <w:color w:val="auto"/>
        </w:rPr>
        <w:t>表3.</w:t>
      </w:r>
      <w:r>
        <w:rPr>
          <w:rFonts w:hint="eastAsia"/>
          <w:color w:val="auto"/>
          <w:lang w:val="en-US" w:eastAsia="zh-CN"/>
        </w:rPr>
        <w:t>6</w:t>
      </w:r>
      <w:r>
        <w:rPr>
          <w:rFonts w:hint="eastAsia"/>
          <w:color w:val="auto"/>
        </w:rPr>
        <w:t>-1</w:t>
      </w:r>
      <w:r>
        <w:rPr>
          <w:rFonts w:hint="eastAsia"/>
          <w:color w:val="auto"/>
          <w:lang w:val="en-US" w:eastAsia="zh-CN"/>
        </w:rPr>
        <w:t xml:space="preserve">1 </w:t>
      </w:r>
      <w:r>
        <w:rPr>
          <w:rFonts w:hint="eastAsia"/>
          <w:color w:val="auto"/>
        </w:rPr>
        <w:t>养猪场污水处理区恶臭产生及排放情况一览表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35"/>
        <w:gridCol w:w="994"/>
        <w:gridCol w:w="2975"/>
        <w:gridCol w:w="1134"/>
        <w:gridCol w:w="1158"/>
        <w:gridCol w:w="9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4" w:type="dxa"/>
            <w:vMerge w:val="restart"/>
            <w:noWrap w:val="0"/>
            <w:vAlign w:val="center"/>
          </w:tcPr>
          <w:p>
            <w:pPr>
              <w:pStyle w:val="297"/>
              <w:jc w:val="center"/>
              <w:rPr>
                <w:rFonts w:hint="eastAsia" w:eastAsia="宋体"/>
                <w:b/>
                <w:bCs/>
                <w:color w:val="auto"/>
              </w:rPr>
            </w:pPr>
            <w:r>
              <w:rPr>
                <w:rFonts w:hint="eastAsia" w:eastAsia="宋体"/>
                <w:b/>
                <w:bCs/>
                <w:color w:val="auto"/>
              </w:rPr>
              <w:t>污染物</w:t>
            </w:r>
          </w:p>
        </w:tc>
        <w:tc>
          <w:tcPr>
            <w:tcW w:w="2129" w:type="dxa"/>
            <w:gridSpan w:val="2"/>
            <w:noWrap w:val="0"/>
            <w:vAlign w:val="center"/>
          </w:tcPr>
          <w:p>
            <w:pPr>
              <w:pStyle w:val="297"/>
              <w:jc w:val="center"/>
              <w:rPr>
                <w:rFonts w:hint="eastAsia" w:eastAsia="宋体"/>
                <w:b/>
                <w:bCs/>
                <w:color w:val="auto"/>
              </w:rPr>
            </w:pPr>
            <w:r>
              <w:rPr>
                <w:rFonts w:hint="eastAsia" w:eastAsia="宋体"/>
                <w:b/>
                <w:bCs/>
                <w:color w:val="auto"/>
              </w:rPr>
              <w:t>无措施污染物产生量</w:t>
            </w:r>
          </w:p>
        </w:tc>
        <w:tc>
          <w:tcPr>
            <w:tcW w:w="2975" w:type="dxa"/>
            <w:vMerge w:val="restart"/>
            <w:noWrap w:val="0"/>
            <w:vAlign w:val="center"/>
          </w:tcPr>
          <w:p>
            <w:pPr>
              <w:pStyle w:val="297"/>
              <w:jc w:val="center"/>
              <w:rPr>
                <w:rFonts w:hint="eastAsia" w:eastAsia="宋体"/>
                <w:b/>
                <w:bCs/>
                <w:color w:val="auto"/>
              </w:rPr>
            </w:pPr>
            <w:r>
              <w:rPr>
                <w:rFonts w:hint="eastAsia" w:eastAsia="宋体"/>
                <w:b/>
                <w:bCs/>
                <w:color w:val="auto"/>
              </w:rPr>
              <w:t>采取措施</w:t>
            </w:r>
          </w:p>
        </w:tc>
        <w:tc>
          <w:tcPr>
            <w:tcW w:w="1134" w:type="dxa"/>
            <w:vMerge w:val="restart"/>
            <w:noWrap w:val="0"/>
            <w:vAlign w:val="center"/>
          </w:tcPr>
          <w:p>
            <w:pPr>
              <w:pStyle w:val="297"/>
              <w:jc w:val="center"/>
              <w:rPr>
                <w:rFonts w:hint="eastAsia" w:eastAsia="宋体"/>
                <w:b/>
                <w:bCs/>
                <w:color w:val="auto"/>
              </w:rPr>
            </w:pPr>
            <w:r>
              <w:rPr>
                <w:rFonts w:hint="eastAsia" w:eastAsia="宋体"/>
                <w:b/>
                <w:bCs/>
                <w:color w:val="auto"/>
              </w:rPr>
              <w:t>臭气去除效率（%）</w:t>
            </w:r>
          </w:p>
        </w:tc>
        <w:tc>
          <w:tcPr>
            <w:tcW w:w="2091" w:type="dxa"/>
            <w:gridSpan w:val="2"/>
            <w:noWrap w:val="0"/>
            <w:vAlign w:val="center"/>
          </w:tcPr>
          <w:p>
            <w:pPr>
              <w:pStyle w:val="297"/>
              <w:jc w:val="center"/>
              <w:rPr>
                <w:rFonts w:hint="eastAsia" w:eastAsia="宋体"/>
                <w:b/>
                <w:bCs/>
                <w:color w:val="auto"/>
              </w:rPr>
            </w:pPr>
            <w:r>
              <w:rPr>
                <w:rFonts w:hint="eastAsia" w:eastAsia="宋体"/>
                <w:b/>
                <w:bCs/>
                <w:color w:val="auto"/>
              </w:rPr>
              <w:t>臭气排放量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4" w:type="dxa"/>
            <w:vMerge w:val="continue"/>
            <w:noWrap w:val="0"/>
            <w:vAlign w:val="center"/>
          </w:tcPr>
          <w:p>
            <w:pPr>
              <w:pStyle w:val="297"/>
              <w:jc w:val="center"/>
              <w:rPr>
                <w:rFonts w:hint="eastAsia" w:eastAsia="宋体"/>
                <w:b/>
                <w:bCs/>
                <w:color w:val="auto"/>
              </w:rPr>
            </w:pPr>
          </w:p>
        </w:tc>
        <w:tc>
          <w:tcPr>
            <w:tcW w:w="1135" w:type="dxa"/>
            <w:noWrap w:val="0"/>
            <w:vAlign w:val="center"/>
          </w:tcPr>
          <w:p>
            <w:pPr>
              <w:pStyle w:val="297"/>
              <w:jc w:val="center"/>
              <w:rPr>
                <w:rFonts w:hint="eastAsia" w:eastAsia="宋体"/>
                <w:b/>
                <w:bCs/>
                <w:color w:val="auto"/>
              </w:rPr>
            </w:pPr>
            <w:r>
              <w:rPr>
                <w:rFonts w:eastAsia="宋体"/>
                <w:b/>
                <w:bCs/>
                <w:color w:val="auto"/>
              </w:rPr>
              <w:t>kg</w:t>
            </w:r>
            <w:r>
              <w:rPr>
                <w:rFonts w:hint="eastAsia" w:eastAsia="宋体"/>
                <w:b/>
                <w:bCs/>
                <w:color w:val="auto"/>
              </w:rPr>
              <w:t>/h</w:t>
            </w:r>
          </w:p>
        </w:tc>
        <w:tc>
          <w:tcPr>
            <w:tcW w:w="994" w:type="dxa"/>
            <w:noWrap w:val="0"/>
            <w:vAlign w:val="center"/>
          </w:tcPr>
          <w:p>
            <w:pPr>
              <w:pStyle w:val="297"/>
              <w:jc w:val="center"/>
              <w:rPr>
                <w:rFonts w:hint="eastAsia" w:eastAsia="宋体"/>
                <w:b/>
                <w:bCs/>
                <w:color w:val="auto"/>
              </w:rPr>
            </w:pPr>
            <w:r>
              <w:rPr>
                <w:rFonts w:hint="eastAsia" w:eastAsia="宋体"/>
                <w:b/>
                <w:bCs/>
                <w:color w:val="auto"/>
              </w:rPr>
              <w:t>t/a</w:t>
            </w:r>
          </w:p>
        </w:tc>
        <w:tc>
          <w:tcPr>
            <w:tcW w:w="2975" w:type="dxa"/>
            <w:vMerge w:val="continue"/>
            <w:noWrap w:val="0"/>
            <w:vAlign w:val="center"/>
          </w:tcPr>
          <w:p>
            <w:pPr>
              <w:pStyle w:val="297"/>
              <w:jc w:val="center"/>
              <w:rPr>
                <w:rFonts w:hint="eastAsia" w:eastAsia="宋体"/>
                <w:b/>
                <w:bCs/>
                <w:color w:val="auto"/>
              </w:rPr>
            </w:pPr>
          </w:p>
        </w:tc>
        <w:tc>
          <w:tcPr>
            <w:tcW w:w="1134" w:type="dxa"/>
            <w:vMerge w:val="continue"/>
            <w:noWrap w:val="0"/>
            <w:vAlign w:val="center"/>
          </w:tcPr>
          <w:p>
            <w:pPr>
              <w:pStyle w:val="297"/>
              <w:jc w:val="center"/>
              <w:rPr>
                <w:rFonts w:hint="eastAsia" w:eastAsia="宋体"/>
                <w:b/>
                <w:bCs/>
                <w:color w:val="auto"/>
              </w:rPr>
            </w:pPr>
          </w:p>
        </w:tc>
        <w:tc>
          <w:tcPr>
            <w:tcW w:w="1158" w:type="dxa"/>
            <w:noWrap w:val="0"/>
            <w:vAlign w:val="center"/>
          </w:tcPr>
          <w:p>
            <w:pPr>
              <w:pStyle w:val="297"/>
              <w:jc w:val="center"/>
              <w:rPr>
                <w:rFonts w:hint="eastAsia" w:eastAsia="宋体"/>
                <w:b/>
                <w:bCs/>
                <w:color w:val="auto"/>
              </w:rPr>
            </w:pPr>
            <w:r>
              <w:rPr>
                <w:rFonts w:eastAsia="宋体"/>
                <w:b/>
                <w:bCs/>
                <w:color w:val="auto"/>
              </w:rPr>
              <w:t>kg</w:t>
            </w:r>
            <w:r>
              <w:rPr>
                <w:rFonts w:hint="eastAsia" w:eastAsia="宋体"/>
                <w:b/>
                <w:bCs/>
                <w:color w:val="auto"/>
              </w:rPr>
              <w:t>/h</w:t>
            </w:r>
          </w:p>
        </w:tc>
        <w:tc>
          <w:tcPr>
            <w:tcW w:w="933" w:type="dxa"/>
            <w:noWrap w:val="0"/>
            <w:vAlign w:val="center"/>
          </w:tcPr>
          <w:p>
            <w:pPr>
              <w:pStyle w:val="297"/>
              <w:jc w:val="center"/>
              <w:rPr>
                <w:rFonts w:hint="eastAsia" w:eastAsia="宋体"/>
                <w:b/>
                <w:bCs/>
                <w:color w:val="auto"/>
              </w:rPr>
            </w:pPr>
            <w:r>
              <w:rPr>
                <w:rFonts w:hint="eastAsia" w:eastAsia="宋体"/>
                <w:b/>
                <w:bCs/>
                <w:color w:val="auto"/>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4" w:type="dxa"/>
            <w:noWrap w:val="0"/>
            <w:vAlign w:val="center"/>
          </w:tcPr>
          <w:p>
            <w:pPr>
              <w:pStyle w:val="297"/>
              <w:jc w:val="center"/>
              <w:rPr>
                <w:rFonts w:hint="eastAsia" w:eastAsia="宋体"/>
                <w:color w:val="auto"/>
              </w:rPr>
            </w:pPr>
            <w:r>
              <w:rPr>
                <w:rFonts w:hint="eastAsia" w:eastAsia="宋体"/>
                <w:color w:val="auto"/>
              </w:rPr>
              <w:t>NH</w:t>
            </w:r>
            <w:r>
              <w:rPr>
                <w:rFonts w:hint="eastAsia" w:eastAsia="宋体"/>
                <w:color w:val="auto"/>
                <w:vertAlign w:val="subscript"/>
              </w:rPr>
              <w:t>3</w:t>
            </w:r>
          </w:p>
        </w:tc>
        <w:tc>
          <w:tcPr>
            <w:tcW w:w="1135" w:type="dxa"/>
            <w:noWrap w:val="0"/>
            <w:vAlign w:val="center"/>
          </w:tcPr>
          <w:p>
            <w:pPr>
              <w:pStyle w:val="297"/>
              <w:jc w:val="center"/>
              <w:rPr>
                <w:rFonts w:hint="eastAsia" w:eastAsia="宋体"/>
                <w:color w:val="auto"/>
              </w:rPr>
            </w:pPr>
            <w:r>
              <w:rPr>
                <w:rFonts w:eastAsia="宋体"/>
                <w:color w:val="auto"/>
              </w:rPr>
              <w:t>3.</w:t>
            </w:r>
            <w:r>
              <w:rPr>
                <w:rFonts w:hint="eastAsia" w:eastAsia="宋体"/>
                <w:color w:val="auto"/>
                <w:lang w:val="en-US" w:eastAsia="zh-CN"/>
              </w:rPr>
              <w:t>21</w:t>
            </w:r>
            <w:r>
              <w:rPr>
                <w:rFonts w:eastAsia="宋体"/>
                <w:color w:val="auto"/>
              </w:rPr>
              <w:t>×10</w:t>
            </w:r>
            <w:r>
              <w:rPr>
                <w:rFonts w:eastAsia="宋体"/>
                <w:color w:val="auto"/>
                <w:vertAlign w:val="superscript"/>
              </w:rPr>
              <w:t>-3</w:t>
            </w:r>
          </w:p>
        </w:tc>
        <w:tc>
          <w:tcPr>
            <w:tcW w:w="994" w:type="dxa"/>
            <w:noWrap w:val="0"/>
            <w:vAlign w:val="center"/>
          </w:tcPr>
          <w:p>
            <w:pPr>
              <w:pStyle w:val="297"/>
              <w:jc w:val="center"/>
              <w:rPr>
                <w:rFonts w:hint="eastAsia" w:eastAsia="宋体"/>
                <w:color w:val="auto"/>
              </w:rPr>
            </w:pPr>
            <w:r>
              <w:rPr>
                <w:color w:val="auto"/>
              </w:rPr>
              <w:t>0.0</w:t>
            </w:r>
            <w:r>
              <w:rPr>
                <w:rFonts w:hint="eastAsia"/>
                <w:color w:val="auto"/>
                <w:lang w:val="en-US" w:eastAsia="zh-CN"/>
              </w:rPr>
              <w:t>278</w:t>
            </w:r>
          </w:p>
        </w:tc>
        <w:tc>
          <w:tcPr>
            <w:tcW w:w="2975" w:type="dxa"/>
            <w:vMerge w:val="restart"/>
            <w:noWrap w:val="0"/>
            <w:vAlign w:val="center"/>
          </w:tcPr>
          <w:p>
            <w:pPr>
              <w:pStyle w:val="297"/>
              <w:jc w:val="center"/>
              <w:rPr>
                <w:rFonts w:hint="eastAsia" w:eastAsia="宋体"/>
                <w:color w:val="auto"/>
              </w:rPr>
            </w:pPr>
            <w:r>
              <w:rPr>
                <w:rFonts w:hint="eastAsia" w:eastAsia="宋体"/>
                <w:color w:val="auto"/>
              </w:rPr>
              <w:t>收集池加盖；黑膜沼气池采取黑膜加盖封闭；恶臭产气区域喷洒除臭剂</w:t>
            </w:r>
          </w:p>
        </w:tc>
        <w:tc>
          <w:tcPr>
            <w:tcW w:w="1134" w:type="dxa"/>
            <w:noWrap w:val="0"/>
            <w:vAlign w:val="center"/>
          </w:tcPr>
          <w:p>
            <w:pPr>
              <w:pStyle w:val="297"/>
              <w:jc w:val="center"/>
              <w:rPr>
                <w:rFonts w:hint="eastAsia" w:eastAsia="宋体"/>
                <w:color w:val="auto"/>
              </w:rPr>
            </w:pPr>
            <w:r>
              <w:rPr>
                <w:rFonts w:hint="eastAsia" w:eastAsia="宋体"/>
                <w:color w:val="auto"/>
              </w:rPr>
              <w:t>6</w:t>
            </w:r>
            <w:r>
              <w:rPr>
                <w:rFonts w:eastAsia="宋体"/>
                <w:color w:val="auto"/>
              </w:rPr>
              <w:t>5</w:t>
            </w:r>
          </w:p>
        </w:tc>
        <w:tc>
          <w:tcPr>
            <w:tcW w:w="1158" w:type="dxa"/>
            <w:noWrap w:val="0"/>
            <w:vAlign w:val="center"/>
          </w:tcPr>
          <w:p>
            <w:pPr>
              <w:pStyle w:val="297"/>
              <w:jc w:val="center"/>
              <w:rPr>
                <w:rFonts w:eastAsia="宋体"/>
                <w:color w:val="auto"/>
              </w:rPr>
            </w:pPr>
            <w:r>
              <w:rPr>
                <w:rFonts w:eastAsia="宋体"/>
                <w:color w:val="auto"/>
              </w:rPr>
              <w:t>1.</w:t>
            </w:r>
            <w:r>
              <w:rPr>
                <w:rFonts w:hint="eastAsia" w:eastAsia="宋体"/>
                <w:color w:val="auto"/>
                <w:lang w:val="en-US" w:eastAsia="zh-CN"/>
              </w:rPr>
              <w:t>12</w:t>
            </w:r>
            <w:r>
              <w:rPr>
                <w:rFonts w:eastAsia="宋体"/>
                <w:color w:val="auto"/>
              </w:rPr>
              <w:t>×10</w:t>
            </w:r>
            <w:r>
              <w:rPr>
                <w:rFonts w:eastAsia="宋体"/>
                <w:color w:val="auto"/>
                <w:vertAlign w:val="superscript"/>
              </w:rPr>
              <w:t>-3</w:t>
            </w:r>
          </w:p>
        </w:tc>
        <w:tc>
          <w:tcPr>
            <w:tcW w:w="933" w:type="dxa"/>
            <w:noWrap w:val="0"/>
            <w:vAlign w:val="center"/>
          </w:tcPr>
          <w:p>
            <w:pPr>
              <w:pStyle w:val="297"/>
              <w:jc w:val="center"/>
              <w:rPr>
                <w:rFonts w:hint="default" w:eastAsia="等线"/>
                <w:color w:val="auto"/>
                <w:lang w:val="en-US" w:eastAsia="zh-CN"/>
              </w:rPr>
            </w:pPr>
            <w:r>
              <w:rPr>
                <w:rFonts w:eastAsia="等线"/>
                <w:color w:val="auto"/>
              </w:rPr>
              <w:t>0.0</w:t>
            </w:r>
            <w:r>
              <w:rPr>
                <w:rFonts w:hint="eastAsia" w:eastAsia="等线"/>
                <w:color w:val="auto"/>
                <w:lang w:val="en-US" w:eastAsia="zh-CN"/>
              </w:rPr>
              <w:t>097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1" w:hRule="atLeast"/>
          <w:jc w:val="center"/>
        </w:trPr>
        <w:tc>
          <w:tcPr>
            <w:tcW w:w="674" w:type="dxa"/>
            <w:noWrap w:val="0"/>
            <w:vAlign w:val="center"/>
          </w:tcPr>
          <w:p>
            <w:pPr>
              <w:pStyle w:val="297"/>
              <w:jc w:val="center"/>
              <w:rPr>
                <w:rFonts w:hint="eastAsia" w:eastAsia="宋体"/>
                <w:color w:val="auto"/>
              </w:rPr>
            </w:pPr>
            <w:r>
              <w:rPr>
                <w:rFonts w:hint="eastAsia" w:eastAsia="宋体"/>
                <w:color w:val="auto"/>
              </w:rPr>
              <w:t>H</w:t>
            </w:r>
            <w:r>
              <w:rPr>
                <w:rFonts w:hint="eastAsia" w:eastAsia="宋体"/>
                <w:color w:val="auto"/>
                <w:vertAlign w:val="subscript"/>
              </w:rPr>
              <w:t>2</w:t>
            </w:r>
            <w:r>
              <w:rPr>
                <w:rFonts w:hint="eastAsia" w:eastAsia="宋体"/>
                <w:color w:val="auto"/>
              </w:rPr>
              <w:t>S</w:t>
            </w:r>
          </w:p>
        </w:tc>
        <w:tc>
          <w:tcPr>
            <w:tcW w:w="1135" w:type="dxa"/>
            <w:noWrap w:val="0"/>
            <w:vAlign w:val="center"/>
          </w:tcPr>
          <w:p>
            <w:pPr>
              <w:pStyle w:val="297"/>
              <w:jc w:val="center"/>
              <w:rPr>
                <w:rFonts w:hint="eastAsia" w:eastAsia="宋体"/>
                <w:color w:val="auto"/>
              </w:rPr>
            </w:pPr>
            <w:r>
              <w:rPr>
                <w:rFonts w:eastAsia="宋体"/>
                <w:color w:val="auto"/>
              </w:rPr>
              <w:t>1.</w:t>
            </w:r>
            <w:r>
              <w:rPr>
                <w:rFonts w:hint="eastAsia" w:eastAsia="宋体"/>
                <w:color w:val="auto"/>
                <w:lang w:val="en-US" w:eastAsia="zh-CN"/>
              </w:rPr>
              <w:t>24</w:t>
            </w:r>
            <w:r>
              <w:rPr>
                <w:rFonts w:eastAsia="宋体"/>
                <w:color w:val="auto"/>
              </w:rPr>
              <w:t>×10</w:t>
            </w:r>
            <w:r>
              <w:rPr>
                <w:rFonts w:eastAsia="宋体"/>
                <w:color w:val="auto"/>
                <w:vertAlign w:val="superscript"/>
              </w:rPr>
              <w:t>-4</w:t>
            </w:r>
          </w:p>
        </w:tc>
        <w:tc>
          <w:tcPr>
            <w:tcW w:w="994" w:type="dxa"/>
            <w:noWrap w:val="0"/>
            <w:vAlign w:val="center"/>
          </w:tcPr>
          <w:p>
            <w:pPr>
              <w:pStyle w:val="297"/>
              <w:jc w:val="center"/>
              <w:rPr>
                <w:rFonts w:hint="eastAsia" w:eastAsia="宋体"/>
                <w:color w:val="auto"/>
              </w:rPr>
            </w:pPr>
            <w:r>
              <w:rPr>
                <w:color w:val="auto"/>
              </w:rPr>
              <w:t>0.001</w:t>
            </w:r>
            <w:r>
              <w:rPr>
                <w:rFonts w:hint="eastAsia"/>
                <w:color w:val="auto"/>
                <w:lang w:val="en-US" w:eastAsia="zh-CN"/>
              </w:rPr>
              <w:t>1</w:t>
            </w:r>
          </w:p>
        </w:tc>
        <w:tc>
          <w:tcPr>
            <w:tcW w:w="2975" w:type="dxa"/>
            <w:vMerge w:val="continue"/>
            <w:noWrap w:val="0"/>
            <w:vAlign w:val="center"/>
          </w:tcPr>
          <w:p>
            <w:pPr>
              <w:pStyle w:val="297"/>
              <w:jc w:val="center"/>
              <w:rPr>
                <w:rFonts w:hint="eastAsia" w:eastAsia="宋体"/>
                <w:color w:val="auto"/>
              </w:rPr>
            </w:pPr>
          </w:p>
        </w:tc>
        <w:tc>
          <w:tcPr>
            <w:tcW w:w="1134" w:type="dxa"/>
            <w:noWrap w:val="0"/>
            <w:vAlign w:val="center"/>
          </w:tcPr>
          <w:p>
            <w:pPr>
              <w:pStyle w:val="297"/>
              <w:jc w:val="center"/>
              <w:rPr>
                <w:rFonts w:hint="eastAsia" w:eastAsia="宋体"/>
                <w:color w:val="auto"/>
              </w:rPr>
            </w:pPr>
            <w:r>
              <w:rPr>
                <w:rFonts w:hint="eastAsia" w:eastAsia="宋体"/>
                <w:color w:val="auto"/>
              </w:rPr>
              <w:t>6</w:t>
            </w:r>
            <w:r>
              <w:rPr>
                <w:rFonts w:eastAsia="宋体"/>
                <w:color w:val="auto"/>
              </w:rPr>
              <w:t>5</w:t>
            </w:r>
          </w:p>
        </w:tc>
        <w:tc>
          <w:tcPr>
            <w:tcW w:w="1158" w:type="dxa"/>
            <w:noWrap w:val="0"/>
            <w:vAlign w:val="center"/>
          </w:tcPr>
          <w:p>
            <w:pPr>
              <w:pStyle w:val="297"/>
              <w:jc w:val="center"/>
              <w:rPr>
                <w:rFonts w:eastAsia="宋体"/>
                <w:color w:val="auto"/>
              </w:rPr>
            </w:pPr>
            <w:r>
              <w:rPr>
                <w:rFonts w:eastAsia="宋体"/>
                <w:color w:val="auto"/>
              </w:rPr>
              <w:t>4.</w:t>
            </w:r>
            <w:r>
              <w:rPr>
                <w:rFonts w:hint="eastAsia" w:eastAsia="宋体"/>
                <w:color w:val="auto"/>
                <w:lang w:val="en-US" w:eastAsia="zh-CN"/>
              </w:rPr>
              <w:t>35</w:t>
            </w:r>
            <w:r>
              <w:rPr>
                <w:rFonts w:eastAsia="宋体"/>
                <w:color w:val="auto"/>
              </w:rPr>
              <w:t>×10</w:t>
            </w:r>
            <w:r>
              <w:rPr>
                <w:rFonts w:eastAsia="宋体"/>
                <w:color w:val="auto"/>
                <w:vertAlign w:val="superscript"/>
              </w:rPr>
              <w:t>-5</w:t>
            </w:r>
          </w:p>
        </w:tc>
        <w:tc>
          <w:tcPr>
            <w:tcW w:w="933" w:type="dxa"/>
            <w:noWrap w:val="0"/>
            <w:vAlign w:val="center"/>
          </w:tcPr>
          <w:p>
            <w:pPr>
              <w:pStyle w:val="297"/>
              <w:jc w:val="center"/>
              <w:rPr>
                <w:rFonts w:eastAsia="宋体"/>
                <w:color w:val="auto"/>
              </w:rPr>
            </w:pPr>
            <w:r>
              <w:rPr>
                <w:rFonts w:eastAsia="等线"/>
                <w:color w:val="auto"/>
              </w:rPr>
              <w:t>0.0004</w:t>
            </w:r>
          </w:p>
        </w:tc>
      </w:tr>
    </w:tbl>
    <w:p>
      <w:pPr>
        <w:spacing w:before="120" w:beforeLines="50"/>
        <w:ind w:firstLine="480"/>
        <w:rPr>
          <w:b/>
          <w:bCs/>
          <w:color w:val="auto"/>
        </w:rPr>
      </w:pPr>
      <w:r>
        <w:rPr>
          <w:b/>
          <w:bCs/>
          <w:color w:val="auto"/>
        </w:rPr>
        <w:t>（</w:t>
      </w:r>
      <w:r>
        <w:rPr>
          <w:rFonts w:hint="eastAsia"/>
          <w:b/>
          <w:bCs/>
          <w:color w:val="auto"/>
        </w:rPr>
        <w:t>3</w:t>
      </w:r>
      <w:r>
        <w:rPr>
          <w:b/>
          <w:bCs/>
          <w:color w:val="auto"/>
        </w:rPr>
        <w:t>）运输恶臭及尾气</w:t>
      </w:r>
    </w:p>
    <w:p>
      <w:pPr>
        <w:ind w:firstLine="480"/>
        <w:rPr>
          <w:color w:val="auto"/>
        </w:rPr>
      </w:pPr>
      <w:r>
        <w:rPr>
          <w:color w:val="auto"/>
        </w:rPr>
        <w:t>根据类比调查，</w:t>
      </w:r>
      <w:r>
        <w:rPr>
          <w:rFonts w:hint="eastAsia"/>
          <w:color w:val="auto"/>
          <w:lang w:val="en-US" w:eastAsia="zh-CN"/>
        </w:rPr>
        <w:t>生猪</w:t>
      </w:r>
      <w:r>
        <w:rPr>
          <w:color w:val="auto"/>
        </w:rPr>
        <w:t>外运过程中，猪粪便、尿液等会散发出恶臭，会对公路沿线的环境产生短暂的恶臭污染，待运输车辆远离后影响可消除。车辆运输产生的汽车尾气主要成分为：CO、HC和NOx，经过扩散对沿线敏感点影响较小。</w:t>
      </w:r>
    </w:p>
    <w:p>
      <w:pPr>
        <w:ind w:firstLine="482"/>
        <w:rPr>
          <w:b/>
          <w:color w:val="auto"/>
        </w:rPr>
      </w:pPr>
      <w:r>
        <w:rPr>
          <w:b/>
          <w:color w:val="auto"/>
        </w:rPr>
        <w:t>2、</w:t>
      </w:r>
      <w:r>
        <w:rPr>
          <w:rFonts w:hint="eastAsia"/>
          <w:b/>
          <w:color w:val="auto"/>
        </w:rPr>
        <w:t>沼气燃烧废气</w:t>
      </w:r>
    </w:p>
    <w:p>
      <w:pPr>
        <w:ind w:firstLine="48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沼气产生量</w:t>
      </w:r>
    </w:p>
    <w:p>
      <w:pPr>
        <w:adjustRightInd w:val="0"/>
        <w:snapToGrid w:val="0"/>
        <w:spacing w:line="460" w:lineRule="exact"/>
        <w:ind w:firstLine="480" w:firstLineChars="200"/>
        <w:rPr>
          <w:rFonts w:hint="default" w:ascii="Times New Roman" w:hAnsi="Times New Roman" w:cs="Times New Roman"/>
          <w:color w:val="auto"/>
          <w:highlight w:val="none"/>
        </w:rPr>
      </w:pPr>
      <w:r>
        <w:rPr>
          <w:rFonts w:eastAsia="宋体" w:cs="Times New Roman"/>
          <w:color w:val="auto"/>
          <w:lang w:bidi="zh-CN"/>
        </w:rPr>
        <w:t>本项目厌氧发酵采用</w:t>
      </w:r>
      <w:r>
        <w:rPr>
          <w:rFonts w:hint="eastAsia" w:eastAsia="宋体" w:cs="Times New Roman"/>
          <w:color w:val="auto"/>
          <w:lang w:bidi="zh-CN"/>
        </w:rPr>
        <w:t>黑膜</w:t>
      </w:r>
      <w:r>
        <w:rPr>
          <w:rFonts w:eastAsia="宋体" w:cs="Times New Roman"/>
          <w:color w:val="auto"/>
          <w:lang w:bidi="zh-CN"/>
        </w:rPr>
        <w:t>沼气池，废水经厌氧发酵处理后产生沼气，</w:t>
      </w:r>
      <w:r>
        <w:rPr>
          <w:rFonts w:hint="default" w:ascii="Times New Roman" w:hAnsi="Times New Roman" w:cs="Times New Roman"/>
          <w:color w:val="auto"/>
          <w:highlight w:val="none"/>
        </w:rPr>
        <w:t>沼气是有机物质在一定的温度、湿度、酸度条件下，隔绝空气（厌氧环境），经微生物作用（发酵）而产生的可燃性气体，其主要成分为CH</w:t>
      </w:r>
      <w:r>
        <w:rPr>
          <w:rFonts w:hint="default" w:ascii="Times New Roman" w:hAnsi="Times New Roman" w:cs="Times New Roman"/>
          <w:color w:val="auto"/>
          <w:highlight w:val="none"/>
          <w:vertAlign w:val="subscript"/>
        </w:rPr>
        <w:t>4</w:t>
      </w:r>
      <w:r>
        <w:rPr>
          <w:rFonts w:hint="default" w:ascii="Times New Roman" w:hAnsi="Times New Roman" w:cs="Times New Roman"/>
          <w:color w:val="auto"/>
          <w:highlight w:val="none"/>
        </w:rPr>
        <w:t>，即甲烷占50%~80%，同时含20%~40%的CO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，1%~5%的N</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，0.2%~3%的H</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和H</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等。燃烧后生成CO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、H</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O、SO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。沼气成分详见表</w:t>
      </w:r>
      <w:r>
        <w:rPr>
          <w:rFonts w:hint="eastAsia"/>
          <w:color w:val="auto"/>
        </w:rPr>
        <w:t>3.</w:t>
      </w:r>
      <w:r>
        <w:rPr>
          <w:rFonts w:hint="eastAsia"/>
          <w:color w:val="auto"/>
          <w:lang w:val="en-US" w:eastAsia="zh-CN"/>
        </w:rPr>
        <w:t>6</w:t>
      </w:r>
      <w:r>
        <w:rPr>
          <w:rFonts w:hint="eastAsia"/>
          <w:color w:val="auto"/>
        </w:rPr>
        <w:t>-1</w:t>
      </w:r>
      <w:r>
        <w:rPr>
          <w:rFonts w:hint="eastAsia"/>
          <w:color w:val="auto"/>
          <w:lang w:val="en-US" w:eastAsia="zh-CN"/>
        </w:rPr>
        <w:t>2</w:t>
      </w:r>
      <w:r>
        <w:rPr>
          <w:rFonts w:hint="default" w:ascii="Times New Roman" w:hAnsi="Times New Roman" w:cs="Times New Roman"/>
          <w:color w:val="auto"/>
          <w:highlight w:val="none"/>
        </w:rPr>
        <w:t>。</w:t>
      </w:r>
    </w:p>
    <w:p>
      <w:pPr>
        <w:pStyle w:val="166"/>
        <w:spacing w:before="120" w:beforeLines="0"/>
        <w:rPr>
          <w:rFonts w:hint="default" w:ascii="Times New Roman" w:hAnsi="Times New Roman" w:cs="Times New Roman"/>
          <w:b w:val="0"/>
          <w:bCs/>
          <w:color w:val="auto"/>
          <w:sz w:val="11"/>
          <w:szCs w:val="11"/>
          <w:highlight w:val="none"/>
        </w:rPr>
      </w:pPr>
      <w:r>
        <w:rPr>
          <w:rFonts w:hint="default" w:ascii="Times New Roman" w:hAnsi="Times New Roman" w:cs="Times New Roman"/>
          <w:color w:val="auto"/>
          <w:highlight w:val="none"/>
        </w:rPr>
        <w:t>表</w:t>
      </w:r>
      <w:r>
        <w:rPr>
          <w:rFonts w:hint="eastAsia"/>
          <w:color w:val="auto"/>
        </w:rPr>
        <w:t>3.</w:t>
      </w:r>
      <w:r>
        <w:rPr>
          <w:rFonts w:hint="eastAsia"/>
          <w:color w:val="auto"/>
          <w:lang w:val="en-US" w:eastAsia="zh-CN"/>
        </w:rPr>
        <w:t>6</w:t>
      </w:r>
      <w:r>
        <w:rPr>
          <w:rFonts w:hint="eastAsia"/>
          <w:color w:val="auto"/>
        </w:rPr>
        <w:t>-1</w:t>
      </w:r>
      <w:r>
        <w:rPr>
          <w:rFonts w:hint="eastAsia"/>
          <w:color w:val="auto"/>
          <w:lang w:val="en-US" w:eastAsia="zh-CN"/>
        </w:rPr>
        <w:t>2</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沼气成分一览表</w:t>
      </w:r>
    </w:p>
    <w:tbl>
      <w:tblPr>
        <w:tblStyle w:val="51"/>
        <w:tblW w:w="4998" w:type="pct"/>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0" w:type="dxa"/>
          <w:bottom w:w="0" w:type="dxa"/>
          <w:right w:w="0" w:type="dxa"/>
        </w:tblCellMar>
      </w:tblPr>
      <w:tblGrid>
        <w:gridCol w:w="2253"/>
        <w:gridCol w:w="1288"/>
        <w:gridCol w:w="1290"/>
        <w:gridCol w:w="724"/>
        <w:gridCol w:w="724"/>
        <w:gridCol w:w="902"/>
        <w:gridCol w:w="1602"/>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1282" w:type="pct"/>
            <w:noWrap w:val="0"/>
            <w:vAlign w:val="center"/>
          </w:tcPr>
          <w:p>
            <w:pPr>
              <w:pStyle w:val="332"/>
              <w:kinsoku w:val="0"/>
              <w:overflowPunct w:val="0"/>
              <w:ind w:left="5"/>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成分</w:t>
            </w:r>
          </w:p>
        </w:tc>
        <w:tc>
          <w:tcPr>
            <w:tcW w:w="733" w:type="pct"/>
            <w:noWrap w:val="0"/>
            <w:vAlign w:val="center"/>
          </w:tcPr>
          <w:p>
            <w:pPr>
              <w:pStyle w:val="332"/>
              <w:kinsoku w:val="0"/>
              <w:overflowPunct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CH</w:t>
            </w:r>
            <w:r>
              <w:rPr>
                <w:rFonts w:hint="default" w:ascii="Times New Roman" w:hAnsi="Times New Roman" w:cs="Times New Roman"/>
                <w:b/>
                <w:color w:val="auto"/>
                <w:sz w:val="21"/>
                <w:szCs w:val="21"/>
                <w:highlight w:val="none"/>
                <w:vertAlign w:val="subscript"/>
              </w:rPr>
              <w:t>4</w:t>
            </w:r>
          </w:p>
        </w:tc>
        <w:tc>
          <w:tcPr>
            <w:tcW w:w="734" w:type="pct"/>
            <w:noWrap w:val="0"/>
            <w:vAlign w:val="center"/>
          </w:tcPr>
          <w:p>
            <w:pPr>
              <w:pStyle w:val="332"/>
              <w:kinsoku w:val="0"/>
              <w:overflowPunct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CO</w:t>
            </w:r>
            <w:r>
              <w:rPr>
                <w:rFonts w:hint="default" w:ascii="Times New Roman" w:hAnsi="Times New Roman" w:cs="Times New Roman"/>
                <w:b/>
                <w:color w:val="auto"/>
                <w:sz w:val="21"/>
                <w:szCs w:val="21"/>
                <w:highlight w:val="none"/>
                <w:vertAlign w:val="subscript"/>
              </w:rPr>
              <w:t>2</w:t>
            </w:r>
          </w:p>
        </w:tc>
        <w:tc>
          <w:tcPr>
            <w:tcW w:w="412" w:type="pct"/>
            <w:noWrap w:val="0"/>
            <w:vAlign w:val="center"/>
          </w:tcPr>
          <w:p>
            <w:pPr>
              <w:pStyle w:val="332"/>
              <w:kinsoku w:val="0"/>
              <w:overflowPunct w:val="0"/>
              <w:ind w:left="1"/>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N</w:t>
            </w:r>
            <w:r>
              <w:rPr>
                <w:rFonts w:hint="default" w:ascii="Times New Roman" w:hAnsi="Times New Roman" w:cs="Times New Roman"/>
                <w:b/>
                <w:color w:val="auto"/>
                <w:sz w:val="21"/>
                <w:szCs w:val="21"/>
                <w:highlight w:val="none"/>
                <w:vertAlign w:val="subscript"/>
              </w:rPr>
              <w:t>2</w:t>
            </w:r>
          </w:p>
        </w:tc>
        <w:tc>
          <w:tcPr>
            <w:tcW w:w="412" w:type="pct"/>
            <w:noWrap w:val="0"/>
            <w:vAlign w:val="center"/>
          </w:tcPr>
          <w:p>
            <w:pPr>
              <w:pStyle w:val="332"/>
              <w:kinsoku w:val="0"/>
              <w:overflowPunct w:val="0"/>
              <w:ind w:left="1"/>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H</w:t>
            </w:r>
            <w:r>
              <w:rPr>
                <w:rFonts w:hint="default" w:ascii="Times New Roman" w:hAnsi="Times New Roman" w:cs="Times New Roman"/>
                <w:b/>
                <w:color w:val="auto"/>
                <w:sz w:val="21"/>
                <w:szCs w:val="21"/>
                <w:highlight w:val="none"/>
                <w:vertAlign w:val="subscript"/>
              </w:rPr>
              <w:t>2</w:t>
            </w:r>
          </w:p>
        </w:tc>
        <w:tc>
          <w:tcPr>
            <w:tcW w:w="513" w:type="pct"/>
            <w:noWrap w:val="0"/>
            <w:vAlign w:val="center"/>
          </w:tcPr>
          <w:p>
            <w:pPr>
              <w:pStyle w:val="332"/>
              <w:kinsoku w:val="0"/>
              <w:overflowPunct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O</w:t>
            </w:r>
            <w:r>
              <w:rPr>
                <w:rFonts w:hint="default" w:ascii="Times New Roman" w:hAnsi="Times New Roman" w:cs="Times New Roman"/>
                <w:b/>
                <w:color w:val="auto"/>
                <w:sz w:val="21"/>
                <w:szCs w:val="21"/>
                <w:highlight w:val="none"/>
                <w:vertAlign w:val="subscript"/>
              </w:rPr>
              <w:t>2</w:t>
            </w:r>
          </w:p>
        </w:tc>
        <w:tc>
          <w:tcPr>
            <w:tcW w:w="911" w:type="pct"/>
            <w:noWrap w:val="0"/>
            <w:vAlign w:val="center"/>
          </w:tcPr>
          <w:p>
            <w:pPr>
              <w:pStyle w:val="332"/>
              <w:kinsoku w:val="0"/>
              <w:overflowPunct w:val="0"/>
              <w:ind w:right="6"/>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position w:val="2"/>
                <w:sz w:val="21"/>
                <w:szCs w:val="21"/>
                <w:highlight w:val="none"/>
              </w:rPr>
              <w:t>H</w:t>
            </w:r>
            <w:r>
              <w:rPr>
                <w:rFonts w:hint="default" w:ascii="Times New Roman" w:hAnsi="Times New Roman" w:cs="Times New Roman"/>
                <w:b/>
                <w:color w:val="auto"/>
                <w:sz w:val="21"/>
                <w:szCs w:val="21"/>
                <w:highlight w:val="none"/>
                <w:vertAlign w:val="subscript"/>
              </w:rPr>
              <w:t>2</w:t>
            </w:r>
            <w:r>
              <w:rPr>
                <w:rFonts w:hint="default" w:ascii="Times New Roman" w:hAnsi="Times New Roman" w:cs="Times New Roman"/>
                <w:b/>
                <w:color w:val="auto"/>
                <w:position w:val="2"/>
                <w:sz w:val="21"/>
                <w:szCs w:val="21"/>
                <w:highlight w:val="none"/>
              </w:rPr>
              <w:t>S</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1282"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含量（体积分数）</w:t>
            </w:r>
          </w:p>
        </w:tc>
        <w:tc>
          <w:tcPr>
            <w:tcW w:w="733"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50%~80%</w:t>
            </w:r>
          </w:p>
        </w:tc>
        <w:tc>
          <w:tcPr>
            <w:tcW w:w="734"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20%~40%</w:t>
            </w:r>
          </w:p>
        </w:tc>
        <w:tc>
          <w:tcPr>
            <w:tcW w:w="412"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&lt;5%</w:t>
            </w:r>
          </w:p>
        </w:tc>
        <w:tc>
          <w:tcPr>
            <w:tcW w:w="412"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&lt;1%</w:t>
            </w:r>
          </w:p>
        </w:tc>
        <w:tc>
          <w:tcPr>
            <w:tcW w:w="513"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&lt;0.4%</w:t>
            </w:r>
          </w:p>
        </w:tc>
        <w:tc>
          <w:tcPr>
            <w:tcW w:w="911" w:type="pct"/>
            <w:noWrap w:val="0"/>
            <w:vAlign w:val="center"/>
          </w:tcPr>
          <w:p>
            <w:pPr>
              <w:pStyle w:val="332"/>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0.05%~0.1%</w:t>
            </w:r>
          </w:p>
        </w:tc>
      </w:tr>
    </w:tbl>
    <w:p>
      <w:pPr>
        <w:ind w:firstLine="480"/>
        <w:rPr>
          <w:color w:val="auto"/>
        </w:rPr>
      </w:pPr>
      <w:r>
        <w:rPr>
          <w:color w:val="auto"/>
        </w:rPr>
        <w:t>根据《规模化畜禽养殖场沼气工程设计规范》（NY/T1222-2006）可知，理论上每削减1kgCOD可产生0.35m</w:t>
      </w:r>
      <w:r>
        <w:rPr>
          <w:color w:val="auto"/>
          <w:vertAlign w:val="superscript"/>
        </w:rPr>
        <w:t>3</w:t>
      </w:r>
      <w:r>
        <w:rPr>
          <w:color w:val="auto"/>
        </w:rPr>
        <w:t>沼气，一般情况下，养殖废水经厌氧发酵处理工序COD去除率为80%，即项目废水在厌氧发酵处理工序去除COD约为</w:t>
      </w:r>
      <w:r>
        <w:rPr>
          <w:rFonts w:hint="eastAsia"/>
          <w:color w:val="auto"/>
        </w:rPr>
        <w:t>22.264</w:t>
      </w:r>
      <w:r>
        <w:rPr>
          <w:color w:val="auto"/>
        </w:rPr>
        <w:t>t/a，则本项目沼气产生量为</w:t>
      </w:r>
      <w:r>
        <w:rPr>
          <w:rFonts w:hint="eastAsia"/>
          <w:color w:val="auto"/>
          <w:lang w:val="en-US" w:eastAsia="zh-CN"/>
        </w:rPr>
        <w:t>21.349</w:t>
      </w:r>
      <w:r>
        <w:rPr>
          <w:color w:val="auto"/>
        </w:rPr>
        <w:t>m</w:t>
      </w:r>
      <w:r>
        <w:rPr>
          <w:color w:val="auto"/>
          <w:vertAlign w:val="superscript"/>
        </w:rPr>
        <w:t>3</w:t>
      </w:r>
      <w:r>
        <w:rPr>
          <w:color w:val="auto"/>
        </w:rPr>
        <w:t>/d（</w:t>
      </w:r>
      <w:r>
        <w:rPr>
          <w:rFonts w:hint="eastAsia"/>
          <w:color w:val="auto"/>
        </w:rPr>
        <w:t>7792.4</w:t>
      </w:r>
      <w:r>
        <w:rPr>
          <w:color w:val="auto"/>
        </w:rPr>
        <w:t>m</w:t>
      </w:r>
      <w:r>
        <w:rPr>
          <w:color w:val="auto"/>
          <w:vertAlign w:val="superscript"/>
        </w:rPr>
        <w:t>3</w:t>
      </w:r>
      <w:r>
        <w:rPr>
          <w:color w:val="auto"/>
        </w:rPr>
        <w:t>/a）。</w:t>
      </w:r>
    </w:p>
    <w:p>
      <w:pPr>
        <w:numPr>
          <w:ilvl w:val="0"/>
          <w:numId w:val="7"/>
        </w:numPr>
        <w:ind w:firstLine="480"/>
        <w:rPr>
          <w:rFonts w:hint="eastAsia"/>
          <w:color w:val="auto"/>
          <w:lang w:val="en-US" w:eastAsia="zh-CN"/>
        </w:rPr>
      </w:pPr>
      <w:r>
        <w:rPr>
          <w:rFonts w:hint="eastAsia"/>
          <w:color w:val="auto"/>
          <w:lang w:val="en-US" w:eastAsia="zh-CN"/>
        </w:rPr>
        <w:t>治理措施</w:t>
      </w:r>
    </w:p>
    <w:p>
      <w:pPr>
        <w:ind w:firstLine="480"/>
        <w:rPr>
          <w:color w:val="auto"/>
        </w:rPr>
      </w:pPr>
      <w:r>
        <w:rPr>
          <w:rFonts w:hint="eastAsia"/>
          <w:color w:val="auto"/>
        </w:rPr>
        <w:t>沼气储存在黑膜沼气池内，通过内部的集气管道收集</w:t>
      </w:r>
      <w:r>
        <w:rPr>
          <w:rFonts w:hint="eastAsia"/>
          <w:color w:val="auto"/>
          <w:lang w:val="en-US" w:eastAsia="zh-CN"/>
        </w:rPr>
        <w:t>产生</w:t>
      </w:r>
      <w:r>
        <w:rPr>
          <w:rFonts w:hint="eastAsia"/>
          <w:color w:val="auto"/>
        </w:rPr>
        <w:t>的沼气，通过风机将沼气引入脱水、脱硫装置后</w:t>
      </w:r>
      <w:r>
        <w:rPr>
          <w:rFonts w:eastAsia="宋体" w:cs="Times New Roman"/>
          <w:color w:val="auto"/>
          <w:lang w:bidi="zh-CN"/>
        </w:rPr>
        <w:t>用于食堂用作燃料，剩余的沼气通过火炬燃烧器放空燃烧</w:t>
      </w:r>
      <w:r>
        <w:rPr>
          <w:rFonts w:hint="eastAsia"/>
          <w:color w:val="auto"/>
        </w:rPr>
        <w:t>。</w:t>
      </w:r>
    </w:p>
    <w:p>
      <w:pPr>
        <w:ind w:firstLine="480"/>
        <w:rPr>
          <w:color w:val="auto"/>
        </w:rPr>
      </w:pPr>
      <w:r>
        <w:rPr>
          <w:color w:val="auto"/>
        </w:rPr>
        <w:t>沼气利用前所采取的措施如图3.</w:t>
      </w:r>
      <w:r>
        <w:rPr>
          <w:rFonts w:hint="eastAsia"/>
          <w:color w:val="auto"/>
          <w:lang w:val="en-US" w:eastAsia="zh-CN"/>
        </w:rPr>
        <w:t>6</w:t>
      </w:r>
      <w:r>
        <w:rPr>
          <w:color w:val="auto"/>
        </w:rPr>
        <w:t>-5。</w:t>
      </w:r>
    </w:p>
    <w:p>
      <w:pPr>
        <w:pStyle w:val="2"/>
        <w:rPr>
          <w:color w:val="auto"/>
        </w:rPr>
      </w:pPr>
      <w:r>
        <w:rPr>
          <w:color w:val="auto"/>
        </w:rPr>
        <w:object>
          <v:shape id="_x0000_i1112" o:spt="75" type="#_x0000_t75" style="height:58.65pt;width:439.05pt;" o:ole="t" filled="f" o:preferrelative="t" stroked="f" coordsize="21600,21600">
            <v:path/>
            <v:fill on="f" focussize="0,0"/>
            <v:stroke on="f"/>
            <v:imagedata r:id="rId51" o:title=""/>
            <o:lock v:ext="edit" aspectratio="f"/>
            <w10:wrap type="none"/>
            <w10:anchorlock/>
          </v:shape>
          <o:OLEObject Type="Embed" ProgID="Visio.Drawing.11" ShapeID="_x0000_i1112" DrawAspect="Content" ObjectID="_1468075733" r:id="rId50">
            <o:LockedField>false</o:LockedField>
          </o:OLEObject>
        </w:object>
      </w:r>
    </w:p>
    <w:p>
      <w:pPr>
        <w:ind w:firstLine="0" w:firstLineChars="0"/>
        <w:jc w:val="center"/>
        <w:rPr>
          <w:b/>
          <w:bCs/>
          <w:color w:val="auto"/>
          <w:sz w:val="21"/>
          <w:szCs w:val="21"/>
          <w:u w:val="single"/>
        </w:rPr>
      </w:pPr>
      <w:r>
        <w:rPr>
          <w:b/>
          <w:bCs/>
          <w:color w:val="auto"/>
          <w:kern w:val="0"/>
          <w:sz w:val="21"/>
          <w:szCs w:val="21"/>
        </w:rPr>
        <w:t>图3.</w:t>
      </w:r>
      <w:r>
        <w:rPr>
          <w:rFonts w:hint="eastAsia"/>
          <w:b/>
          <w:bCs/>
          <w:color w:val="auto"/>
          <w:kern w:val="0"/>
          <w:sz w:val="21"/>
          <w:szCs w:val="21"/>
          <w:lang w:val="en-US" w:eastAsia="zh-CN"/>
        </w:rPr>
        <w:t>6</w:t>
      </w:r>
      <w:r>
        <w:rPr>
          <w:b/>
          <w:bCs/>
          <w:color w:val="auto"/>
          <w:kern w:val="0"/>
          <w:sz w:val="21"/>
          <w:szCs w:val="21"/>
        </w:rPr>
        <w:t>-5  沼气利用流程及产污环节图</w:t>
      </w:r>
    </w:p>
    <w:p>
      <w:pPr>
        <w:ind w:firstLine="480"/>
        <w:rPr>
          <w:color w:val="auto"/>
        </w:rPr>
      </w:pPr>
      <w:r>
        <w:rPr>
          <w:color w:val="auto"/>
        </w:rPr>
        <w:t>沼气从沼气池流入管道，首先经过</w:t>
      </w:r>
      <w:r>
        <w:rPr>
          <w:rFonts w:hint="eastAsia"/>
          <w:color w:val="auto"/>
          <w:lang w:val="en-US" w:eastAsia="zh-CN"/>
        </w:rPr>
        <w:t>脱水器</w:t>
      </w:r>
      <w:r>
        <w:rPr>
          <w:color w:val="auto"/>
        </w:rPr>
        <w:t>和脱硫装置，其目的是净化沼气。净化后的沼气从</w:t>
      </w:r>
      <w:r>
        <w:rPr>
          <w:rFonts w:hint="eastAsia"/>
          <w:color w:val="auto"/>
          <w:lang w:eastAsia="zh-CN"/>
        </w:rPr>
        <w:t>储气柜</w:t>
      </w:r>
      <w:r>
        <w:rPr>
          <w:color w:val="auto"/>
        </w:rPr>
        <w:t>进入后续沼气利用系统。</w:t>
      </w:r>
    </w:p>
    <w:p>
      <w:pPr>
        <w:ind w:firstLine="480"/>
        <w:rPr>
          <w:b/>
          <w:bCs w:val="0"/>
          <w:color w:val="auto"/>
        </w:rPr>
      </w:pPr>
      <w:r>
        <w:rPr>
          <w:b/>
          <w:bCs w:val="0"/>
          <w:color w:val="auto"/>
        </w:rPr>
        <w:t>脱水器（气水分离器）</w:t>
      </w:r>
    </w:p>
    <w:p>
      <w:pPr>
        <w:ind w:firstLine="480"/>
        <w:rPr>
          <w:rFonts w:hint="eastAsia"/>
          <w:bCs/>
          <w:color w:val="auto"/>
        </w:rPr>
      </w:pPr>
      <w:r>
        <w:rPr>
          <w:rFonts w:hint="eastAsia"/>
          <w:bCs/>
          <w:color w:val="auto"/>
        </w:rPr>
        <w:t>从沼气池输出的发酵沼气中水蒸气含量与池温有关。通常情况下，池温越高，沼气中的水蒸气含量越高，随着这些水蒸气在输气管道中冷凝、积累，可能阻碍沼气输送，导致用气时沼气压力波动，沼气灶等用具燃烧不稳定，火焰忽大忽小，忽明忽暗。尤其在寒冷地区，冬季常常因为输气管道中积水结冰，沼气输送不畅或无法输送，严重影响用气。安装</w:t>
      </w:r>
      <w:r>
        <w:rPr>
          <w:bCs/>
          <w:color w:val="auto"/>
        </w:rPr>
        <w:t>脱水器（气水分离器）</w:t>
      </w:r>
      <w:r>
        <w:rPr>
          <w:rFonts w:hint="eastAsia"/>
          <w:bCs/>
          <w:color w:val="auto"/>
        </w:rPr>
        <w:t>可以除去沼气中的饱和水，缓解上述问题。</w:t>
      </w:r>
    </w:p>
    <w:p>
      <w:pPr>
        <w:ind w:firstLine="480"/>
        <w:rPr>
          <w:b/>
          <w:bCs w:val="0"/>
          <w:color w:val="auto"/>
        </w:rPr>
      </w:pPr>
      <w:r>
        <w:rPr>
          <w:b/>
          <w:bCs w:val="0"/>
          <w:color w:val="auto"/>
        </w:rPr>
        <w:t>脱硫（硫化氢的去除）</w:t>
      </w:r>
    </w:p>
    <w:p>
      <w:pPr>
        <w:ind w:firstLine="480"/>
        <w:rPr>
          <w:color w:val="auto"/>
        </w:rPr>
      </w:pPr>
      <w:r>
        <w:rPr>
          <w:rFonts w:hint="eastAsia"/>
          <w:bCs/>
          <w:color w:val="auto"/>
        </w:rPr>
        <w:t>沼气成分中</w:t>
      </w:r>
      <w:r>
        <w:rPr>
          <w:rFonts w:hint="eastAsia" w:eastAsia="宋体" w:cs="Times New Roman"/>
          <w:color w:val="auto"/>
          <w:lang w:bidi="zh-CN"/>
        </w:rPr>
        <w:t>含有一定量的H</w:t>
      </w:r>
      <w:r>
        <w:rPr>
          <w:rFonts w:hint="eastAsia" w:eastAsia="宋体" w:cs="Times New Roman"/>
          <w:color w:val="auto"/>
          <w:vertAlign w:val="subscript"/>
          <w:lang w:bidi="zh-CN"/>
        </w:rPr>
        <w:t>2</w:t>
      </w:r>
      <w:r>
        <w:rPr>
          <w:rFonts w:hint="eastAsia" w:eastAsia="宋体" w:cs="Times New Roman"/>
          <w:color w:val="auto"/>
          <w:lang w:bidi="zh-CN"/>
        </w:rPr>
        <w:t>S</w:t>
      </w:r>
      <w:r>
        <w:rPr>
          <w:rFonts w:hint="eastAsia"/>
          <w:bCs/>
          <w:color w:val="auto"/>
        </w:rPr>
        <w:t>，</w:t>
      </w:r>
      <w:r>
        <w:rPr>
          <w:bCs/>
          <w:color w:val="auto"/>
        </w:rPr>
        <w:t>需要进行脱硫处理，以防止对储气池以及沼气输送管道的腐蚀影响。</w:t>
      </w:r>
      <w:r>
        <w:rPr>
          <w:color w:val="auto"/>
        </w:rPr>
        <w:t>项目采用干法对沼气中硫化氢进行去除，脱硫装置内放入专用脱硫剂。脱硫装置原理为</w:t>
      </w:r>
      <w:r>
        <w:rPr>
          <w:rFonts w:hint="eastAsia"/>
          <w:color w:val="auto"/>
          <w:lang w:eastAsia="zh-CN"/>
        </w:rPr>
        <w:t>：</w:t>
      </w:r>
      <w:r>
        <w:rPr>
          <w:color w:val="auto"/>
        </w:rPr>
        <w:t>在一个容器内放入填料，填料层有氧化铁等，沼气以低流速从一端经过容器内填料层，H</w:t>
      </w:r>
      <w:r>
        <w:rPr>
          <w:color w:val="auto"/>
          <w:vertAlign w:val="subscript"/>
        </w:rPr>
        <w:t>2</w:t>
      </w:r>
      <w:r>
        <w:rPr>
          <w:color w:val="auto"/>
        </w:rPr>
        <w:t>S氧化成硫或硫化物后，余留在填料层中，净化后的气体从容器另一端排出。</w:t>
      </w:r>
    </w:p>
    <w:p>
      <w:pPr>
        <w:ind w:firstLine="480"/>
        <w:rPr>
          <w:color w:val="auto"/>
        </w:rPr>
      </w:pPr>
      <w:r>
        <w:rPr>
          <w:rFonts w:hint="eastAsia"/>
          <w:color w:val="auto"/>
        </w:rPr>
        <w:t>当沼气通过时，经如下反应，达到脱硫目的：</w:t>
      </w:r>
    </w:p>
    <w:p>
      <w:pPr>
        <w:autoSpaceDE w:val="0"/>
        <w:autoSpaceDN w:val="0"/>
        <w:adjustRightInd w:val="0"/>
        <w:snapToGrid w:val="0"/>
        <w:ind w:firstLine="480"/>
        <w:jc w:val="left"/>
        <w:rPr>
          <w:rFonts w:eastAsia="TimesNewRomanPSMT"/>
          <w:color w:val="auto"/>
          <w:kern w:val="0"/>
        </w:rPr>
      </w:pPr>
      <w:r>
        <w:rPr>
          <w:rFonts w:eastAsia="TimesNewRomanPSMT"/>
          <w:color w:val="auto"/>
          <w:kern w:val="0"/>
        </w:rPr>
        <w:t>Fe</w:t>
      </w:r>
      <w:r>
        <w:rPr>
          <w:rFonts w:eastAsia="TimesNewRomanPSMT"/>
          <w:color w:val="auto"/>
          <w:kern w:val="0"/>
          <w:vertAlign w:val="subscript"/>
        </w:rPr>
        <w:t>2</w:t>
      </w:r>
      <w:r>
        <w:rPr>
          <w:rFonts w:eastAsia="TimesNewRomanPSMT"/>
          <w:color w:val="auto"/>
          <w:kern w:val="0"/>
        </w:rPr>
        <w:t>O</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O+3H</w:t>
      </w:r>
      <w:r>
        <w:rPr>
          <w:rFonts w:eastAsia="TimesNewRomanPSMT"/>
          <w:color w:val="auto"/>
          <w:kern w:val="0"/>
          <w:vertAlign w:val="subscript"/>
        </w:rPr>
        <w:t>2</w:t>
      </w:r>
      <w:r>
        <w:rPr>
          <w:rFonts w:eastAsia="TimesNewRomanPSMT"/>
          <w:color w:val="auto"/>
          <w:kern w:val="0"/>
        </w:rPr>
        <w:t>S</w:t>
      </w:r>
      <w:r>
        <w:rPr>
          <w:color w:val="auto"/>
          <w:kern w:val="0"/>
        </w:rPr>
        <w:t>==</w:t>
      </w:r>
      <w:r>
        <w:rPr>
          <w:rFonts w:eastAsia="TimesNewRomanPSMT"/>
          <w:color w:val="auto"/>
          <w:kern w:val="0"/>
        </w:rPr>
        <w:t>Fe</w:t>
      </w:r>
      <w:r>
        <w:rPr>
          <w:rFonts w:eastAsia="TimesNewRomanPSMT"/>
          <w:color w:val="auto"/>
          <w:kern w:val="0"/>
          <w:vertAlign w:val="subscript"/>
        </w:rPr>
        <w:t>2</w:t>
      </w:r>
      <w:r>
        <w:rPr>
          <w:rFonts w:eastAsia="TimesNewRomanPSMT"/>
          <w:color w:val="auto"/>
          <w:kern w:val="0"/>
        </w:rPr>
        <w:t>S</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O+3H</w:t>
      </w:r>
      <w:r>
        <w:rPr>
          <w:rFonts w:eastAsia="TimesNewRomanPSMT"/>
          <w:color w:val="auto"/>
          <w:kern w:val="0"/>
          <w:vertAlign w:val="subscript"/>
        </w:rPr>
        <w:t>2</w:t>
      </w:r>
      <w:r>
        <w:rPr>
          <w:rFonts w:eastAsia="TimesNewRomanPSMT"/>
          <w:color w:val="auto"/>
          <w:kern w:val="0"/>
        </w:rPr>
        <w:t>O</w:t>
      </w:r>
    </w:p>
    <w:p>
      <w:pPr>
        <w:adjustRightInd w:val="0"/>
        <w:snapToGrid w:val="0"/>
        <w:ind w:firstLine="480"/>
        <w:rPr>
          <w:rFonts w:eastAsia="TimesNewRomanPSMT"/>
          <w:color w:val="auto"/>
          <w:kern w:val="0"/>
        </w:rPr>
      </w:pPr>
      <w:r>
        <w:rPr>
          <w:rFonts w:eastAsia="TimesNewRomanPSMT"/>
          <w:color w:val="auto"/>
          <w:kern w:val="0"/>
        </w:rPr>
        <w:t>Fe</w:t>
      </w:r>
      <w:r>
        <w:rPr>
          <w:rFonts w:eastAsia="TimesNewRomanPSMT"/>
          <w:color w:val="auto"/>
          <w:kern w:val="0"/>
          <w:vertAlign w:val="subscript"/>
        </w:rPr>
        <w:t>2</w:t>
      </w:r>
      <w:r>
        <w:rPr>
          <w:rFonts w:eastAsia="TimesNewRomanPSMT"/>
          <w:color w:val="auto"/>
          <w:kern w:val="0"/>
        </w:rPr>
        <w:t>O</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O+3H</w:t>
      </w:r>
      <w:r>
        <w:rPr>
          <w:rFonts w:eastAsia="TimesNewRomanPSMT"/>
          <w:color w:val="auto"/>
          <w:kern w:val="0"/>
          <w:vertAlign w:val="subscript"/>
        </w:rPr>
        <w:t>2</w:t>
      </w:r>
      <w:r>
        <w:rPr>
          <w:rFonts w:eastAsia="TimesNewRomanPSMT"/>
          <w:color w:val="auto"/>
          <w:kern w:val="0"/>
        </w:rPr>
        <w:t>S</w:t>
      </w:r>
      <w:r>
        <w:rPr>
          <w:color w:val="auto"/>
          <w:kern w:val="0"/>
        </w:rPr>
        <w:t>==</w:t>
      </w:r>
      <w:r>
        <w:rPr>
          <w:rFonts w:eastAsia="TimesNewRomanPSMT"/>
          <w:color w:val="auto"/>
          <w:kern w:val="0"/>
        </w:rPr>
        <w:t>2FeS+S+4H</w:t>
      </w:r>
      <w:r>
        <w:rPr>
          <w:rFonts w:eastAsia="TimesNewRomanPSMT"/>
          <w:color w:val="auto"/>
          <w:kern w:val="0"/>
          <w:vertAlign w:val="subscript"/>
        </w:rPr>
        <w:t>2</w:t>
      </w:r>
      <w:r>
        <w:rPr>
          <w:rFonts w:eastAsia="TimesNewRomanPSMT"/>
          <w:color w:val="auto"/>
          <w:kern w:val="0"/>
        </w:rPr>
        <w:t>O</w:t>
      </w:r>
    </w:p>
    <w:p>
      <w:pPr>
        <w:adjustRightInd w:val="0"/>
        <w:snapToGrid w:val="0"/>
        <w:ind w:firstLine="480"/>
        <w:rPr>
          <w:rFonts w:eastAsia="TimesNewRomanPSMT"/>
          <w:color w:val="auto"/>
          <w:kern w:val="0"/>
        </w:rPr>
      </w:pPr>
      <w:r>
        <w:rPr>
          <w:rFonts w:eastAsia="TimesNewRomanPSMT"/>
          <w:color w:val="auto"/>
          <w:kern w:val="0"/>
        </w:rPr>
        <w:t>再生</w:t>
      </w:r>
      <w:r>
        <w:rPr>
          <w:rFonts w:hint="eastAsia" w:eastAsia="TimesNewRomanPSMT"/>
          <w:color w:val="auto"/>
          <w:kern w:val="0"/>
        </w:rPr>
        <w:t>：</w:t>
      </w:r>
    </w:p>
    <w:p>
      <w:pPr>
        <w:autoSpaceDE w:val="0"/>
        <w:autoSpaceDN w:val="0"/>
        <w:adjustRightInd w:val="0"/>
        <w:snapToGrid w:val="0"/>
        <w:ind w:firstLine="480"/>
        <w:jc w:val="left"/>
        <w:rPr>
          <w:rFonts w:eastAsia="TimesNewRomanPSMT"/>
          <w:color w:val="auto"/>
          <w:kern w:val="0"/>
        </w:rPr>
      </w:pPr>
      <w:r>
        <w:rPr>
          <w:rFonts w:eastAsia="TimesNewRomanPSMT"/>
          <w:color w:val="auto"/>
          <w:kern w:val="0"/>
        </w:rPr>
        <w:t>Fe</w:t>
      </w:r>
      <w:r>
        <w:rPr>
          <w:rFonts w:eastAsia="TimesNewRomanPSMT"/>
          <w:color w:val="auto"/>
          <w:kern w:val="0"/>
          <w:vertAlign w:val="subscript"/>
        </w:rPr>
        <w:t>2</w:t>
      </w:r>
      <w:r>
        <w:rPr>
          <w:rFonts w:eastAsia="TimesNewRomanPSMT"/>
          <w:color w:val="auto"/>
          <w:kern w:val="0"/>
        </w:rPr>
        <w:t>S</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O+3/2H</w:t>
      </w:r>
      <w:r>
        <w:rPr>
          <w:rFonts w:eastAsia="TimesNewRomanPSMT"/>
          <w:color w:val="auto"/>
          <w:kern w:val="0"/>
          <w:vertAlign w:val="subscript"/>
        </w:rPr>
        <w:t>2</w:t>
      </w:r>
      <w:r>
        <w:rPr>
          <w:rFonts w:eastAsia="TimesNewRomanPSMT"/>
          <w:color w:val="auto"/>
          <w:kern w:val="0"/>
        </w:rPr>
        <w:t>S= Fe</w:t>
      </w:r>
      <w:r>
        <w:rPr>
          <w:rFonts w:eastAsia="TimesNewRomanPSMT"/>
          <w:color w:val="auto"/>
          <w:kern w:val="0"/>
          <w:vertAlign w:val="subscript"/>
        </w:rPr>
        <w:t>2</w:t>
      </w:r>
      <w:r>
        <w:rPr>
          <w:rFonts w:eastAsia="TimesNewRomanPSMT"/>
          <w:color w:val="auto"/>
          <w:kern w:val="0"/>
        </w:rPr>
        <w:t>O</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O+3S</w:t>
      </w:r>
    </w:p>
    <w:p>
      <w:pPr>
        <w:autoSpaceDE w:val="0"/>
        <w:autoSpaceDN w:val="0"/>
        <w:adjustRightInd w:val="0"/>
        <w:snapToGrid w:val="0"/>
        <w:ind w:firstLine="480"/>
        <w:jc w:val="left"/>
        <w:rPr>
          <w:rFonts w:hint="eastAsia" w:eastAsia="TimesNewRomanPSMT"/>
          <w:color w:val="auto"/>
          <w:kern w:val="0"/>
        </w:rPr>
      </w:pPr>
      <w:r>
        <w:rPr>
          <w:rFonts w:eastAsia="TimesNewRomanPSMT"/>
          <w:color w:val="auto"/>
          <w:kern w:val="0"/>
        </w:rPr>
        <w:t>2FeS+3/2O</w:t>
      </w:r>
      <w:r>
        <w:rPr>
          <w:rFonts w:eastAsia="TimesNewRomanPSMT"/>
          <w:color w:val="auto"/>
          <w:kern w:val="0"/>
          <w:vertAlign w:val="subscript"/>
        </w:rPr>
        <w:t>2</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O=Fe</w:t>
      </w:r>
      <w:r>
        <w:rPr>
          <w:rFonts w:eastAsia="TimesNewRomanPSMT"/>
          <w:color w:val="auto"/>
          <w:kern w:val="0"/>
          <w:vertAlign w:val="subscript"/>
        </w:rPr>
        <w:t>2</w:t>
      </w:r>
      <w:r>
        <w:rPr>
          <w:rFonts w:eastAsia="TimesNewRomanPSMT"/>
          <w:color w:val="auto"/>
          <w:kern w:val="0"/>
        </w:rPr>
        <w:t>O</w:t>
      </w:r>
      <w:r>
        <w:rPr>
          <w:rFonts w:eastAsia="TimesNewRomanPSMT"/>
          <w:color w:val="auto"/>
          <w:kern w:val="0"/>
          <w:vertAlign w:val="subscript"/>
        </w:rPr>
        <w:t>3</w:t>
      </w:r>
      <w:r>
        <w:rPr>
          <w:rFonts w:eastAsia="TimesNewRomanPSMT"/>
          <w:color w:val="auto"/>
          <w:kern w:val="0"/>
        </w:rPr>
        <w:t>·H</w:t>
      </w:r>
      <w:r>
        <w:rPr>
          <w:rFonts w:eastAsia="TimesNewRomanPSMT"/>
          <w:color w:val="auto"/>
          <w:kern w:val="0"/>
          <w:vertAlign w:val="subscript"/>
        </w:rPr>
        <w:t>2</w:t>
      </w:r>
      <w:r>
        <w:rPr>
          <w:rFonts w:eastAsia="TimesNewRomanPSMT"/>
          <w:color w:val="auto"/>
          <w:kern w:val="0"/>
        </w:rPr>
        <w:t>O+2S</w:t>
      </w:r>
    </w:p>
    <w:p>
      <w:pPr>
        <w:ind w:firstLine="480"/>
        <w:rPr>
          <w:color w:val="auto"/>
        </w:rPr>
      </w:pPr>
      <w:r>
        <w:rPr>
          <w:rFonts w:hint="eastAsia"/>
          <w:color w:val="auto"/>
        </w:rPr>
        <w:t>氧化铁脱硫剂在进行脱硫时，沼气中的H</w:t>
      </w:r>
      <w:r>
        <w:rPr>
          <w:rFonts w:hint="eastAsia"/>
          <w:color w:val="auto"/>
          <w:vertAlign w:val="subscript"/>
        </w:rPr>
        <w:t>2</w:t>
      </w:r>
      <w:r>
        <w:rPr>
          <w:rFonts w:hint="eastAsia"/>
          <w:color w:val="auto"/>
        </w:rPr>
        <w:t>S在固体氧化铁（Fe</w:t>
      </w:r>
      <w:r>
        <w:rPr>
          <w:color w:val="auto"/>
          <w:vertAlign w:val="subscript"/>
        </w:rPr>
        <w:t>2</w:t>
      </w:r>
      <w:r>
        <w:rPr>
          <w:rFonts w:hint="eastAsia"/>
          <w:color w:val="auto"/>
        </w:rPr>
        <w:t>O</w:t>
      </w:r>
      <w:r>
        <w:rPr>
          <w:rFonts w:hint="eastAsia"/>
          <w:color w:val="auto"/>
          <w:vertAlign w:val="subscript"/>
        </w:rPr>
        <w:t>3</w:t>
      </w:r>
      <w:r>
        <w:rPr>
          <w:color w:val="auto"/>
        </w:rPr>
        <w:t>·</w:t>
      </w:r>
      <w:r>
        <w:rPr>
          <w:rFonts w:hint="eastAsia"/>
          <w:color w:val="auto"/>
        </w:rPr>
        <w:t>H</w:t>
      </w:r>
      <w:r>
        <w:rPr>
          <w:rFonts w:hint="eastAsia"/>
          <w:color w:val="auto"/>
          <w:vertAlign w:val="subscript"/>
        </w:rPr>
        <w:t>2</w:t>
      </w:r>
      <w:r>
        <w:rPr>
          <w:rFonts w:hint="eastAsia"/>
          <w:color w:val="auto"/>
        </w:rPr>
        <w:t>O）的表面进行，沼气在脱硫塔中的流速越小，接触时间越长，反应进行的越充分，脱硫效果也越好，沼气脱硫效率可达95%。由于</w:t>
      </w:r>
      <w:r>
        <w:rPr>
          <w:color w:val="auto"/>
        </w:rPr>
        <w:t>FeS不易再生</w:t>
      </w:r>
      <w:r>
        <w:rPr>
          <w:rFonts w:hint="eastAsia"/>
          <w:color w:val="auto"/>
        </w:rPr>
        <w:t>，当氧化铁（FeS）含量达到30%时，其活性会逐渐下降，脱硫效果变差，需要更换脱硫剂，更换周期一般为1次/年，更换的脱硫剂由生产厂家再生处理。</w:t>
      </w:r>
    </w:p>
    <w:p>
      <w:pPr>
        <w:ind w:firstLine="480"/>
        <w:rPr>
          <w:b/>
          <w:bCs w:val="0"/>
          <w:color w:val="auto"/>
        </w:rPr>
      </w:pPr>
      <w:r>
        <w:rPr>
          <w:b/>
          <w:bCs w:val="0"/>
          <w:color w:val="auto"/>
        </w:rPr>
        <w:t>沼气的安全利用</w:t>
      </w:r>
    </w:p>
    <w:p>
      <w:pPr>
        <w:ind w:firstLine="480"/>
        <w:rPr>
          <w:bCs/>
          <w:color w:val="auto"/>
        </w:rPr>
      </w:pPr>
      <w:r>
        <w:rPr>
          <w:bCs/>
          <w:color w:val="auto"/>
        </w:rPr>
        <w:t>沼气净化后进入</w:t>
      </w:r>
      <w:r>
        <w:rPr>
          <w:rFonts w:hint="eastAsia"/>
          <w:color w:val="auto"/>
          <w:lang w:eastAsia="zh-CN"/>
        </w:rPr>
        <w:t>储气柜</w:t>
      </w:r>
      <w:r>
        <w:rPr>
          <w:bCs/>
          <w:color w:val="auto"/>
        </w:rPr>
        <w:t>，</w:t>
      </w:r>
      <w:r>
        <w:rPr>
          <w:rFonts w:hint="eastAsia"/>
          <w:bCs/>
          <w:color w:val="auto"/>
          <w:lang w:eastAsia="zh-CN"/>
        </w:rPr>
        <w:t>储气柜</w:t>
      </w:r>
      <w:r>
        <w:rPr>
          <w:bCs/>
          <w:color w:val="auto"/>
        </w:rPr>
        <w:t>对整个系统具有气量缓冲的作用。</w:t>
      </w:r>
    </w:p>
    <w:p>
      <w:pPr>
        <w:pStyle w:val="50"/>
        <w:numPr>
          <w:ilvl w:val="0"/>
          <w:numId w:val="0"/>
        </w:numPr>
        <w:ind w:leftChars="200"/>
        <w:rPr>
          <w:rFonts w:hint="eastAsia"/>
          <w:b/>
          <w:bCs w:val="0"/>
          <w:color w:val="auto"/>
          <w:lang w:eastAsia="zh-CN"/>
        </w:rPr>
      </w:pPr>
      <w:r>
        <w:rPr>
          <w:rFonts w:hint="eastAsia"/>
          <w:b/>
          <w:bCs w:val="0"/>
          <w:color w:val="auto"/>
          <w:lang w:eastAsia="zh-CN"/>
        </w:rPr>
        <w:t>沼气储存</w:t>
      </w:r>
    </w:p>
    <w:p>
      <w:pPr>
        <w:ind w:firstLine="480"/>
        <w:rPr>
          <w:rFonts w:hint="eastAsia" w:eastAsia="宋体"/>
          <w:color w:val="auto"/>
          <w:lang w:eastAsia="zh-CN"/>
        </w:rPr>
      </w:pPr>
      <w:r>
        <w:rPr>
          <w:rFonts w:hint="eastAsia"/>
          <w:bCs/>
          <w:color w:val="auto"/>
          <w:lang w:eastAsia="zh-CN"/>
        </w:rPr>
        <w:t>沼气采用储气柜储存，根据《规模化畜禽养殖场沼气工程设计规范》（NY/T1222-2006），储气柜的容积按日产量的40%设计，</w:t>
      </w:r>
      <w:r>
        <w:rPr>
          <w:rFonts w:hint="eastAsia"/>
          <w:bCs/>
          <w:color w:val="auto"/>
          <w:lang w:val="en-US" w:eastAsia="zh-CN"/>
        </w:rPr>
        <w:t>项目沼气产生量</w:t>
      </w:r>
      <w:r>
        <w:rPr>
          <w:rFonts w:hint="eastAsia"/>
          <w:color w:val="auto"/>
          <w:lang w:val="en-US" w:eastAsia="zh-CN"/>
        </w:rPr>
        <w:t>21.349</w:t>
      </w:r>
      <w:r>
        <w:rPr>
          <w:color w:val="auto"/>
        </w:rPr>
        <w:t>m</w:t>
      </w:r>
      <w:r>
        <w:rPr>
          <w:color w:val="auto"/>
          <w:vertAlign w:val="superscript"/>
        </w:rPr>
        <w:t>3</w:t>
      </w:r>
      <w:r>
        <w:rPr>
          <w:color w:val="auto"/>
        </w:rPr>
        <w:t>/d</w:t>
      </w:r>
      <w:r>
        <w:rPr>
          <w:rFonts w:hint="eastAsia"/>
          <w:color w:val="auto"/>
          <w:lang w:eastAsia="zh-CN"/>
        </w:rPr>
        <w:t>，</w:t>
      </w:r>
      <w:r>
        <w:rPr>
          <w:rFonts w:hint="eastAsia"/>
          <w:bCs/>
          <w:color w:val="auto"/>
          <w:lang w:eastAsia="zh-CN"/>
        </w:rPr>
        <w:t xml:space="preserve">则项目场区储气柜容积应大于8.5396m </w:t>
      </w:r>
      <w:r>
        <w:rPr>
          <w:rFonts w:hint="eastAsia"/>
          <w:bCs/>
          <w:color w:val="auto"/>
          <w:vertAlign w:val="superscript"/>
          <w:lang w:eastAsia="zh-CN"/>
        </w:rPr>
        <w:t xml:space="preserve">3 </w:t>
      </w:r>
      <w:r>
        <w:rPr>
          <w:rFonts w:hint="eastAsia"/>
          <w:bCs/>
          <w:color w:val="auto"/>
          <w:lang w:eastAsia="zh-CN"/>
        </w:rPr>
        <w:t>，本项目设</w:t>
      </w:r>
      <w:r>
        <w:rPr>
          <w:rFonts w:hint="eastAsia"/>
          <w:bCs/>
          <w:color w:val="auto"/>
          <w:lang w:val="en-US" w:eastAsia="zh-CN"/>
        </w:rPr>
        <w:t>80</w:t>
      </w:r>
      <w:r>
        <w:rPr>
          <w:rFonts w:hint="eastAsia"/>
          <w:bCs/>
          <w:color w:val="auto"/>
          <w:lang w:eastAsia="zh-CN"/>
        </w:rPr>
        <w:t xml:space="preserve">m </w:t>
      </w:r>
      <w:r>
        <w:rPr>
          <w:rFonts w:hint="eastAsia"/>
          <w:bCs/>
          <w:color w:val="auto"/>
          <w:vertAlign w:val="superscript"/>
          <w:lang w:eastAsia="zh-CN"/>
        </w:rPr>
        <w:t>3</w:t>
      </w:r>
      <w:r>
        <w:rPr>
          <w:rFonts w:hint="eastAsia"/>
          <w:bCs/>
          <w:color w:val="auto"/>
          <w:lang w:eastAsia="zh-CN"/>
        </w:rPr>
        <w:t xml:space="preserve"> 储气柜，用于储存沼气，能够满足沼气存放要求。</w:t>
      </w:r>
    </w:p>
    <w:p>
      <w:pPr>
        <w:numPr>
          <w:ilvl w:val="0"/>
          <w:numId w:val="7"/>
        </w:numPr>
        <w:ind w:left="0" w:leftChars="0" w:firstLine="480" w:firstLineChars="200"/>
        <w:rPr>
          <w:rFonts w:hint="eastAsia"/>
          <w:color w:val="auto"/>
          <w:lang w:val="en-US" w:eastAsia="zh-CN"/>
        </w:rPr>
      </w:pPr>
      <w:r>
        <w:rPr>
          <w:rFonts w:hint="eastAsia"/>
          <w:color w:val="auto"/>
          <w:lang w:val="en-US" w:eastAsia="zh-CN"/>
        </w:rPr>
        <w:t>排放情况</w:t>
      </w:r>
    </w:p>
    <w:p>
      <w:pPr>
        <w:numPr>
          <w:ilvl w:val="0"/>
          <w:numId w:val="0"/>
        </w:numPr>
        <w:ind w:firstLine="480" w:firstLineChars="200"/>
        <w:rPr>
          <w:rFonts w:hint="eastAsia"/>
          <w:color w:val="auto"/>
        </w:rPr>
      </w:pPr>
      <w:r>
        <w:rPr>
          <w:rFonts w:hint="default" w:ascii="Times New Roman" w:hAnsi="Times New Roman" w:cs="Times New Roman"/>
          <w:color w:val="auto"/>
          <w:highlight w:val="none"/>
        </w:rPr>
        <w:t>通过食堂炉灶和火炬燃烧沼气时，净化后的沼气中仅含有极少量H</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S（H</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S≤20mg/m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）及其它杂质。根据《环境保护实用数据手册》中各种燃料燃烧时产生污染物系数和本项目沼气的含硫量知：沼气燃烧时会产生SO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与NOx，每1m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沼气燃烧SO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产生量为0.0376g；沼气燃烧时NOx产生量为6.3kg/万m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沼气。根据环保数据手册，火炬口每燃烧1m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沼气产生废气10.5m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（空气过剩量按 1 计算）</w:t>
      </w:r>
      <w:r>
        <w:rPr>
          <w:rFonts w:hint="eastAsia"/>
          <w:color w:val="auto"/>
        </w:rPr>
        <w:t>。具体污染物见下表。</w:t>
      </w:r>
    </w:p>
    <w:p>
      <w:pPr>
        <w:pStyle w:val="265"/>
        <w:spacing w:line="240" w:lineRule="auto"/>
        <w:jc w:val="center"/>
        <w:rPr>
          <w:rFonts w:hint="eastAsia"/>
          <w:b/>
          <w:bCs/>
          <w:color w:val="auto"/>
          <w:sz w:val="21"/>
          <w:szCs w:val="22"/>
        </w:rPr>
      </w:pPr>
      <w:r>
        <w:rPr>
          <w:rFonts w:hint="eastAsia"/>
          <w:b/>
          <w:bCs/>
          <w:color w:val="auto"/>
          <w:sz w:val="21"/>
          <w:szCs w:val="22"/>
        </w:rPr>
        <w:t>表 3.</w:t>
      </w:r>
      <w:r>
        <w:rPr>
          <w:rFonts w:hint="eastAsia"/>
          <w:b/>
          <w:bCs/>
          <w:color w:val="auto"/>
          <w:sz w:val="21"/>
          <w:szCs w:val="22"/>
          <w:lang w:val="en-US" w:eastAsia="zh-CN"/>
        </w:rPr>
        <w:t>6</w:t>
      </w:r>
      <w:r>
        <w:rPr>
          <w:rFonts w:hint="eastAsia"/>
          <w:b/>
          <w:bCs/>
          <w:color w:val="auto"/>
          <w:sz w:val="21"/>
          <w:szCs w:val="22"/>
        </w:rPr>
        <w:t>-</w:t>
      </w:r>
      <w:r>
        <w:rPr>
          <w:rFonts w:hint="eastAsia"/>
          <w:b/>
          <w:bCs/>
          <w:color w:val="auto"/>
          <w:sz w:val="21"/>
          <w:szCs w:val="22"/>
          <w:lang w:val="en-US" w:eastAsia="zh-CN"/>
        </w:rPr>
        <w:t xml:space="preserve">13 </w:t>
      </w:r>
      <w:r>
        <w:rPr>
          <w:rFonts w:hint="eastAsia"/>
          <w:b/>
          <w:bCs/>
          <w:color w:val="auto"/>
          <w:sz w:val="21"/>
          <w:szCs w:val="22"/>
        </w:rPr>
        <w:t>沼气燃烧废气污染物一览表</w:t>
      </w:r>
    </w:p>
    <w:tbl>
      <w:tblPr>
        <w:tblStyle w:val="5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823"/>
        <w:gridCol w:w="916"/>
        <w:gridCol w:w="1935"/>
        <w:gridCol w:w="1558"/>
        <w:gridCol w:w="1505"/>
        <w:gridCol w:w="16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rPr>
              <w:t>序号</w:t>
            </w:r>
          </w:p>
        </w:tc>
        <w:tc>
          <w:tcPr>
            <w:tcW w:w="823"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rPr>
              <w:t>沼气量</w:t>
            </w:r>
          </w:p>
        </w:tc>
        <w:tc>
          <w:tcPr>
            <w:tcW w:w="2851" w:type="dxa"/>
            <w:gridSpan w:val="2"/>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rPr>
              <w:t>产污系数</w:t>
            </w:r>
          </w:p>
        </w:tc>
        <w:tc>
          <w:tcPr>
            <w:tcW w:w="155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rPr>
              <w:t>污染物产生量（</w:t>
            </w:r>
            <w:r>
              <w:rPr>
                <w:rFonts w:hint="eastAsia"/>
                <w:b/>
                <w:bCs/>
                <w:color w:val="auto"/>
                <w:sz w:val="21"/>
                <w:szCs w:val="21"/>
                <w:vertAlign w:val="baseline"/>
                <w:lang w:val="en-US" w:eastAsia="zh-CN"/>
              </w:rPr>
              <w:t>kg</w:t>
            </w:r>
            <w:r>
              <w:rPr>
                <w:rFonts w:hint="eastAsia"/>
                <w:b/>
                <w:bCs/>
                <w:color w:val="auto"/>
                <w:sz w:val="21"/>
                <w:szCs w:val="21"/>
                <w:vertAlign w:val="baseline"/>
              </w:rPr>
              <w:t>/a ）</w:t>
            </w:r>
          </w:p>
        </w:tc>
        <w:tc>
          <w:tcPr>
            <w:tcW w:w="150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rPr>
              <w:t>污染物排放量（</w:t>
            </w:r>
            <w:r>
              <w:rPr>
                <w:rFonts w:hint="eastAsia"/>
                <w:b/>
                <w:bCs/>
                <w:color w:val="auto"/>
                <w:sz w:val="21"/>
                <w:szCs w:val="21"/>
                <w:vertAlign w:val="baseline"/>
                <w:lang w:val="en-US" w:eastAsia="zh-CN"/>
              </w:rPr>
              <w:t>kg</w:t>
            </w:r>
            <w:r>
              <w:rPr>
                <w:rFonts w:hint="eastAsia"/>
                <w:b/>
                <w:bCs/>
                <w:color w:val="auto"/>
                <w:sz w:val="21"/>
                <w:szCs w:val="21"/>
                <w:vertAlign w:val="baseline"/>
              </w:rPr>
              <w:t>/a ）</w:t>
            </w:r>
          </w:p>
        </w:tc>
        <w:tc>
          <w:tcPr>
            <w:tcW w:w="1621"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bCs/>
                <w:color w:val="auto"/>
                <w:sz w:val="21"/>
                <w:szCs w:val="21"/>
                <w:vertAlign w:val="baseline"/>
              </w:rPr>
            </w:pPr>
            <w:r>
              <w:rPr>
                <w:rFonts w:hint="eastAsia"/>
                <w:b/>
                <w:bCs/>
                <w:color w:val="auto"/>
                <w:sz w:val="21"/>
                <w:szCs w:val="21"/>
                <w:vertAlign w:val="baseline"/>
                <w:lang w:val="en-US" w:eastAsia="zh-CN"/>
              </w:rPr>
              <w:t>排放参数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5" w:type="dxa"/>
            <w:noWrap w:val="0"/>
            <w:vAlign w:val="center"/>
          </w:tcPr>
          <w:p>
            <w:pPr>
              <w:pStyle w:val="265"/>
              <w:keepNext w:val="0"/>
              <w:keepLines w:val="0"/>
              <w:pageBreakBefore w:val="0"/>
              <w:widowControl w:val="0"/>
              <w:numPr>
                <w:ilvl w:val="0"/>
                <w:numId w:val="8"/>
              </w:numPr>
              <w:kinsoku/>
              <w:wordWrap/>
              <w:overflowPunct/>
              <w:topLinePunct w:val="0"/>
              <w:autoSpaceDE/>
              <w:autoSpaceDN/>
              <w:bidi w:val="0"/>
              <w:adjustRightInd/>
              <w:snapToGrid/>
              <w:spacing w:line="0" w:lineRule="atLeast"/>
              <w:ind w:left="425" w:leftChars="0" w:hanging="425" w:firstLineChars="0"/>
              <w:jc w:val="center"/>
              <w:textAlignment w:val="auto"/>
              <w:rPr>
                <w:rFonts w:hint="eastAsia"/>
                <w:b w:val="0"/>
                <w:bCs w:val="0"/>
                <w:color w:val="auto"/>
                <w:sz w:val="21"/>
                <w:szCs w:val="21"/>
                <w:vertAlign w:val="baseline"/>
              </w:rPr>
            </w:pPr>
          </w:p>
        </w:tc>
        <w:tc>
          <w:tcPr>
            <w:tcW w:w="823" w:type="dxa"/>
            <w:vMerge w:val="restart"/>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1"/>
                <w:szCs w:val="21"/>
              </w:rPr>
            </w:pPr>
            <w:r>
              <w:rPr>
                <w:rFonts w:hint="eastAsia"/>
                <w:color w:val="auto"/>
                <w:sz w:val="21"/>
                <w:szCs w:val="21"/>
              </w:rPr>
              <w:t>7792.4</w:t>
            </w:r>
          </w:p>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m</w:t>
            </w:r>
            <w:r>
              <w:rPr>
                <w:rFonts w:hint="eastAsia"/>
                <w:b w:val="0"/>
                <w:bCs w:val="0"/>
                <w:color w:val="auto"/>
                <w:sz w:val="21"/>
                <w:szCs w:val="21"/>
                <w:vertAlign w:val="superscript"/>
              </w:rPr>
              <w:t xml:space="preserve"> 3</w:t>
            </w:r>
            <w:r>
              <w:rPr>
                <w:rFonts w:hint="eastAsia"/>
                <w:color w:val="auto"/>
                <w:sz w:val="21"/>
                <w:szCs w:val="21"/>
              </w:rPr>
              <w:t xml:space="preserve"> /a</w:t>
            </w:r>
          </w:p>
        </w:tc>
        <w:tc>
          <w:tcPr>
            <w:tcW w:w="916"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废气量</w:t>
            </w:r>
          </w:p>
        </w:tc>
        <w:tc>
          <w:tcPr>
            <w:tcW w:w="193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10.5m</w:t>
            </w:r>
            <w:r>
              <w:rPr>
                <w:rFonts w:hint="eastAsia"/>
                <w:b w:val="0"/>
                <w:bCs w:val="0"/>
                <w:color w:val="auto"/>
                <w:sz w:val="21"/>
                <w:szCs w:val="21"/>
                <w:vertAlign w:val="superscript"/>
              </w:rPr>
              <w:t xml:space="preserve"> 3</w:t>
            </w:r>
            <w:r>
              <w:rPr>
                <w:rFonts w:hint="eastAsia"/>
                <w:b w:val="0"/>
                <w:bCs w:val="0"/>
                <w:color w:val="auto"/>
                <w:sz w:val="21"/>
                <w:szCs w:val="21"/>
                <w:vertAlign w:val="baseline"/>
              </w:rPr>
              <w:t xml:space="preserve"> /m</w:t>
            </w:r>
            <w:r>
              <w:rPr>
                <w:rFonts w:hint="eastAsia"/>
                <w:b w:val="0"/>
                <w:bCs w:val="0"/>
                <w:color w:val="auto"/>
                <w:sz w:val="21"/>
                <w:szCs w:val="21"/>
                <w:vertAlign w:val="superscript"/>
              </w:rPr>
              <w:t xml:space="preserve"> 3</w:t>
            </w:r>
            <w:r>
              <w:rPr>
                <w:rFonts w:hint="eastAsia"/>
                <w:b w:val="0"/>
                <w:bCs w:val="0"/>
                <w:color w:val="auto"/>
                <w:sz w:val="21"/>
                <w:szCs w:val="21"/>
                <w:vertAlign w:val="baseline"/>
              </w:rPr>
              <w:t xml:space="preserve">沼气量 </w:t>
            </w:r>
          </w:p>
        </w:tc>
        <w:tc>
          <w:tcPr>
            <w:tcW w:w="155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b w:val="0"/>
                <w:bCs w:val="0"/>
                <w:color w:val="auto"/>
                <w:sz w:val="21"/>
                <w:szCs w:val="21"/>
                <w:vertAlign w:val="baseline"/>
                <w:lang w:val="en-US" w:eastAsia="zh-CN"/>
              </w:rPr>
            </w:pPr>
            <w:r>
              <w:rPr>
                <w:rFonts w:hint="eastAsia"/>
                <w:b w:val="0"/>
                <w:bCs w:val="0"/>
                <w:color w:val="auto"/>
                <w:sz w:val="21"/>
                <w:szCs w:val="21"/>
                <w:vertAlign w:val="baseline"/>
              </w:rPr>
              <w:t>81820.2m</w:t>
            </w:r>
            <w:r>
              <w:rPr>
                <w:rFonts w:hint="eastAsia"/>
                <w:b w:val="0"/>
                <w:bCs w:val="0"/>
                <w:color w:val="auto"/>
                <w:sz w:val="21"/>
                <w:szCs w:val="21"/>
                <w:vertAlign w:val="superscript"/>
              </w:rPr>
              <w:t xml:space="preserve"> 3</w:t>
            </w:r>
            <w:r>
              <w:rPr>
                <w:rFonts w:hint="eastAsia"/>
                <w:color w:val="auto"/>
                <w:sz w:val="21"/>
                <w:szCs w:val="21"/>
              </w:rPr>
              <w:t xml:space="preserve"> /a</w:t>
            </w:r>
          </w:p>
        </w:tc>
        <w:tc>
          <w:tcPr>
            <w:tcW w:w="150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81820.2m</w:t>
            </w:r>
            <w:r>
              <w:rPr>
                <w:rFonts w:hint="eastAsia"/>
                <w:b w:val="0"/>
                <w:bCs w:val="0"/>
                <w:color w:val="auto"/>
                <w:sz w:val="21"/>
                <w:szCs w:val="21"/>
                <w:vertAlign w:val="superscript"/>
              </w:rPr>
              <w:t xml:space="preserve"> 3</w:t>
            </w:r>
            <w:r>
              <w:rPr>
                <w:rFonts w:hint="eastAsia"/>
                <w:color w:val="auto"/>
                <w:sz w:val="21"/>
                <w:szCs w:val="21"/>
              </w:rPr>
              <w:t xml:space="preserve"> /a</w:t>
            </w:r>
          </w:p>
        </w:tc>
        <w:tc>
          <w:tcPr>
            <w:tcW w:w="162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val="0"/>
                <w:bCs/>
                <w:color w:val="auto"/>
                <w:sz w:val="21"/>
                <w:szCs w:val="21"/>
                <w:vertAlign w:val="baseline"/>
                <w:lang w:val="en-US" w:eastAsia="zh-CN"/>
              </w:rPr>
            </w:pPr>
            <w:r>
              <w:rPr>
                <w:rFonts w:hint="eastAsia"/>
                <w:b w:val="0"/>
                <w:bCs/>
                <w:color w:val="auto"/>
                <w:sz w:val="21"/>
                <w:szCs w:val="21"/>
                <w:vertAlign w:val="baseline"/>
                <w:lang w:val="en-US" w:eastAsia="zh-CN"/>
              </w:rPr>
              <w:t xml:space="preserve">火炬高度3.5m </w:t>
            </w:r>
          </w:p>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color w:val="auto"/>
                <w:sz w:val="21"/>
                <w:szCs w:val="21"/>
                <w:vertAlign w:val="baseline"/>
                <w:lang w:val="en-US" w:eastAsia="zh-CN"/>
              </w:rPr>
              <w:t>（Φ=0.1m，T=1000℃）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5" w:type="dxa"/>
            <w:noWrap w:val="0"/>
            <w:vAlign w:val="center"/>
          </w:tcPr>
          <w:p>
            <w:pPr>
              <w:pStyle w:val="265"/>
              <w:keepNext w:val="0"/>
              <w:keepLines w:val="0"/>
              <w:pageBreakBefore w:val="0"/>
              <w:widowControl w:val="0"/>
              <w:numPr>
                <w:ilvl w:val="0"/>
                <w:numId w:val="8"/>
              </w:numPr>
              <w:kinsoku/>
              <w:wordWrap/>
              <w:overflowPunct/>
              <w:topLinePunct w:val="0"/>
              <w:autoSpaceDE/>
              <w:autoSpaceDN/>
              <w:bidi w:val="0"/>
              <w:adjustRightInd/>
              <w:snapToGrid/>
              <w:spacing w:line="0" w:lineRule="atLeast"/>
              <w:ind w:left="425" w:leftChars="0" w:hanging="425" w:firstLineChars="0"/>
              <w:jc w:val="center"/>
              <w:textAlignment w:val="auto"/>
              <w:rPr>
                <w:rFonts w:hint="eastAsia"/>
                <w:b w:val="0"/>
                <w:bCs w:val="0"/>
                <w:color w:val="auto"/>
                <w:sz w:val="21"/>
                <w:szCs w:val="21"/>
                <w:vertAlign w:val="baseline"/>
              </w:rPr>
            </w:pPr>
          </w:p>
        </w:tc>
        <w:tc>
          <w:tcPr>
            <w:tcW w:w="823" w:type="dxa"/>
            <w:vMerge w:val="continue"/>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p>
        </w:tc>
        <w:tc>
          <w:tcPr>
            <w:tcW w:w="916"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rPr>
              <w:t xml:space="preserve">SO </w:t>
            </w:r>
            <w:r>
              <w:rPr>
                <w:rFonts w:hint="eastAsia"/>
                <w:b w:val="0"/>
                <w:bCs w:val="0"/>
                <w:color w:val="auto"/>
                <w:sz w:val="21"/>
                <w:szCs w:val="21"/>
                <w:vertAlign w:val="subscript"/>
              </w:rPr>
              <w:t>2</w:t>
            </w:r>
          </w:p>
        </w:tc>
        <w:tc>
          <w:tcPr>
            <w:tcW w:w="193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0.0376g/m</w:t>
            </w:r>
            <w:r>
              <w:rPr>
                <w:rFonts w:hint="eastAsia"/>
                <w:b w:val="0"/>
                <w:bCs w:val="0"/>
                <w:color w:val="auto"/>
                <w:sz w:val="21"/>
                <w:szCs w:val="21"/>
                <w:vertAlign w:val="superscript"/>
              </w:rPr>
              <w:t xml:space="preserve"> 3</w:t>
            </w:r>
            <w:r>
              <w:rPr>
                <w:rFonts w:hint="eastAsia"/>
                <w:b w:val="0"/>
                <w:bCs w:val="0"/>
                <w:color w:val="auto"/>
                <w:sz w:val="21"/>
                <w:szCs w:val="21"/>
                <w:vertAlign w:val="baseline"/>
              </w:rPr>
              <w:t xml:space="preserve">沼气 </w:t>
            </w:r>
          </w:p>
        </w:tc>
        <w:tc>
          <w:tcPr>
            <w:tcW w:w="155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eastAsia="宋体"/>
                <w:b w:val="0"/>
                <w:bCs w:val="0"/>
                <w:color w:val="auto"/>
                <w:sz w:val="21"/>
                <w:szCs w:val="21"/>
                <w:vertAlign w:val="baseline"/>
                <w:lang w:val="en-US" w:eastAsia="zh-CN"/>
              </w:rPr>
            </w:pPr>
            <w:r>
              <w:rPr>
                <w:rFonts w:hint="eastAsia"/>
                <w:b w:val="0"/>
                <w:bCs w:val="0"/>
                <w:color w:val="auto"/>
                <w:sz w:val="21"/>
                <w:szCs w:val="21"/>
                <w:vertAlign w:val="baseline"/>
                <w:lang w:val="en-US" w:eastAsia="zh-CN"/>
              </w:rPr>
              <w:t>0.2930</w:t>
            </w:r>
          </w:p>
        </w:tc>
        <w:tc>
          <w:tcPr>
            <w:tcW w:w="150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lang w:val="en-US" w:eastAsia="zh-CN"/>
              </w:rPr>
              <w:t>0.2930</w:t>
            </w:r>
          </w:p>
        </w:tc>
        <w:tc>
          <w:tcPr>
            <w:tcW w:w="1621" w:type="dxa"/>
            <w:vMerge w:val="continue"/>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5" w:type="dxa"/>
            <w:noWrap w:val="0"/>
            <w:vAlign w:val="center"/>
          </w:tcPr>
          <w:p>
            <w:pPr>
              <w:pStyle w:val="265"/>
              <w:keepNext w:val="0"/>
              <w:keepLines w:val="0"/>
              <w:pageBreakBefore w:val="0"/>
              <w:widowControl w:val="0"/>
              <w:numPr>
                <w:ilvl w:val="0"/>
                <w:numId w:val="8"/>
              </w:numPr>
              <w:kinsoku/>
              <w:wordWrap/>
              <w:overflowPunct/>
              <w:topLinePunct w:val="0"/>
              <w:autoSpaceDE/>
              <w:autoSpaceDN/>
              <w:bidi w:val="0"/>
              <w:adjustRightInd/>
              <w:snapToGrid/>
              <w:spacing w:line="0" w:lineRule="atLeast"/>
              <w:ind w:left="425" w:leftChars="0" w:hanging="425" w:firstLineChars="0"/>
              <w:jc w:val="center"/>
              <w:textAlignment w:val="auto"/>
              <w:rPr>
                <w:rFonts w:hint="eastAsia"/>
                <w:b w:val="0"/>
                <w:bCs w:val="0"/>
                <w:color w:val="auto"/>
                <w:sz w:val="21"/>
                <w:szCs w:val="21"/>
                <w:vertAlign w:val="baseline"/>
              </w:rPr>
            </w:pPr>
          </w:p>
        </w:tc>
        <w:tc>
          <w:tcPr>
            <w:tcW w:w="823" w:type="dxa"/>
            <w:vMerge w:val="continue"/>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p>
        </w:tc>
        <w:tc>
          <w:tcPr>
            <w:tcW w:w="916"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rPr>
              <w:t>NO</w:t>
            </w:r>
            <w:r>
              <w:rPr>
                <w:rFonts w:hint="eastAsia"/>
                <w:b w:val="0"/>
                <w:bCs w:val="0"/>
                <w:color w:val="auto"/>
                <w:sz w:val="21"/>
                <w:szCs w:val="21"/>
                <w:vertAlign w:val="subscript"/>
              </w:rPr>
              <w:t xml:space="preserve"> X</w:t>
            </w:r>
          </w:p>
        </w:tc>
        <w:tc>
          <w:tcPr>
            <w:tcW w:w="193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rPr>
              <w:t>0.63g/ m</w:t>
            </w:r>
            <w:r>
              <w:rPr>
                <w:rFonts w:hint="eastAsia"/>
                <w:b w:val="0"/>
                <w:bCs w:val="0"/>
                <w:color w:val="auto"/>
                <w:sz w:val="21"/>
                <w:szCs w:val="21"/>
                <w:vertAlign w:val="superscript"/>
              </w:rPr>
              <w:t xml:space="preserve"> 3</w:t>
            </w:r>
            <w:r>
              <w:rPr>
                <w:rFonts w:hint="eastAsia"/>
                <w:b w:val="0"/>
                <w:bCs w:val="0"/>
                <w:color w:val="auto"/>
                <w:sz w:val="21"/>
                <w:szCs w:val="21"/>
                <w:vertAlign w:val="baseline"/>
              </w:rPr>
              <w:t>沼气</w:t>
            </w:r>
          </w:p>
        </w:tc>
        <w:tc>
          <w:tcPr>
            <w:tcW w:w="1558"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eastAsia="宋体"/>
                <w:b w:val="0"/>
                <w:bCs w:val="0"/>
                <w:color w:val="auto"/>
                <w:sz w:val="21"/>
                <w:szCs w:val="21"/>
                <w:vertAlign w:val="baseline"/>
                <w:lang w:val="en-US" w:eastAsia="zh-CN"/>
              </w:rPr>
            </w:pPr>
            <w:r>
              <w:rPr>
                <w:rFonts w:hint="eastAsia"/>
                <w:b w:val="0"/>
                <w:bCs w:val="0"/>
                <w:color w:val="auto"/>
                <w:sz w:val="21"/>
                <w:szCs w:val="21"/>
                <w:vertAlign w:val="baseline"/>
                <w:lang w:val="en-US" w:eastAsia="zh-CN"/>
              </w:rPr>
              <w:t>4.9042</w:t>
            </w:r>
          </w:p>
        </w:tc>
        <w:tc>
          <w:tcPr>
            <w:tcW w:w="1505"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rPr>
            </w:pPr>
            <w:r>
              <w:rPr>
                <w:rFonts w:hint="eastAsia"/>
                <w:b w:val="0"/>
                <w:bCs w:val="0"/>
                <w:color w:val="auto"/>
                <w:sz w:val="21"/>
                <w:szCs w:val="21"/>
                <w:vertAlign w:val="baseline"/>
                <w:lang w:val="en-US" w:eastAsia="zh-CN"/>
              </w:rPr>
              <w:t>4.9042</w:t>
            </w:r>
          </w:p>
        </w:tc>
        <w:tc>
          <w:tcPr>
            <w:tcW w:w="1621" w:type="dxa"/>
            <w:vMerge w:val="continue"/>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b w:val="0"/>
                <w:bCs w:val="0"/>
                <w:color w:val="auto"/>
                <w:sz w:val="21"/>
                <w:szCs w:val="21"/>
                <w:vertAlign w:val="baseline"/>
                <w:lang w:val="en-US" w:eastAsia="zh-CN"/>
              </w:rPr>
            </w:pPr>
          </w:p>
        </w:tc>
      </w:tr>
    </w:tbl>
    <w:p>
      <w:pPr>
        <w:pStyle w:val="265"/>
        <w:rPr>
          <w:rFonts w:hint="eastAsia"/>
          <w:color w:val="auto"/>
        </w:rPr>
      </w:pPr>
      <w:r>
        <w:rPr>
          <w:rFonts w:hint="eastAsia"/>
          <w:color w:val="auto"/>
        </w:rPr>
        <w:t>本项目劳动定员</w:t>
      </w:r>
      <w:r>
        <w:rPr>
          <w:rFonts w:hint="eastAsia"/>
          <w:color w:val="auto"/>
          <w:lang w:val="en-US" w:eastAsia="zh-CN"/>
        </w:rPr>
        <w:t>7</w:t>
      </w:r>
      <w:r>
        <w:rPr>
          <w:rFonts w:hint="eastAsia"/>
          <w:color w:val="auto"/>
        </w:rPr>
        <w:t>人，食堂用气量按0.5m</w:t>
      </w:r>
      <w:r>
        <w:rPr>
          <w:rFonts w:hint="eastAsia"/>
          <w:color w:val="auto"/>
          <w:vertAlign w:val="superscript"/>
        </w:rPr>
        <w:t>3</w:t>
      </w:r>
      <w:r>
        <w:rPr>
          <w:rFonts w:hint="eastAsia"/>
          <w:color w:val="auto"/>
        </w:rPr>
        <w:t>/人·d 计，则营运期耗气量共</w:t>
      </w:r>
      <w:r>
        <w:rPr>
          <w:rFonts w:hint="eastAsia"/>
          <w:color w:val="auto"/>
          <w:lang w:val="en-US" w:eastAsia="zh-CN"/>
        </w:rPr>
        <w:t>3.5</w:t>
      </w:r>
      <w:r>
        <w:rPr>
          <w:rFonts w:hint="eastAsia"/>
          <w:color w:val="auto"/>
        </w:rPr>
        <w:t xml:space="preserve">m </w:t>
      </w:r>
      <w:r>
        <w:rPr>
          <w:rFonts w:hint="eastAsia"/>
          <w:color w:val="auto"/>
          <w:vertAlign w:val="superscript"/>
        </w:rPr>
        <w:t>3</w:t>
      </w:r>
      <w:r>
        <w:rPr>
          <w:rFonts w:hint="eastAsia"/>
          <w:color w:val="auto"/>
        </w:rPr>
        <w:t xml:space="preserve"> /d。</w:t>
      </w:r>
    </w:p>
    <w:p>
      <w:pPr>
        <w:pStyle w:val="265"/>
        <w:rPr>
          <w:rFonts w:hint="eastAsia"/>
          <w:b/>
          <w:bCs/>
          <w:color w:val="auto"/>
          <w:sz w:val="21"/>
          <w:szCs w:val="22"/>
        </w:rPr>
      </w:pPr>
      <w:r>
        <w:rPr>
          <w:rFonts w:hint="eastAsia"/>
          <w:color w:val="auto"/>
        </w:rPr>
        <w:t>根据计算可知，污水处理站平均每日沼气产生量为</w:t>
      </w:r>
      <w:r>
        <w:rPr>
          <w:rFonts w:hint="eastAsia"/>
          <w:color w:val="auto"/>
          <w:lang w:val="en-US" w:eastAsia="zh-CN"/>
        </w:rPr>
        <w:t>21.349</w:t>
      </w:r>
      <w:r>
        <w:rPr>
          <w:rFonts w:hint="eastAsia"/>
          <w:color w:val="auto"/>
        </w:rPr>
        <w:t>m</w:t>
      </w:r>
      <w:r>
        <w:rPr>
          <w:rFonts w:hint="eastAsia"/>
          <w:color w:val="auto"/>
          <w:vertAlign w:val="superscript"/>
        </w:rPr>
        <w:t>3</w:t>
      </w:r>
      <w:r>
        <w:rPr>
          <w:rFonts w:hint="eastAsia"/>
          <w:color w:val="auto"/>
        </w:rPr>
        <w:t xml:space="preserve"> /d，满足食堂用气需求</w:t>
      </w:r>
      <w:r>
        <w:rPr>
          <w:rFonts w:hint="eastAsia"/>
          <w:color w:val="auto"/>
          <w:lang w:eastAsia="zh-CN"/>
        </w:rPr>
        <w:t>，</w:t>
      </w:r>
      <w:r>
        <w:rPr>
          <w:rFonts w:hint="eastAsia"/>
          <w:color w:val="auto"/>
        </w:rPr>
        <w:t>环评要求剩余部分沼气可通过管道输送至内燃式火炬进行燃烧。</w:t>
      </w:r>
    </w:p>
    <w:p>
      <w:pPr>
        <w:ind w:firstLine="480"/>
        <w:rPr>
          <w:color w:val="auto"/>
          <w:u w:val="none"/>
        </w:rPr>
      </w:pPr>
      <w:r>
        <w:rPr>
          <w:color w:val="auto"/>
        </w:rPr>
        <w:t>为落实《畜禽养殖业污染防治技术政策》（环发【2010】151号），实现沼气的资源化利用，本环评</w:t>
      </w:r>
      <w:r>
        <w:rPr>
          <w:color w:val="auto"/>
          <w:u w:val="none"/>
        </w:rPr>
        <w:t>要求：</w:t>
      </w:r>
      <w:r>
        <w:rPr>
          <w:b/>
          <w:color w:val="auto"/>
          <w:u w:val="none"/>
        </w:rPr>
        <w:t>建设单位应将沼气进行收集净化处理后用于项目内养殖场内的生活燃气等，其设计由建设单位委托专业单位进行，购置相应设备，必须实现沼气完全燃烧，不可直接向大气环境排放。</w:t>
      </w:r>
    </w:p>
    <w:p>
      <w:pPr>
        <w:ind w:firstLine="482"/>
        <w:rPr>
          <w:color w:val="auto"/>
        </w:rPr>
      </w:pPr>
      <w:r>
        <w:rPr>
          <w:b/>
          <w:color w:val="auto"/>
        </w:rPr>
        <w:t>3、食堂油烟</w:t>
      </w:r>
    </w:p>
    <w:p>
      <w:pPr>
        <w:ind w:firstLine="480"/>
        <w:rPr>
          <w:rFonts w:hint="eastAsia"/>
          <w:color w:val="auto"/>
          <w:lang w:val="en-US" w:eastAsia="zh-CN"/>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lang w:val="en-US" w:eastAsia="zh-CN"/>
        </w:rPr>
        <w:t>产生情况</w:t>
      </w:r>
    </w:p>
    <w:p>
      <w:pPr>
        <w:ind w:firstLine="480"/>
        <w:rPr>
          <w:color w:val="auto"/>
        </w:rPr>
      </w:pPr>
      <w:r>
        <w:rPr>
          <w:color w:val="auto"/>
        </w:rPr>
        <w:t>本项目设有职工食堂，食堂采用本项目污水处理过程中产生的经净化后的清洁能源沼气作为，经净化的沼气属于清洁能源，燃烧对周围环境空气质量影响小，因此本项目运营过程中食堂产生的废气主要为食堂油烟。油烟指烹调油烟，由水蒸汽和油珠组成，它是食用油加热到250℃以上，油脂发生氧化、水解、聚合、裂解等反应，随沸腾的油挥发出来的烹调烟气。</w:t>
      </w:r>
    </w:p>
    <w:p>
      <w:pPr>
        <w:ind w:firstLine="480"/>
        <w:rPr>
          <w:color w:val="auto"/>
        </w:rPr>
      </w:pPr>
      <w:r>
        <w:rPr>
          <w:color w:val="auto"/>
        </w:rPr>
        <w:t>厨房油烟废气主要成分为动植物油烟，根据对餐饮企业的类比调查，目前居民人均食用油量为30g/人·d，根据不同的烧炸工况，油的挥发量不同，按日进行烧炸工况6小时计，油的平均挥发量为总耗油量的3%。本项目食堂内拟设有</w:t>
      </w:r>
      <w:r>
        <w:rPr>
          <w:rFonts w:hint="eastAsia"/>
          <w:color w:val="auto"/>
          <w:lang w:val="en-US" w:eastAsia="zh-CN"/>
        </w:rPr>
        <w:t>1</w:t>
      </w:r>
      <w:r>
        <w:rPr>
          <w:color w:val="auto"/>
        </w:rPr>
        <w:t>个灶头，就餐人次按</w:t>
      </w:r>
      <w:r>
        <w:rPr>
          <w:rFonts w:hint="eastAsia"/>
          <w:color w:val="auto"/>
          <w:lang w:val="en-US" w:eastAsia="zh-CN"/>
        </w:rPr>
        <w:t>7</w:t>
      </w:r>
      <w:r>
        <w:rPr>
          <w:color w:val="auto"/>
        </w:rPr>
        <w:t>人计，则油烟产生量为</w:t>
      </w:r>
      <w:r>
        <w:rPr>
          <w:rFonts w:hint="eastAsia"/>
          <w:color w:val="auto"/>
        </w:rPr>
        <w:t>2.2995</w:t>
      </w:r>
      <w:r>
        <w:rPr>
          <w:color w:val="auto"/>
        </w:rPr>
        <w:t>kg/a（0.00</w:t>
      </w:r>
      <w:r>
        <w:rPr>
          <w:rFonts w:hint="eastAsia"/>
          <w:color w:val="auto"/>
          <w:lang w:val="en-US" w:eastAsia="zh-CN"/>
        </w:rPr>
        <w:t>11</w:t>
      </w:r>
      <w:r>
        <w:rPr>
          <w:color w:val="auto"/>
        </w:rPr>
        <w:t>kg/h）。</w:t>
      </w:r>
    </w:p>
    <w:p>
      <w:pPr>
        <w:ind w:firstLine="480"/>
        <w:rPr>
          <w:rFonts w:hint="eastAsia" w:eastAsia="宋体" w:cs="Times New Roman"/>
          <w:color w:val="auto"/>
          <w:lang w:val="en-US" w:eastAsia="zh-CN"/>
        </w:rPr>
      </w:pPr>
      <w:r>
        <w:rPr>
          <w:rFonts w:hint="eastAsia" w:eastAsia="宋体" w:cs="Times New Roman"/>
          <w:color w:val="auto"/>
          <w:lang w:eastAsia="zh-CN"/>
        </w:rPr>
        <w:t>（</w:t>
      </w:r>
      <w:r>
        <w:rPr>
          <w:rFonts w:hint="eastAsia" w:eastAsia="宋体" w:cs="Times New Roman"/>
          <w:color w:val="auto"/>
          <w:lang w:val="en-US" w:eastAsia="zh-CN"/>
        </w:rPr>
        <w:t>2</w:t>
      </w:r>
      <w:r>
        <w:rPr>
          <w:rFonts w:hint="eastAsia" w:eastAsia="宋体" w:cs="Times New Roman"/>
          <w:color w:val="auto"/>
          <w:lang w:eastAsia="zh-CN"/>
        </w:rPr>
        <w:t>）</w:t>
      </w:r>
      <w:r>
        <w:rPr>
          <w:rFonts w:hint="eastAsia" w:eastAsia="宋体" w:cs="Times New Roman"/>
          <w:color w:val="auto"/>
          <w:lang w:val="en-US" w:eastAsia="zh-CN"/>
        </w:rPr>
        <w:t>治理措施</w:t>
      </w:r>
    </w:p>
    <w:p>
      <w:pPr>
        <w:ind w:firstLine="480"/>
        <w:rPr>
          <w:rFonts w:hint="eastAsia"/>
          <w:color w:val="auto"/>
          <w:lang w:eastAsia="zh-CN"/>
        </w:rPr>
      </w:pPr>
      <w:r>
        <w:rPr>
          <w:color w:val="auto"/>
        </w:rPr>
        <w:t>根据国家《饮食行业油烟排放标准（试行）》（GB18483-2001）标准的要求，本次评价要求在食堂安装油烟净化器处理，烟气净化设施（去除率大于</w:t>
      </w:r>
      <w:r>
        <w:rPr>
          <w:rFonts w:hint="eastAsia"/>
          <w:color w:val="auto"/>
          <w:lang w:val="en-US" w:eastAsia="zh-CN"/>
        </w:rPr>
        <w:t>60</w:t>
      </w:r>
      <w:r>
        <w:rPr>
          <w:color w:val="auto"/>
        </w:rPr>
        <w:t>%，风机风量约</w:t>
      </w:r>
      <w:r>
        <w:rPr>
          <w:rFonts w:hint="eastAsia"/>
          <w:color w:val="auto"/>
          <w:lang w:val="en-US" w:eastAsia="zh-CN"/>
        </w:rPr>
        <w:t>3</w:t>
      </w:r>
      <w:r>
        <w:rPr>
          <w:color w:val="auto"/>
        </w:rPr>
        <w:t>000m</w:t>
      </w:r>
      <w:r>
        <w:rPr>
          <w:color w:val="auto"/>
          <w:vertAlign w:val="superscript"/>
        </w:rPr>
        <w:t>3</w:t>
      </w:r>
      <w:r>
        <w:rPr>
          <w:color w:val="auto"/>
        </w:rPr>
        <w:t>/h），并由专用内置强制排烟道至食堂楼顶排放</w:t>
      </w:r>
      <w:r>
        <w:rPr>
          <w:rFonts w:hint="eastAsia"/>
          <w:color w:val="auto"/>
          <w:lang w:eastAsia="zh-CN"/>
        </w:rPr>
        <w:t>。</w:t>
      </w:r>
    </w:p>
    <w:p>
      <w:pPr>
        <w:ind w:firstLine="480"/>
        <w:rPr>
          <w:rFonts w:hint="eastAsia"/>
          <w:color w:val="auto"/>
          <w:lang w:val="en-US" w:eastAsia="zh-CN"/>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lang w:val="en-US" w:eastAsia="zh-CN"/>
        </w:rPr>
        <w:t>排放情况</w:t>
      </w:r>
    </w:p>
    <w:p>
      <w:pPr>
        <w:ind w:firstLine="480"/>
        <w:rPr>
          <w:color w:val="auto"/>
        </w:rPr>
      </w:pPr>
      <w:r>
        <w:rPr>
          <w:color w:val="auto"/>
        </w:rPr>
        <w:t>食堂油烟污染物排放量为</w:t>
      </w:r>
      <w:r>
        <w:rPr>
          <w:rFonts w:hint="eastAsia"/>
          <w:color w:val="auto"/>
        </w:rPr>
        <w:t>0.9198</w:t>
      </w:r>
      <w:r>
        <w:rPr>
          <w:color w:val="auto"/>
        </w:rPr>
        <w:t>kg/a（0.00</w:t>
      </w:r>
      <w:r>
        <w:rPr>
          <w:rFonts w:hint="eastAsia"/>
          <w:color w:val="auto"/>
          <w:lang w:val="en-US" w:eastAsia="zh-CN"/>
        </w:rPr>
        <w:t>04</w:t>
      </w:r>
      <w:r>
        <w:rPr>
          <w:color w:val="auto"/>
        </w:rPr>
        <w:t>kg/h），排放浓度约为0.</w:t>
      </w:r>
      <w:r>
        <w:rPr>
          <w:rFonts w:hint="eastAsia"/>
          <w:color w:val="auto"/>
          <w:lang w:val="en-US" w:eastAsia="zh-CN"/>
        </w:rPr>
        <w:t>14</w:t>
      </w:r>
      <w:r>
        <w:rPr>
          <w:color w:val="auto"/>
        </w:rPr>
        <w:t>mg/m</w:t>
      </w:r>
      <w:r>
        <w:rPr>
          <w:color w:val="auto"/>
          <w:vertAlign w:val="superscript"/>
        </w:rPr>
        <w:t>3</w:t>
      </w:r>
      <w:r>
        <w:rPr>
          <w:color w:val="auto"/>
        </w:rPr>
        <w:t>。能够满足《饮食业油烟排放标准（试行）》（GB18483-2001）的排放标准油烟最高允许排放浓度（≤2.0mg/m</w:t>
      </w:r>
      <w:r>
        <w:rPr>
          <w:color w:val="auto"/>
          <w:vertAlign w:val="superscript"/>
        </w:rPr>
        <w:t>3</w:t>
      </w:r>
      <w:r>
        <w:rPr>
          <w:color w:val="auto"/>
        </w:rPr>
        <w:t>）要求，对区域环境影响很小。</w:t>
      </w:r>
    </w:p>
    <w:p>
      <w:pPr>
        <w:ind w:firstLine="482"/>
        <w:rPr>
          <w:b/>
          <w:color w:val="auto"/>
        </w:rPr>
      </w:pPr>
      <w:r>
        <w:rPr>
          <w:b/>
          <w:color w:val="auto"/>
        </w:rPr>
        <w:t>4、柴油发电机废气</w:t>
      </w:r>
    </w:p>
    <w:p>
      <w:pPr>
        <w:ind w:firstLine="480"/>
        <w:rPr>
          <w:color w:val="auto"/>
        </w:rPr>
      </w:pPr>
      <w:r>
        <w:rPr>
          <w:color w:val="auto"/>
        </w:rPr>
        <w:t>本项目配备1台300kW的备用柴油发电机作为厂区的应急电源，当出现突发性停电，可自行发电供给养殖场使用。柴油发电机在使用过程中会产生废气，其主要成分为CO、HC、NOx。发电机房采用机械送、排风的形式，发电机房内保持着良好的通风性，柴油发电机产生的废气先由自身携带的废气净化装置处理，处理后经抽排风系统抽至排风口处排放。由于柴油发电机产生的废气量很小，采用上述措施后完全能够做到达标排放。</w:t>
      </w:r>
    </w:p>
    <w:p>
      <w:pPr>
        <w:ind w:firstLine="480"/>
        <w:rPr>
          <w:color w:val="auto"/>
        </w:rPr>
      </w:pPr>
      <w:r>
        <w:rPr>
          <w:color w:val="auto"/>
        </w:rPr>
        <w:t>备用发电机只有在</w:t>
      </w:r>
      <w:r>
        <w:rPr>
          <w:b w:val="0"/>
          <w:bCs w:val="0"/>
          <w:color w:val="auto"/>
        </w:rPr>
        <w:t>停电时使用，备用发电机使用的频率很小，废气的排放间断性强，加上废气通过自由扩散后，浓度很小，对周围环境影响很小。同时，环评建议项目使用0#号柴油，0#柴油属于清洁</w:t>
      </w:r>
      <w:r>
        <w:rPr>
          <w:color w:val="auto"/>
        </w:rPr>
        <w:t>能源，其燃烧产生的废气污染物较少，可进一步降低对外环境的不良影响。</w:t>
      </w:r>
    </w:p>
    <w:p>
      <w:pPr>
        <w:ind w:firstLine="482"/>
        <w:rPr>
          <w:b/>
          <w:color w:val="auto"/>
        </w:rPr>
      </w:pPr>
      <w:r>
        <w:rPr>
          <w:b/>
          <w:color w:val="auto"/>
        </w:rPr>
        <w:t>5、废气产生及排放情况汇总</w:t>
      </w:r>
    </w:p>
    <w:p>
      <w:pPr>
        <w:ind w:firstLine="480"/>
        <w:rPr>
          <w:color w:val="auto"/>
        </w:rPr>
      </w:pPr>
      <w:r>
        <w:rPr>
          <w:color w:val="auto"/>
        </w:rPr>
        <w:t>综上所述，项目产生的沼气经沼气经净化系统处理后主要用于食堂燃烧，剩余部分沼气</w:t>
      </w:r>
      <w:r>
        <w:rPr>
          <w:rFonts w:hint="eastAsia"/>
          <w:color w:val="auto"/>
        </w:rPr>
        <w:t>通过火炬燃烧器放空燃烧后</w:t>
      </w:r>
      <w:r>
        <w:rPr>
          <w:color w:val="auto"/>
        </w:rPr>
        <w:t>达标排放；生产区恶臭通过猪粪日产日清、加强通风、饲料中添加EM、喷洒除臭剂等措施，可在厂界达标排放；食堂油烟经油烟净化器处理后经烟道至楼顶达标排放；柴油发电机产生的废气由自身携带的废气净化装置处理后能够做到达标排放。项目废气产生及排放情况见表3.</w:t>
      </w:r>
      <w:r>
        <w:rPr>
          <w:rFonts w:hint="eastAsia"/>
          <w:color w:val="auto"/>
          <w:lang w:val="en-US" w:eastAsia="zh-CN"/>
        </w:rPr>
        <w:t>6</w:t>
      </w:r>
      <w:r>
        <w:rPr>
          <w:color w:val="auto"/>
        </w:rPr>
        <w:t>-1</w:t>
      </w:r>
      <w:r>
        <w:rPr>
          <w:rFonts w:hint="eastAsia"/>
          <w:color w:val="auto"/>
        </w:rPr>
        <w:t>4</w:t>
      </w:r>
      <w:r>
        <w:rPr>
          <w:color w:val="auto"/>
        </w:rPr>
        <w:t>。</w:t>
      </w:r>
    </w:p>
    <w:p>
      <w:pPr>
        <w:pStyle w:val="166"/>
        <w:spacing w:before="0" w:beforeLines="0" w:line="312" w:lineRule="auto"/>
        <w:rPr>
          <w:b w:val="0"/>
          <w:bCs/>
          <w:color w:val="auto"/>
          <w:sz w:val="11"/>
          <w:szCs w:val="11"/>
        </w:rPr>
      </w:pPr>
      <w:r>
        <w:rPr>
          <w:color w:val="auto"/>
        </w:rPr>
        <w:t>表3.</w:t>
      </w:r>
      <w:r>
        <w:rPr>
          <w:rFonts w:hint="eastAsia"/>
          <w:color w:val="auto"/>
          <w:lang w:val="en-US" w:eastAsia="zh-CN"/>
        </w:rPr>
        <w:t>6</w:t>
      </w:r>
      <w:r>
        <w:rPr>
          <w:color w:val="auto"/>
        </w:rPr>
        <w:t>-1</w:t>
      </w:r>
      <w:r>
        <w:rPr>
          <w:rFonts w:hint="eastAsia"/>
          <w:color w:val="auto"/>
        </w:rPr>
        <w:t>4</w:t>
      </w:r>
      <w:r>
        <w:rPr>
          <w:rFonts w:hint="eastAsia"/>
          <w:color w:val="auto"/>
          <w:lang w:val="en-US" w:eastAsia="zh-CN"/>
        </w:rPr>
        <w:t xml:space="preserve"> </w:t>
      </w:r>
      <w:r>
        <w:rPr>
          <w:color w:val="auto"/>
        </w:rPr>
        <w:t>项目废气染物产生及排放情况一览表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33"/>
        <w:gridCol w:w="1112"/>
        <w:gridCol w:w="990"/>
        <w:gridCol w:w="993"/>
        <w:gridCol w:w="992"/>
        <w:gridCol w:w="2977"/>
        <w:gridCol w:w="9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noWrap w:val="0"/>
            <w:vAlign w:val="center"/>
          </w:tcPr>
          <w:p>
            <w:pPr>
              <w:pStyle w:val="332"/>
              <w:kinsoku w:val="0"/>
              <w:overflowPunct w:val="0"/>
              <w:jc w:val="center"/>
              <w:rPr>
                <w:color w:val="auto"/>
                <w:sz w:val="20"/>
                <w:szCs w:val="20"/>
              </w:rPr>
            </w:pPr>
            <w:r>
              <w:rPr>
                <w:b/>
                <w:bCs/>
                <w:color w:val="auto"/>
                <w:sz w:val="20"/>
                <w:szCs w:val="20"/>
              </w:rPr>
              <w:t>污染源</w:t>
            </w:r>
          </w:p>
        </w:tc>
        <w:tc>
          <w:tcPr>
            <w:tcW w:w="990" w:type="dxa"/>
            <w:noWrap w:val="0"/>
            <w:vAlign w:val="center"/>
          </w:tcPr>
          <w:p>
            <w:pPr>
              <w:pStyle w:val="332"/>
              <w:kinsoku w:val="0"/>
              <w:overflowPunct w:val="0"/>
              <w:jc w:val="center"/>
              <w:rPr>
                <w:color w:val="auto"/>
                <w:sz w:val="20"/>
                <w:szCs w:val="20"/>
              </w:rPr>
            </w:pPr>
            <w:r>
              <w:rPr>
                <w:b/>
                <w:bCs/>
                <w:color w:val="auto"/>
                <w:sz w:val="20"/>
                <w:szCs w:val="20"/>
              </w:rPr>
              <w:t>污染物</w:t>
            </w:r>
          </w:p>
        </w:tc>
        <w:tc>
          <w:tcPr>
            <w:tcW w:w="993" w:type="dxa"/>
            <w:noWrap w:val="0"/>
            <w:vAlign w:val="center"/>
          </w:tcPr>
          <w:p>
            <w:pPr>
              <w:pStyle w:val="332"/>
              <w:kinsoku w:val="0"/>
              <w:overflowPunct w:val="0"/>
              <w:jc w:val="center"/>
              <w:rPr>
                <w:b/>
                <w:bCs/>
                <w:color w:val="auto"/>
                <w:sz w:val="20"/>
                <w:szCs w:val="20"/>
              </w:rPr>
            </w:pPr>
            <w:r>
              <w:rPr>
                <w:b/>
                <w:bCs/>
                <w:color w:val="auto"/>
                <w:sz w:val="20"/>
                <w:szCs w:val="20"/>
              </w:rPr>
              <w:t>产生量</w:t>
            </w:r>
          </w:p>
          <w:p>
            <w:pPr>
              <w:pStyle w:val="332"/>
              <w:kinsoku w:val="0"/>
              <w:overflowPunct w:val="0"/>
              <w:jc w:val="center"/>
              <w:rPr>
                <w:color w:val="auto"/>
                <w:sz w:val="20"/>
                <w:szCs w:val="20"/>
              </w:rPr>
            </w:pPr>
            <w:r>
              <w:rPr>
                <w:rFonts w:hint="eastAsia"/>
                <w:b/>
                <w:bCs/>
                <w:color w:val="auto"/>
                <w:sz w:val="20"/>
                <w:szCs w:val="20"/>
              </w:rPr>
              <w:t>（t/a）</w:t>
            </w:r>
          </w:p>
        </w:tc>
        <w:tc>
          <w:tcPr>
            <w:tcW w:w="992" w:type="dxa"/>
            <w:noWrap w:val="0"/>
            <w:vAlign w:val="center"/>
          </w:tcPr>
          <w:p>
            <w:pPr>
              <w:pStyle w:val="332"/>
              <w:kinsoku w:val="0"/>
              <w:overflowPunct w:val="0"/>
              <w:jc w:val="center"/>
              <w:rPr>
                <w:b/>
                <w:bCs/>
                <w:color w:val="auto"/>
                <w:sz w:val="20"/>
                <w:szCs w:val="20"/>
              </w:rPr>
            </w:pPr>
            <w:r>
              <w:rPr>
                <w:b/>
                <w:bCs/>
                <w:color w:val="auto"/>
                <w:sz w:val="20"/>
                <w:szCs w:val="20"/>
              </w:rPr>
              <w:t>排放量</w:t>
            </w:r>
          </w:p>
          <w:p>
            <w:pPr>
              <w:pStyle w:val="332"/>
              <w:kinsoku w:val="0"/>
              <w:overflowPunct w:val="0"/>
              <w:jc w:val="center"/>
              <w:rPr>
                <w:rFonts w:hint="eastAsia"/>
                <w:color w:val="auto"/>
                <w:sz w:val="20"/>
                <w:szCs w:val="20"/>
              </w:rPr>
            </w:pPr>
            <w:r>
              <w:rPr>
                <w:rFonts w:hint="eastAsia"/>
                <w:b/>
                <w:bCs/>
                <w:color w:val="auto"/>
                <w:sz w:val="20"/>
                <w:szCs w:val="20"/>
              </w:rPr>
              <w:t>（t/a）</w:t>
            </w:r>
          </w:p>
        </w:tc>
        <w:tc>
          <w:tcPr>
            <w:tcW w:w="2977" w:type="dxa"/>
            <w:noWrap w:val="0"/>
            <w:vAlign w:val="center"/>
          </w:tcPr>
          <w:p>
            <w:pPr>
              <w:pStyle w:val="332"/>
              <w:kinsoku w:val="0"/>
              <w:overflowPunct w:val="0"/>
              <w:jc w:val="center"/>
              <w:rPr>
                <w:color w:val="auto"/>
                <w:sz w:val="20"/>
                <w:szCs w:val="20"/>
              </w:rPr>
            </w:pPr>
            <w:r>
              <w:rPr>
                <w:b/>
                <w:bCs/>
                <w:color w:val="auto"/>
                <w:sz w:val="20"/>
                <w:szCs w:val="20"/>
              </w:rPr>
              <w:t>处理措施</w:t>
            </w:r>
          </w:p>
        </w:tc>
        <w:tc>
          <w:tcPr>
            <w:tcW w:w="990" w:type="dxa"/>
            <w:noWrap w:val="0"/>
            <w:vAlign w:val="center"/>
          </w:tcPr>
          <w:p>
            <w:pPr>
              <w:pStyle w:val="332"/>
              <w:kinsoku w:val="0"/>
              <w:overflowPunct w:val="0"/>
              <w:jc w:val="center"/>
              <w:rPr>
                <w:color w:val="auto"/>
                <w:sz w:val="20"/>
                <w:szCs w:val="20"/>
              </w:rPr>
            </w:pPr>
            <w:r>
              <w:rPr>
                <w:b/>
                <w:bCs/>
                <w:color w:val="auto"/>
                <w:sz w:val="20"/>
                <w:szCs w:val="20"/>
              </w:rPr>
              <w:t>排放方式及去向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restart"/>
            <w:noWrap w:val="0"/>
            <w:vAlign w:val="center"/>
          </w:tcPr>
          <w:p>
            <w:pPr>
              <w:pStyle w:val="332"/>
              <w:kinsoku w:val="0"/>
              <w:overflowPunct w:val="0"/>
              <w:jc w:val="center"/>
              <w:rPr>
                <w:color w:val="auto"/>
                <w:sz w:val="20"/>
                <w:szCs w:val="20"/>
              </w:rPr>
            </w:pPr>
            <w:r>
              <w:rPr>
                <w:color w:val="auto"/>
                <w:sz w:val="20"/>
                <w:szCs w:val="20"/>
              </w:rPr>
              <w:t>生产养殖区</w:t>
            </w:r>
          </w:p>
        </w:tc>
        <w:tc>
          <w:tcPr>
            <w:tcW w:w="1112" w:type="dxa"/>
            <w:vMerge w:val="restart"/>
            <w:noWrap w:val="0"/>
            <w:vAlign w:val="center"/>
          </w:tcPr>
          <w:p>
            <w:pPr>
              <w:pStyle w:val="332"/>
              <w:kinsoku w:val="0"/>
              <w:overflowPunct w:val="0"/>
              <w:jc w:val="center"/>
              <w:rPr>
                <w:rFonts w:hint="eastAsia" w:eastAsia="宋体"/>
                <w:color w:val="auto"/>
                <w:sz w:val="20"/>
                <w:szCs w:val="20"/>
                <w:lang w:eastAsia="zh-CN"/>
              </w:rPr>
            </w:pPr>
            <w:r>
              <w:rPr>
                <w:color w:val="auto"/>
                <w:sz w:val="20"/>
                <w:szCs w:val="20"/>
              </w:rPr>
              <w:t>猪舍</w:t>
            </w:r>
            <w:r>
              <w:rPr>
                <w:rFonts w:hint="eastAsia"/>
                <w:color w:val="auto"/>
                <w:sz w:val="20"/>
                <w:szCs w:val="20"/>
                <w:lang w:eastAsia="zh-CN"/>
              </w:rPr>
              <w:t>、</w:t>
            </w:r>
            <w:r>
              <w:rPr>
                <w:rFonts w:hint="eastAsia"/>
                <w:color w:val="auto"/>
                <w:sz w:val="20"/>
                <w:szCs w:val="20"/>
                <w:lang w:val="en-US" w:eastAsia="zh-CN"/>
              </w:rPr>
              <w:t>干粪堆场</w:t>
            </w:r>
            <w:r>
              <w:rPr>
                <w:rFonts w:hint="eastAsia"/>
                <w:color w:val="auto"/>
                <w:sz w:val="20"/>
                <w:szCs w:val="20"/>
                <w:lang w:eastAsia="zh-CN"/>
              </w:rPr>
              <w:t>恶臭</w:t>
            </w:r>
          </w:p>
        </w:tc>
        <w:tc>
          <w:tcPr>
            <w:tcW w:w="990" w:type="dxa"/>
            <w:noWrap w:val="0"/>
            <w:vAlign w:val="center"/>
          </w:tcPr>
          <w:p>
            <w:pPr>
              <w:pStyle w:val="332"/>
              <w:kinsoku w:val="0"/>
              <w:overflowPunct w:val="0"/>
              <w:jc w:val="center"/>
              <w:rPr>
                <w:color w:val="auto"/>
                <w:sz w:val="20"/>
                <w:szCs w:val="20"/>
              </w:rPr>
            </w:pPr>
            <w:r>
              <w:rPr>
                <w:color w:val="auto"/>
                <w:position w:val="2"/>
                <w:sz w:val="20"/>
                <w:szCs w:val="20"/>
              </w:rPr>
              <w:t>NH</w:t>
            </w:r>
            <w:r>
              <w:rPr>
                <w:color w:val="auto"/>
                <w:position w:val="2"/>
                <w:sz w:val="20"/>
                <w:szCs w:val="20"/>
                <w:vertAlign w:val="subscript"/>
              </w:rPr>
              <w:t>3</w:t>
            </w:r>
          </w:p>
        </w:tc>
        <w:tc>
          <w:tcPr>
            <w:tcW w:w="993" w:type="dxa"/>
            <w:noWrap w:val="0"/>
            <w:vAlign w:val="center"/>
          </w:tcPr>
          <w:p>
            <w:pPr>
              <w:pStyle w:val="297"/>
              <w:jc w:val="center"/>
              <w:rPr>
                <w:rFonts w:hint="eastAsia" w:eastAsia="宋体"/>
                <w:color w:val="auto"/>
                <w:sz w:val="21"/>
                <w:szCs w:val="21"/>
              </w:rPr>
            </w:pPr>
            <w:r>
              <w:rPr>
                <w:rFonts w:hint="eastAsia"/>
                <w:color w:val="auto"/>
                <w:sz w:val="21"/>
                <w:szCs w:val="21"/>
              </w:rPr>
              <w:t>1.7237</w:t>
            </w:r>
          </w:p>
        </w:tc>
        <w:tc>
          <w:tcPr>
            <w:tcW w:w="992" w:type="dxa"/>
            <w:noWrap w:val="0"/>
            <w:vAlign w:val="center"/>
          </w:tcPr>
          <w:p>
            <w:pPr>
              <w:pStyle w:val="297"/>
              <w:jc w:val="center"/>
              <w:rPr>
                <w:rFonts w:eastAsia="宋体"/>
                <w:color w:val="auto"/>
                <w:sz w:val="21"/>
                <w:szCs w:val="21"/>
              </w:rPr>
            </w:pPr>
            <w:r>
              <w:rPr>
                <w:rFonts w:hint="eastAsia"/>
                <w:color w:val="auto"/>
                <w:sz w:val="21"/>
                <w:szCs w:val="21"/>
                <w:lang w:val="en-US" w:eastAsia="zh-CN"/>
              </w:rPr>
              <w:t>0.1</w:t>
            </w:r>
            <w:r>
              <w:rPr>
                <w:rFonts w:hint="eastAsia"/>
                <w:color w:val="auto"/>
                <w:sz w:val="21"/>
                <w:szCs w:val="21"/>
              </w:rPr>
              <w:t>72</w:t>
            </w:r>
            <w:r>
              <w:rPr>
                <w:rFonts w:hint="eastAsia"/>
                <w:color w:val="auto"/>
                <w:sz w:val="21"/>
                <w:szCs w:val="21"/>
                <w:lang w:val="en-US" w:eastAsia="zh-CN"/>
              </w:rPr>
              <w:t>4</w:t>
            </w:r>
          </w:p>
        </w:tc>
        <w:tc>
          <w:tcPr>
            <w:tcW w:w="2977" w:type="dxa"/>
            <w:vMerge w:val="restart"/>
            <w:noWrap w:val="0"/>
            <w:vAlign w:val="center"/>
          </w:tcPr>
          <w:p>
            <w:pPr>
              <w:pStyle w:val="332"/>
              <w:jc w:val="center"/>
              <w:rPr>
                <w:color w:val="auto"/>
                <w:sz w:val="20"/>
                <w:szCs w:val="20"/>
              </w:rPr>
            </w:pPr>
            <w:r>
              <w:rPr>
                <w:rFonts w:hint="eastAsia"/>
                <w:color w:val="auto"/>
                <w:sz w:val="20"/>
                <w:szCs w:val="20"/>
                <w:lang w:val="en-US" w:eastAsia="zh-CN"/>
              </w:rPr>
              <w:t>科学设计日粮，</w:t>
            </w:r>
            <w:r>
              <w:rPr>
                <w:rFonts w:hint="eastAsia"/>
                <w:color w:val="auto"/>
                <w:sz w:val="20"/>
                <w:szCs w:val="20"/>
              </w:rPr>
              <w:t>选用益生菌配方饲料</w:t>
            </w:r>
            <w:r>
              <w:rPr>
                <w:rFonts w:hint="eastAsia"/>
                <w:color w:val="auto"/>
                <w:sz w:val="20"/>
                <w:szCs w:val="20"/>
                <w:lang w:eastAsia="zh-CN"/>
              </w:rPr>
              <w:t>；</w:t>
            </w:r>
            <w:r>
              <w:rPr>
                <w:rFonts w:hint="eastAsia"/>
                <w:color w:val="auto"/>
                <w:sz w:val="20"/>
                <w:szCs w:val="20"/>
                <w:lang w:val="en-US" w:eastAsia="zh-CN"/>
              </w:rPr>
              <w:t>采用干清粪工艺，</w:t>
            </w:r>
            <w:r>
              <w:rPr>
                <w:rFonts w:hint="eastAsia"/>
                <w:color w:val="auto"/>
                <w:sz w:val="20"/>
                <w:szCs w:val="20"/>
                <w:lang w:eastAsia="zh-CN"/>
              </w:rPr>
              <w:t>猪舍、</w:t>
            </w:r>
            <w:r>
              <w:rPr>
                <w:rFonts w:hint="eastAsia"/>
                <w:color w:val="auto"/>
                <w:sz w:val="20"/>
                <w:szCs w:val="20"/>
                <w:lang w:val="en-US" w:eastAsia="zh-CN"/>
              </w:rPr>
              <w:t>干粪堆场及时清运粪污并喷洒除臭剂；加强绿化；污水管道地埋式；猪舍密闭，安装负压通风机，加强舍内通风；保持圈舍清洁卫生</w:t>
            </w:r>
          </w:p>
        </w:tc>
        <w:tc>
          <w:tcPr>
            <w:tcW w:w="990" w:type="dxa"/>
            <w:vMerge w:val="restart"/>
            <w:noWrap w:val="0"/>
            <w:vAlign w:val="center"/>
          </w:tcPr>
          <w:p>
            <w:pPr>
              <w:pStyle w:val="332"/>
              <w:kinsoku w:val="0"/>
              <w:overflowPunct w:val="0"/>
              <w:ind w:right="146"/>
              <w:jc w:val="center"/>
              <w:rPr>
                <w:color w:val="auto"/>
                <w:sz w:val="20"/>
                <w:szCs w:val="20"/>
              </w:rPr>
            </w:pPr>
            <w:r>
              <w:rPr>
                <w:color w:val="auto"/>
                <w:sz w:val="20"/>
                <w:szCs w:val="20"/>
              </w:rPr>
              <w:t>无组织排放到大气环境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continue"/>
            <w:noWrap w:val="0"/>
            <w:vAlign w:val="center"/>
          </w:tcPr>
          <w:p>
            <w:pPr>
              <w:pStyle w:val="332"/>
              <w:kinsoku w:val="0"/>
              <w:overflowPunct w:val="0"/>
              <w:ind w:left="140" w:right="146"/>
              <w:jc w:val="center"/>
              <w:rPr>
                <w:color w:val="auto"/>
                <w:sz w:val="20"/>
                <w:szCs w:val="20"/>
              </w:rPr>
            </w:pPr>
          </w:p>
        </w:tc>
        <w:tc>
          <w:tcPr>
            <w:tcW w:w="1112" w:type="dxa"/>
            <w:vMerge w:val="continue"/>
            <w:noWrap w:val="0"/>
            <w:vAlign w:val="center"/>
          </w:tcPr>
          <w:p>
            <w:pPr>
              <w:pStyle w:val="332"/>
              <w:kinsoku w:val="0"/>
              <w:overflowPunct w:val="0"/>
              <w:ind w:left="140" w:right="146"/>
              <w:jc w:val="center"/>
              <w:rPr>
                <w:color w:val="auto"/>
                <w:sz w:val="20"/>
                <w:szCs w:val="20"/>
              </w:rPr>
            </w:pPr>
          </w:p>
        </w:tc>
        <w:tc>
          <w:tcPr>
            <w:tcW w:w="990" w:type="dxa"/>
            <w:noWrap w:val="0"/>
            <w:vAlign w:val="center"/>
          </w:tcPr>
          <w:p>
            <w:pPr>
              <w:pStyle w:val="332"/>
              <w:kinsoku w:val="0"/>
              <w:overflowPunct w:val="0"/>
              <w:ind w:right="1"/>
              <w:jc w:val="center"/>
              <w:rPr>
                <w:color w:val="auto"/>
                <w:sz w:val="20"/>
                <w:szCs w:val="20"/>
              </w:rPr>
            </w:pPr>
            <w:r>
              <w:rPr>
                <w:color w:val="auto"/>
                <w:position w:val="2"/>
                <w:sz w:val="20"/>
                <w:szCs w:val="20"/>
              </w:rPr>
              <w:t>H</w:t>
            </w:r>
            <w:r>
              <w:rPr>
                <w:color w:val="auto"/>
                <w:position w:val="2"/>
                <w:sz w:val="20"/>
                <w:szCs w:val="20"/>
                <w:vertAlign w:val="subscript"/>
              </w:rPr>
              <w:t>2</w:t>
            </w:r>
            <w:r>
              <w:rPr>
                <w:color w:val="auto"/>
                <w:position w:val="2"/>
                <w:sz w:val="20"/>
                <w:szCs w:val="20"/>
              </w:rPr>
              <w:t>S</w:t>
            </w:r>
          </w:p>
        </w:tc>
        <w:tc>
          <w:tcPr>
            <w:tcW w:w="993" w:type="dxa"/>
            <w:noWrap w:val="0"/>
            <w:vAlign w:val="center"/>
          </w:tcPr>
          <w:p>
            <w:pPr>
              <w:pStyle w:val="297"/>
              <w:jc w:val="center"/>
              <w:rPr>
                <w:rFonts w:hint="eastAsia" w:eastAsia="宋体"/>
                <w:color w:val="auto"/>
                <w:sz w:val="21"/>
                <w:szCs w:val="21"/>
              </w:rPr>
            </w:pPr>
            <w:r>
              <w:rPr>
                <w:rFonts w:hint="eastAsia" w:eastAsia="宋体"/>
                <w:color w:val="auto"/>
                <w:sz w:val="21"/>
                <w:szCs w:val="21"/>
              </w:rPr>
              <w:t>0.117</w:t>
            </w:r>
            <w:r>
              <w:rPr>
                <w:rFonts w:hint="eastAsia" w:eastAsia="宋体"/>
                <w:color w:val="auto"/>
                <w:sz w:val="21"/>
                <w:szCs w:val="21"/>
                <w:lang w:val="en-US" w:eastAsia="zh-CN"/>
              </w:rPr>
              <w:t>2</w:t>
            </w:r>
          </w:p>
        </w:tc>
        <w:tc>
          <w:tcPr>
            <w:tcW w:w="992" w:type="dxa"/>
            <w:noWrap w:val="0"/>
            <w:vAlign w:val="center"/>
          </w:tcPr>
          <w:p>
            <w:pPr>
              <w:pStyle w:val="297"/>
              <w:jc w:val="center"/>
              <w:rPr>
                <w:rFonts w:eastAsia="宋体"/>
                <w:color w:val="auto"/>
                <w:sz w:val="21"/>
                <w:szCs w:val="21"/>
              </w:rPr>
            </w:pPr>
            <w:r>
              <w:rPr>
                <w:rFonts w:hint="eastAsia" w:eastAsia="宋体"/>
                <w:color w:val="auto"/>
                <w:sz w:val="21"/>
                <w:szCs w:val="21"/>
              </w:rPr>
              <w:t>0.</w:t>
            </w:r>
            <w:r>
              <w:rPr>
                <w:rFonts w:hint="eastAsia" w:eastAsia="宋体"/>
                <w:color w:val="auto"/>
                <w:sz w:val="21"/>
                <w:szCs w:val="21"/>
                <w:lang w:val="en-US" w:eastAsia="zh-CN"/>
              </w:rPr>
              <w:t>0</w:t>
            </w:r>
            <w:r>
              <w:rPr>
                <w:rFonts w:hint="eastAsia" w:eastAsia="宋体"/>
                <w:color w:val="auto"/>
                <w:sz w:val="21"/>
                <w:szCs w:val="21"/>
              </w:rPr>
              <w:t>117</w:t>
            </w:r>
          </w:p>
        </w:tc>
        <w:tc>
          <w:tcPr>
            <w:tcW w:w="2977" w:type="dxa"/>
            <w:vMerge w:val="continue"/>
            <w:noWrap w:val="0"/>
            <w:vAlign w:val="center"/>
          </w:tcPr>
          <w:p>
            <w:pPr>
              <w:pStyle w:val="332"/>
              <w:kinsoku w:val="0"/>
              <w:overflowPunct w:val="0"/>
              <w:ind w:left="410"/>
              <w:jc w:val="center"/>
              <w:rPr>
                <w:color w:val="auto"/>
                <w:sz w:val="20"/>
                <w:szCs w:val="20"/>
              </w:rPr>
            </w:pPr>
          </w:p>
        </w:tc>
        <w:tc>
          <w:tcPr>
            <w:tcW w:w="990" w:type="dxa"/>
            <w:vMerge w:val="continue"/>
            <w:noWrap w:val="0"/>
            <w:vAlign w:val="center"/>
          </w:tcPr>
          <w:p>
            <w:pPr>
              <w:pStyle w:val="332"/>
              <w:kinsoku w:val="0"/>
              <w:overflowPunct w:val="0"/>
              <w:ind w:left="41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restart"/>
            <w:noWrap w:val="0"/>
            <w:vAlign w:val="center"/>
          </w:tcPr>
          <w:p>
            <w:pPr>
              <w:pStyle w:val="332"/>
              <w:kinsoku w:val="0"/>
              <w:overflowPunct w:val="0"/>
              <w:ind w:right="161"/>
              <w:jc w:val="center"/>
              <w:rPr>
                <w:color w:val="auto"/>
                <w:sz w:val="20"/>
                <w:szCs w:val="20"/>
              </w:rPr>
            </w:pPr>
            <w:r>
              <w:rPr>
                <w:color w:val="auto"/>
                <w:sz w:val="20"/>
                <w:szCs w:val="20"/>
              </w:rPr>
              <w:t>环保</w:t>
            </w:r>
            <w:r>
              <w:rPr>
                <w:color w:val="auto"/>
                <w:w w:val="99"/>
                <w:sz w:val="20"/>
                <w:szCs w:val="20"/>
              </w:rPr>
              <w:t xml:space="preserve"> </w:t>
            </w:r>
            <w:r>
              <w:rPr>
                <w:rFonts w:hint="eastAsia"/>
                <w:color w:val="auto"/>
                <w:sz w:val="20"/>
                <w:szCs w:val="20"/>
              </w:rPr>
              <w:t>设施</w:t>
            </w:r>
            <w:r>
              <w:rPr>
                <w:color w:val="auto"/>
                <w:sz w:val="20"/>
                <w:szCs w:val="20"/>
              </w:rPr>
              <w:t>区</w:t>
            </w:r>
          </w:p>
        </w:tc>
        <w:tc>
          <w:tcPr>
            <w:tcW w:w="1112" w:type="dxa"/>
            <w:vMerge w:val="restart"/>
            <w:noWrap w:val="0"/>
            <w:vAlign w:val="center"/>
          </w:tcPr>
          <w:p>
            <w:pPr>
              <w:pStyle w:val="332"/>
              <w:kinsoku w:val="0"/>
              <w:overflowPunct w:val="0"/>
              <w:ind w:right="1"/>
              <w:jc w:val="center"/>
              <w:rPr>
                <w:color w:val="auto"/>
                <w:sz w:val="20"/>
                <w:szCs w:val="20"/>
              </w:rPr>
            </w:pPr>
            <w:r>
              <w:rPr>
                <w:color w:val="auto"/>
                <w:sz w:val="20"/>
                <w:szCs w:val="20"/>
              </w:rPr>
              <w:t>污水处理</w:t>
            </w:r>
            <w:r>
              <w:rPr>
                <w:rFonts w:hint="eastAsia"/>
                <w:color w:val="auto"/>
                <w:sz w:val="20"/>
                <w:szCs w:val="20"/>
              </w:rPr>
              <w:t>区</w:t>
            </w:r>
            <w:r>
              <w:rPr>
                <w:color w:val="auto"/>
                <w:sz w:val="20"/>
                <w:szCs w:val="20"/>
              </w:rPr>
              <w:t>恶臭</w:t>
            </w:r>
          </w:p>
        </w:tc>
        <w:tc>
          <w:tcPr>
            <w:tcW w:w="990" w:type="dxa"/>
            <w:noWrap w:val="0"/>
            <w:vAlign w:val="center"/>
          </w:tcPr>
          <w:p>
            <w:pPr>
              <w:pStyle w:val="332"/>
              <w:kinsoku w:val="0"/>
              <w:overflowPunct w:val="0"/>
              <w:jc w:val="center"/>
              <w:rPr>
                <w:color w:val="auto"/>
                <w:sz w:val="20"/>
                <w:szCs w:val="20"/>
              </w:rPr>
            </w:pPr>
            <w:r>
              <w:rPr>
                <w:color w:val="auto"/>
                <w:position w:val="2"/>
                <w:sz w:val="20"/>
                <w:szCs w:val="20"/>
              </w:rPr>
              <w:t>NH</w:t>
            </w:r>
            <w:r>
              <w:rPr>
                <w:color w:val="auto"/>
                <w:position w:val="2"/>
                <w:sz w:val="20"/>
                <w:szCs w:val="20"/>
                <w:vertAlign w:val="subscript"/>
              </w:rPr>
              <w:t>3</w:t>
            </w:r>
          </w:p>
        </w:tc>
        <w:tc>
          <w:tcPr>
            <w:tcW w:w="993" w:type="dxa"/>
            <w:noWrap w:val="0"/>
            <w:vAlign w:val="center"/>
          </w:tcPr>
          <w:p>
            <w:pPr>
              <w:pStyle w:val="297"/>
              <w:jc w:val="center"/>
              <w:rPr>
                <w:rFonts w:hint="eastAsia" w:eastAsia="宋体"/>
                <w:color w:val="auto"/>
              </w:rPr>
            </w:pPr>
            <w:r>
              <w:rPr>
                <w:color w:val="auto"/>
              </w:rPr>
              <w:t>0.0</w:t>
            </w:r>
            <w:r>
              <w:rPr>
                <w:rFonts w:hint="eastAsia"/>
                <w:color w:val="auto"/>
                <w:lang w:val="en-US" w:eastAsia="zh-CN"/>
              </w:rPr>
              <w:t>278</w:t>
            </w:r>
          </w:p>
        </w:tc>
        <w:tc>
          <w:tcPr>
            <w:tcW w:w="992" w:type="dxa"/>
            <w:noWrap w:val="0"/>
            <w:vAlign w:val="center"/>
          </w:tcPr>
          <w:p>
            <w:pPr>
              <w:pStyle w:val="297"/>
              <w:jc w:val="center"/>
              <w:rPr>
                <w:rFonts w:eastAsia="宋体"/>
                <w:color w:val="auto"/>
              </w:rPr>
            </w:pPr>
            <w:r>
              <w:rPr>
                <w:rFonts w:eastAsia="等线"/>
                <w:color w:val="auto"/>
              </w:rPr>
              <w:t>0.0</w:t>
            </w:r>
            <w:r>
              <w:rPr>
                <w:rFonts w:hint="eastAsia" w:eastAsia="等线"/>
                <w:color w:val="auto"/>
                <w:lang w:val="en-US" w:eastAsia="zh-CN"/>
              </w:rPr>
              <w:t>097</w:t>
            </w:r>
          </w:p>
        </w:tc>
        <w:tc>
          <w:tcPr>
            <w:tcW w:w="2977" w:type="dxa"/>
            <w:vMerge w:val="restart"/>
            <w:noWrap w:val="0"/>
            <w:vAlign w:val="center"/>
          </w:tcPr>
          <w:p>
            <w:pPr>
              <w:pStyle w:val="332"/>
              <w:kinsoku w:val="0"/>
              <w:overflowPunct w:val="0"/>
              <w:jc w:val="center"/>
              <w:rPr>
                <w:color w:val="auto"/>
                <w:sz w:val="20"/>
                <w:szCs w:val="20"/>
              </w:rPr>
            </w:pPr>
            <w:r>
              <w:rPr>
                <w:rFonts w:hint="eastAsia"/>
                <w:color w:val="auto"/>
                <w:sz w:val="20"/>
                <w:szCs w:val="20"/>
              </w:rPr>
              <w:t>收集池加盖；黑膜沼气池采取黑膜加盖封闭；恶臭产气区域喷洒除臭剂</w:t>
            </w:r>
          </w:p>
        </w:tc>
        <w:tc>
          <w:tcPr>
            <w:tcW w:w="990" w:type="dxa"/>
            <w:vMerge w:val="restart"/>
            <w:noWrap w:val="0"/>
            <w:vAlign w:val="center"/>
          </w:tcPr>
          <w:p>
            <w:pPr>
              <w:pStyle w:val="332"/>
              <w:kinsoku w:val="0"/>
              <w:overflowPunct w:val="0"/>
              <w:ind w:left="103"/>
              <w:jc w:val="center"/>
              <w:rPr>
                <w:color w:val="auto"/>
                <w:sz w:val="20"/>
                <w:szCs w:val="20"/>
              </w:rPr>
            </w:pPr>
            <w:r>
              <w:rPr>
                <w:rFonts w:hint="eastAsia"/>
                <w:color w:val="auto"/>
                <w:sz w:val="20"/>
                <w:szCs w:val="20"/>
              </w:rPr>
              <w:t>无组织排放到大气环境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continue"/>
            <w:noWrap w:val="0"/>
            <w:vAlign w:val="center"/>
          </w:tcPr>
          <w:p>
            <w:pPr>
              <w:pStyle w:val="332"/>
              <w:kinsoku w:val="0"/>
              <w:overflowPunct w:val="0"/>
              <w:ind w:left="103"/>
              <w:jc w:val="center"/>
              <w:rPr>
                <w:color w:val="auto"/>
                <w:sz w:val="20"/>
                <w:szCs w:val="20"/>
              </w:rPr>
            </w:pPr>
          </w:p>
        </w:tc>
        <w:tc>
          <w:tcPr>
            <w:tcW w:w="1112" w:type="dxa"/>
            <w:vMerge w:val="continue"/>
            <w:noWrap w:val="0"/>
            <w:vAlign w:val="center"/>
          </w:tcPr>
          <w:p>
            <w:pPr>
              <w:pStyle w:val="332"/>
              <w:kinsoku w:val="0"/>
              <w:overflowPunct w:val="0"/>
              <w:ind w:left="103"/>
              <w:jc w:val="center"/>
              <w:rPr>
                <w:color w:val="auto"/>
                <w:sz w:val="20"/>
                <w:szCs w:val="20"/>
              </w:rPr>
            </w:pPr>
          </w:p>
        </w:tc>
        <w:tc>
          <w:tcPr>
            <w:tcW w:w="990" w:type="dxa"/>
            <w:noWrap w:val="0"/>
            <w:vAlign w:val="center"/>
          </w:tcPr>
          <w:p>
            <w:pPr>
              <w:pStyle w:val="332"/>
              <w:kinsoku w:val="0"/>
              <w:overflowPunct w:val="0"/>
              <w:ind w:right="1"/>
              <w:jc w:val="center"/>
              <w:rPr>
                <w:color w:val="auto"/>
                <w:sz w:val="20"/>
                <w:szCs w:val="20"/>
              </w:rPr>
            </w:pPr>
            <w:r>
              <w:rPr>
                <w:color w:val="auto"/>
                <w:position w:val="2"/>
                <w:sz w:val="20"/>
                <w:szCs w:val="20"/>
              </w:rPr>
              <w:t>H</w:t>
            </w:r>
            <w:r>
              <w:rPr>
                <w:color w:val="auto"/>
                <w:position w:val="2"/>
                <w:sz w:val="20"/>
                <w:szCs w:val="20"/>
                <w:vertAlign w:val="subscript"/>
              </w:rPr>
              <w:t>2</w:t>
            </w:r>
            <w:r>
              <w:rPr>
                <w:color w:val="auto"/>
                <w:position w:val="2"/>
                <w:sz w:val="20"/>
                <w:szCs w:val="20"/>
              </w:rPr>
              <w:t>S</w:t>
            </w:r>
          </w:p>
        </w:tc>
        <w:tc>
          <w:tcPr>
            <w:tcW w:w="993" w:type="dxa"/>
            <w:noWrap w:val="0"/>
            <w:vAlign w:val="center"/>
          </w:tcPr>
          <w:p>
            <w:pPr>
              <w:pStyle w:val="297"/>
              <w:jc w:val="center"/>
              <w:rPr>
                <w:rFonts w:hint="eastAsia" w:eastAsia="宋体"/>
                <w:color w:val="auto"/>
              </w:rPr>
            </w:pPr>
            <w:r>
              <w:rPr>
                <w:color w:val="auto"/>
              </w:rPr>
              <w:t>0.001</w:t>
            </w:r>
            <w:r>
              <w:rPr>
                <w:rFonts w:hint="eastAsia"/>
                <w:color w:val="auto"/>
                <w:lang w:val="en-US" w:eastAsia="zh-CN"/>
              </w:rPr>
              <w:t>1</w:t>
            </w:r>
          </w:p>
        </w:tc>
        <w:tc>
          <w:tcPr>
            <w:tcW w:w="992" w:type="dxa"/>
            <w:noWrap w:val="0"/>
            <w:vAlign w:val="center"/>
          </w:tcPr>
          <w:p>
            <w:pPr>
              <w:pStyle w:val="297"/>
              <w:jc w:val="center"/>
              <w:rPr>
                <w:rFonts w:eastAsia="宋体"/>
                <w:color w:val="auto"/>
              </w:rPr>
            </w:pPr>
            <w:r>
              <w:rPr>
                <w:rFonts w:eastAsia="等线"/>
                <w:color w:val="auto"/>
              </w:rPr>
              <w:t>0.0004</w:t>
            </w:r>
          </w:p>
        </w:tc>
        <w:tc>
          <w:tcPr>
            <w:tcW w:w="2977" w:type="dxa"/>
            <w:vMerge w:val="continue"/>
            <w:noWrap w:val="0"/>
            <w:vAlign w:val="center"/>
          </w:tcPr>
          <w:p>
            <w:pPr>
              <w:pStyle w:val="332"/>
              <w:kinsoku w:val="0"/>
              <w:overflowPunct w:val="0"/>
              <w:ind w:left="358"/>
              <w:jc w:val="center"/>
              <w:rPr>
                <w:color w:val="auto"/>
                <w:sz w:val="20"/>
                <w:szCs w:val="20"/>
              </w:rPr>
            </w:pPr>
          </w:p>
        </w:tc>
        <w:tc>
          <w:tcPr>
            <w:tcW w:w="990" w:type="dxa"/>
            <w:vMerge w:val="continue"/>
            <w:noWrap w:val="0"/>
            <w:vAlign w:val="center"/>
          </w:tcPr>
          <w:p>
            <w:pPr>
              <w:pStyle w:val="332"/>
              <w:kinsoku w:val="0"/>
              <w:overflowPunct w:val="0"/>
              <w:ind w:left="358"/>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vMerge w:val="restart"/>
            <w:noWrap w:val="0"/>
            <w:vAlign w:val="center"/>
          </w:tcPr>
          <w:p>
            <w:pPr>
              <w:pStyle w:val="332"/>
              <w:kinsoku w:val="0"/>
              <w:overflowPunct w:val="0"/>
              <w:jc w:val="center"/>
              <w:rPr>
                <w:color w:val="auto"/>
                <w:sz w:val="20"/>
                <w:szCs w:val="20"/>
              </w:rPr>
            </w:pPr>
            <w:r>
              <w:rPr>
                <w:rFonts w:hint="eastAsia"/>
                <w:color w:val="auto"/>
                <w:sz w:val="20"/>
                <w:szCs w:val="20"/>
              </w:rPr>
              <w:t>运输恶臭及尾气</w:t>
            </w:r>
          </w:p>
        </w:tc>
        <w:tc>
          <w:tcPr>
            <w:tcW w:w="990" w:type="dxa"/>
            <w:noWrap w:val="0"/>
            <w:vAlign w:val="center"/>
          </w:tcPr>
          <w:p>
            <w:pPr>
              <w:pStyle w:val="332"/>
              <w:kinsoku w:val="0"/>
              <w:overflowPunct w:val="0"/>
              <w:ind w:left="1"/>
              <w:jc w:val="center"/>
              <w:rPr>
                <w:color w:val="auto"/>
                <w:position w:val="2"/>
                <w:sz w:val="20"/>
                <w:szCs w:val="20"/>
              </w:rPr>
            </w:pPr>
            <w:r>
              <w:rPr>
                <w:color w:val="auto"/>
                <w:position w:val="2"/>
                <w:sz w:val="20"/>
                <w:szCs w:val="20"/>
              </w:rPr>
              <w:t>NH</w:t>
            </w:r>
            <w:r>
              <w:rPr>
                <w:color w:val="auto"/>
                <w:position w:val="2"/>
                <w:sz w:val="20"/>
                <w:szCs w:val="20"/>
                <w:vertAlign w:val="subscript"/>
              </w:rPr>
              <w:t>3</w:t>
            </w:r>
          </w:p>
        </w:tc>
        <w:tc>
          <w:tcPr>
            <w:tcW w:w="993" w:type="dxa"/>
            <w:noWrap w:val="0"/>
            <w:vAlign w:val="center"/>
          </w:tcPr>
          <w:p>
            <w:pPr>
              <w:pStyle w:val="332"/>
              <w:kinsoku w:val="0"/>
              <w:overflowPunct w:val="0"/>
              <w:jc w:val="center"/>
              <w:rPr>
                <w:color w:val="auto"/>
                <w:sz w:val="20"/>
                <w:szCs w:val="20"/>
              </w:rPr>
            </w:pPr>
            <w:r>
              <w:rPr>
                <w:rFonts w:hint="eastAsia"/>
                <w:color w:val="auto"/>
                <w:sz w:val="20"/>
                <w:szCs w:val="20"/>
              </w:rPr>
              <w:t>少量</w:t>
            </w:r>
          </w:p>
        </w:tc>
        <w:tc>
          <w:tcPr>
            <w:tcW w:w="992" w:type="dxa"/>
            <w:noWrap w:val="0"/>
            <w:vAlign w:val="center"/>
          </w:tcPr>
          <w:p>
            <w:pPr>
              <w:pStyle w:val="332"/>
              <w:kinsoku w:val="0"/>
              <w:overflowPunct w:val="0"/>
              <w:jc w:val="center"/>
              <w:rPr>
                <w:color w:val="auto"/>
                <w:sz w:val="20"/>
                <w:szCs w:val="20"/>
              </w:rPr>
            </w:pPr>
            <w:r>
              <w:rPr>
                <w:rFonts w:hint="eastAsia"/>
                <w:color w:val="auto"/>
                <w:sz w:val="20"/>
                <w:szCs w:val="20"/>
              </w:rPr>
              <w:t>少量</w:t>
            </w:r>
          </w:p>
        </w:tc>
        <w:tc>
          <w:tcPr>
            <w:tcW w:w="2977" w:type="dxa"/>
            <w:vMerge w:val="restart"/>
            <w:noWrap w:val="0"/>
            <w:vAlign w:val="center"/>
          </w:tcPr>
          <w:p>
            <w:pPr>
              <w:pStyle w:val="332"/>
              <w:kinsoku w:val="0"/>
              <w:overflowPunct w:val="0"/>
              <w:jc w:val="center"/>
              <w:rPr>
                <w:color w:val="auto"/>
                <w:sz w:val="20"/>
                <w:szCs w:val="20"/>
              </w:rPr>
            </w:pPr>
            <w:r>
              <w:rPr>
                <w:color w:val="auto"/>
                <w:sz w:val="20"/>
                <w:szCs w:val="20"/>
              </w:rPr>
              <w:t>合理安排路线</w:t>
            </w:r>
            <w:r>
              <w:rPr>
                <w:rFonts w:hint="eastAsia"/>
                <w:color w:val="auto"/>
                <w:sz w:val="20"/>
                <w:szCs w:val="20"/>
              </w:rPr>
              <w:t>，</w:t>
            </w:r>
            <w:r>
              <w:rPr>
                <w:color w:val="auto"/>
                <w:sz w:val="20"/>
                <w:szCs w:val="20"/>
              </w:rPr>
              <w:t>自由扩散</w:t>
            </w:r>
          </w:p>
        </w:tc>
        <w:tc>
          <w:tcPr>
            <w:tcW w:w="990" w:type="dxa"/>
            <w:vMerge w:val="restart"/>
            <w:noWrap w:val="0"/>
            <w:vAlign w:val="center"/>
          </w:tcPr>
          <w:p>
            <w:pPr>
              <w:pStyle w:val="332"/>
              <w:kinsoku w:val="0"/>
              <w:overflowPunct w:val="0"/>
              <w:jc w:val="center"/>
              <w:rPr>
                <w:rFonts w:hint="eastAsia"/>
                <w:color w:val="auto"/>
                <w:sz w:val="20"/>
                <w:szCs w:val="20"/>
              </w:rPr>
            </w:pPr>
            <w:r>
              <w:rPr>
                <w:color w:val="auto"/>
                <w:sz w:val="20"/>
                <w:szCs w:val="20"/>
              </w:rPr>
              <w:t>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vMerge w:val="continue"/>
            <w:noWrap w:val="0"/>
            <w:vAlign w:val="center"/>
          </w:tcPr>
          <w:p>
            <w:pPr>
              <w:pStyle w:val="332"/>
              <w:kinsoku w:val="0"/>
              <w:overflowPunct w:val="0"/>
              <w:jc w:val="center"/>
              <w:rPr>
                <w:color w:val="auto"/>
                <w:sz w:val="20"/>
                <w:szCs w:val="20"/>
              </w:rPr>
            </w:pPr>
          </w:p>
        </w:tc>
        <w:tc>
          <w:tcPr>
            <w:tcW w:w="990" w:type="dxa"/>
            <w:noWrap w:val="0"/>
            <w:vAlign w:val="center"/>
          </w:tcPr>
          <w:p>
            <w:pPr>
              <w:pStyle w:val="332"/>
              <w:kinsoku w:val="0"/>
              <w:overflowPunct w:val="0"/>
              <w:ind w:left="1"/>
              <w:jc w:val="center"/>
              <w:rPr>
                <w:color w:val="auto"/>
                <w:position w:val="2"/>
                <w:sz w:val="20"/>
                <w:szCs w:val="20"/>
              </w:rPr>
            </w:pPr>
            <w:r>
              <w:rPr>
                <w:color w:val="auto"/>
                <w:position w:val="2"/>
                <w:sz w:val="20"/>
                <w:szCs w:val="20"/>
              </w:rPr>
              <w:t>H</w:t>
            </w:r>
            <w:r>
              <w:rPr>
                <w:color w:val="auto"/>
                <w:position w:val="2"/>
                <w:sz w:val="20"/>
                <w:szCs w:val="20"/>
                <w:vertAlign w:val="subscript"/>
              </w:rPr>
              <w:t>2</w:t>
            </w:r>
            <w:r>
              <w:rPr>
                <w:color w:val="auto"/>
                <w:position w:val="2"/>
                <w:sz w:val="20"/>
                <w:szCs w:val="20"/>
              </w:rPr>
              <w:t>S</w:t>
            </w:r>
          </w:p>
        </w:tc>
        <w:tc>
          <w:tcPr>
            <w:tcW w:w="993" w:type="dxa"/>
            <w:noWrap w:val="0"/>
            <w:vAlign w:val="center"/>
          </w:tcPr>
          <w:p>
            <w:pPr>
              <w:pStyle w:val="332"/>
              <w:kinsoku w:val="0"/>
              <w:overflowPunct w:val="0"/>
              <w:jc w:val="center"/>
              <w:rPr>
                <w:color w:val="auto"/>
                <w:sz w:val="20"/>
                <w:szCs w:val="20"/>
              </w:rPr>
            </w:pPr>
            <w:r>
              <w:rPr>
                <w:rFonts w:hint="eastAsia"/>
                <w:color w:val="auto"/>
                <w:sz w:val="20"/>
                <w:szCs w:val="20"/>
              </w:rPr>
              <w:t>少量</w:t>
            </w:r>
          </w:p>
        </w:tc>
        <w:tc>
          <w:tcPr>
            <w:tcW w:w="992" w:type="dxa"/>
            <w:noWrap w:val="0"/>
            <w:vAlign w:val="center"/>
          </w:tcPr>
          <w:p>
            <w:pPr>
              <w:pStyle w:val="332"/>
              <w:kinsoku w:val="0"/>
              <w:overflowPunct w:val="0"/>
              <w:jc w:val="center"/>
              <w:rPr>
                <w:color w:val="auto"/>
                <w:sz w:val="20"/>
                <w:szCs w:val="20"/>
              </w:rPr>
            </w:pPr>
            <w:r>
              <w:rPr>
                <w:rFonts w:hint="eastAsia"/>
                <w:color w:val="auto"/>
                <w:sz w:val="20"/>
                <w:szCs w:val="20"/>
              </w:rPr>
              <w:t>少量</w:t>
            </w:r>
          </w:p>
        </w:tc>
        <w:tc>
          <w:tcPr>
            <w:tcW w:w="2977" w:type="dxa"/>
            <w:vMerge w:val="continue"/>
            <w:noWrap w:val="0"/>
            <w:vAlign w:val="center"/>
          </w:tcPr>
          <w:p>
            <w:pPr>
              <w:pStyle w:val="332"/>
              <w:kinsoku w:val="0"/>
              <w:overflowPunct w:val="0"/>
              <w:jc w:val="center"/>
              <w:rPr>
                <w:color w:val="auto"/>
                <w:sz w:val="20"/>
                <w:szCs w:val="20"/>
              </w:rPr>
            </w:pPr>
          </w:p>
        </w:tc>
        <w:tc>
          <w:tcPr>
            <w:tcW w:w="990" w:type="dxa"/>
            <w:vMerge w:val="continue"/>
            <w:noWrap w:val="0"/>
            <w:vAlign w:val="center"/>
          </w:tcPr>
          <w:p>
            <w:pPr>
              <w:pStyle w:val="332"/>
              <w:kinsoku w:val="0"/>
              <w:overflowPunct w:val="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vMerge w:val="restart"/>
            <w:noWrap w:val="0"/>
            <w:vAlign w:val="center"/>
          </w:tcPr>
          <w:p>
            <w:pPr>
              <w:pStyle w:val="332"/>
              <w:kinsoku w:val="0"/>
              <w:overflowPunct w:val="0"/>
              <w:jc w:val="center"/>
              <w:rPr>
                <w:color w:val="auto"/>
                <w:sz w:val="20"/>
                <w:szCs w:val="20"/>
              </w:rPr>
            </w:pPr>
            <w:r>
              <w:rPr>
                <w:rFonts w:hint="eastAsia"/>
                <w:color w:val="auto"/>
                <w:sz w:val="20"/>
                <w:szCs w:val="20"/>
              </w:rPr>
              <w:t>沼气燃烧</w:t>
            </w:r>
            <w:r>
              <w:rPr>
                <w:color w:val="auto"/>
                <w:sz w:val="20"/>
                <w:szCs w:val="20"/>
              </w:rPr>
              <w:t>废气</w:t>
            </w:r>
          </w:p>
        </w:tc>
        <w:tc>
          <w:tcPr>
            <w:tcW w:w="990" w:type="dxa"/>
            <w:noWrap w:val="0"/>
            <w:vAlign w:val="center"/>
          </w:tcPr>
          <w:p>
            <w:pPr>
              <w:pStyle w:val="332"/>
              <w:kinsoku w:val="0"/>
              <w:overflowPunct w:val="0"/>
              <w:ind w:left="1"/>
              <w:jc w:val="center"/>
              <w:rPr>
                <w:color w:val="auto"/>
                <w:sz w:val="20"/>
                <w:szCs w:val="20"/>
              </w:rPr>
            </w:pPr>
            <w:r>
              <w:rPr>
                <w:color w:val="auto"/>
                <w:position w:val="2"/>
                <w:sz w:val="20"/>
                <w:szCs w:val="20"/>
              </w:rPr>
              <w:t>SO</w:t>
            </w:r>
            <w:r>
              <w:rPr>
                <w:color w:val="auto"/>
                <w:position w:val="2"/>
                <w:sz w:val="20"/>
                <w:szCs w:val="20"/>
                <w:vertAlign w:val="subscript"/>
              </w:rPr>
              <w:t>2</w:t>
            </w:r>
          </w:p>
        </w:tc>
        <w:tc>
          <w:tcPr>
            <w:tcW w:w="993"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b w:val="0"/>
                <w:bCs w:val="0"/>
                <w:color w:val="auto"/>
                <w:sz w:val="20"/>
                <w:szCs w:val="20"/>
                <w:vertAlign w:val="baseline"/>
                <w:lang w:val="en-US" w:eastAsia="zh-CN"/>
              </w:rPr>
              <w:t>0.2930kg/a</w:t>
            </w:r>
          </w:p>
        </w:tc>
        <w:tc>
          <w:tcPr>
            <w:tcW w:w="992"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b w:val="0"/>
                <w:bCs w:val="0"/>
                <w:color w:val="auto"/>
                <w:sz w:val="20"/>
                <w:szCs w:val="20"/>
                <w:vertAlign w:val="baseline"/>
                <w:lang w:val="en-US" w:eastAsia="zh-CN"/>
              </w:rPr>
              <w:t>0.2930kg/a</w:t>
            </w:r>
          </w:p>
        </w:tc>
        <w:tc>
          <w:tcPr>
            <w:tcW w:w="2977" w:type="dxa"/>
            <w:vMerge w:val="restart"/>
            <w:noWrap w:val="0"/>
            <w:vAlign w:val="center"/>
          </w:tcPr>
          <w:p>
            <w:pPr>
              <w:pStyle w:val="332"/>
              <w:kinsoku w:val="0"/>
              <w:overflowPunct w:val="0"/>
              <w:jc w:val="center"/>
              <w:rPr>
                <w:color w:val="auto"/>
                <w:sz w:val="20"/>
                <w:szCs w:val="20"/>
              </w:rPr>
            </w:pPr>
            <w:r>
              <w:rPr>
                <w:rFonts w:hint="eastAsia"/>
                <w:color w:val="auto"/>
                <w:sz w:val="20"/>
                <w:szCs w:val="20"/>
              </w:rPr>
              <w:t>沼气脱水、脱硫+食堂燃料或火炬燃烧</w:t>
            </w:r>
          </w:p>
        </w:tc>
        <w:tc>
          <w:tcPr>
            <w:tcW w:w="990" w:type="dxa"/>
            <w:vMerge w:val="restart"/>
            <w:noWrap w:val="0"/>
            <w:vAlign w:val="center"/>
          </w:tcPr>
          <w:p>
            <w:pPr>
              <w:pStyle w:val="332"/>
              <w:kinsoku w:val="0"/>
              <w:overflowPunct w:val="0"/>
              <w:jc w:val="center"/>
              <w:rPr>
                <w:color w:val="auto"/>
                <w:sz w:val="20"/>
                <w:szCs w:val="20"/>
              </w:rPr>
            </w:pPr>
            <w:r>
              <w:rPr>
                <w:rFonts w:hint="eastAsia"/>
                <w:color w:val="auto"/>
                <w:sz w:val="20"/>
                <w:szCs w:val="20"/>
              </w:rPr>
              <w:t>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vMerge w:val="continue"/>
            <w:noWrap w:val="0"/>
            <w:vAlign w:val="center"/>
          </w:tcPr>
          <w:p>
            <w:pPr>
              <w:pStyle w:val="332"/>
              <w:kinsoku w:val="0"/>
              <w:overflowPunct w:val="0"/>
              <w:ind w:left="245"/>
              <w:jc w:val="center"/>
              <w:rPr>
                <w:color w:val="auto"/>
                <w:sz w:val="20"/>
                <w:szCs w:val="20"/>
              </w:rPr>
            </w:pPr>
          </w:p>
        </w:tc>
        <w:tc>
          <w:tcPr>
            <w:tcW w:w="990" w:type="dxa"/>
            <w:noWrap w:val="0"/>
            <w:vAlign w:val="center"/>
          </w:tcPr>
          <w:p>
            <w:pPr>
              <w:pStyle w:val="332"/>
              <w:kinsoku w:val="0"/>
              <w:overflowPunct w:val="0"/>
              <w:jc w:val="center"/>
              <w:rPr>
                <w:color w:val="auto"/>
                <w:sz w:val="20"/>
                <w:szCs w:val="20"/>
              </w:rPr>
            </w:pPr>
            <w:r>
              <w:rPr>
                <w:color w:val="auto"/>
                <w:sz w:val="20"/>
                <w:szCs w:val="20"/>
              </w:rPr>
              <w:t>NOx</w:t>
            </w:r>
          </w:p>
        </w:tc>
        <w:tc>
          <w:tcPr>
            <w:tcW w:w="993"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b w:val="0"/>
                <w:bCs w:val="0"/>
                <w:color w:val="auto"/>
                <w:sz w:val="20"/>
                <w:szCs w:val="20"/>
                <w:vertAlign w:val="baseline"/>
                <w:lang w:val="en-US" w:eastAsia="zh-CN"/>
              </w:rPr>
              <w:t>4.9042kg/a</w:t>
            </w:r>
          </w:p>
        </w:tc>
        <w:tc>
          <w:tcPr>
            <w:tcW w:w="992" w:type="dxa"/>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b w:val="0"/>
                <w:bCs w:val="0"/>
                <w:color w:val="auto"/>
                <w:sz w:val="20"/>
                <w:szCs w:val="20"/>
                <w:vertAlign w:val="baseline"/>
                <w:lang w:val="en-US" w:eastAsia="zh-CN"/>
              </w:rPr>
              <w:t>4.9042kg/a</w:t>
            </w:r>
          </w:p>
        </w:tc>
        <w:tc>
          <w:tcPr>
            <w:tcW w:w="2977" w:type="dxa"/>
            <w:vMerge w:val="continue"/>
            <w:noWrap w:val="0"/>
            <w:vAlign w:val="center"/>
          </w:tcPr>
          <w:p>
            <w:pPr>
              <w:pStyle w:val="332"/>
              <w:kinsoku w:val="0"/>
              <w:overflowPunct w:val="0"/>
              <w:ind w:left="461"/>
              <w:jc w:val="center"/>
              <w:rPr>
                <w:color w:val="auto"/>
                <w:sz w:val="20"/>
                <w:szCs w:val="20"/>
              </w:rPr>
            </w:pPr>
          </w:p>
        </w:tc>
        <w:tc>
          <w:tcPr>
            <w:tcW w:w="990" w:type="dxa"/>
            <w:vMerge w:val="continue"/>
            <w:noWrap w:val="0"/>
            <w:vAlign w:val="center"/>
          </w:tcPr>
          <w:p>
            <w:pPr>
              <w:pStyle w:val="332"/>
              <w:kinsoku w:val="0"/>
              <w:overflowPunct w:val="0"/>
              <w:ind w:left="461"/>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noWrap w:val="0"/>
            <w:vAlign w:val="center"/>
          </w:tcPr>
          <w:p>
            <w:pPr>
              <w:pStyle w:val="332"/>
              <w:kinsoku w:val="0"/>
              <w:overflowPunct w:val="0"/>
              <w:jc w:val="center"/>
              <w:rPr>
                <w:color w:val="auto"/>
                <w:sz w:val="20"/>
                <w:szCs w:val="20"/>
              </w:rPr>
            </w:pPr>
            <w:r>
              <w:rPr>
                <w:color w:val="auto"/>
                <w:sz w:val="20"/>
                <w:szCs w:val="20"/>
              </w:rPr>
              <w:t>食堂油烟废气</w:t>
            </w:r>
          </w:p>
        </w:tc>
        <w:tc>
          <w:tcPr>
            <w:tcW w:w="990" w:type="dxa"/>
            <w:noWrap w:val="0"/>
            <w:vAlign w:val="center"/>
          </w:tcPr>
          <w:p>
            <w:pPr>
              <w:pStyle w:val="332"/>
              <w:kinsoku w:val="0"/>
              <w:overflowPunct w:val="0"/>
              <w:jc w:val="center"/>
              <w:rPr>
                <w:color w:val="auto"/>
                <w:sz w:val="20"/>
                <w:szCs w:val="20"/>
              </w:rPr>
            </w:pPr>
            <w:r>
              <w:rPr>
                <w:color w:val="auto"/>
                <w:sz w:val="20"/>
                <w:szCs w:val="20"/>
              </w:rPr>
              <w:t>油烟</w:t>
            </w:r>
          </w:p>
        </w:tc>
        <w:tc>
          <w:tcPr>
            <w:tcW w:w="993" w:type="dxa"/>
            <w:noWrap w:val="0"/>
            <w:vAlign w:val="center"/>
          </w:tcPr>
          <w:p>
            <w:pPr>
              <w:pStyle w:val="332"/>
              <w:kinsoku w:val="0"/>
              <w:overflowPunct w:val="0"/>
              <w:jc w:val="center"/>
              <w:rPr>
                <w:color w:val="auto"/>
                <w:sz w:val="20"/>
                <w:szCs w:val="20"/>
              </w:rPr>
            </w:pPr>
            <w:r>
              <w:rPr>
                <w:rFonts w:hint="eastAsia"/>
                <w:color w:val="auto"/>
                <w:sz w:val="20"/>
                <w:szCs w:val="20"/>
              </w:rPr>
              <w:t>2.2995</w:t>
            </w:r>
            <w:r>
              <w:rPr>
                <w:color w:val="auto"/>
                <w:sz w:val="20"/>
                <w:szCs w:val="20"/>
              </w:rPr>
              <w:t>kg/a</w:t>
            </w:r>
          </w:p>
        </w:tc>
        <w:tc>
          <w:tcPr>
            <w:tcW w:w="992" w:type="dxa"/>
            <w:noWrap w:val="0"/>
            <w:vAlign w:val="center"/>
          </w:tcPr>
          <w:p>
            <w:pPr>
              <w:pStyle w:val="332"/>
              <w:kinsoku w:val="0"/>
              <w:overflowPunct w:val="0"/>
              <w:jc w:val="center"/>
              <w:rPr>
                <w:color w:val="auto"/>
                <w:sz w:val="20"/>
                <w:szCs w:val="20"/>
              </w:rPr>
            </w:pPr>
            <w:r>
              <w:rPr>
                <w:rFonts w:hint="eastAsia"/>
                <w:color w:val="auto"/>
                <w:sz w:val="20"/>
                <w:szCs w:val="20"/>
              </w:rPr>
              <w:t>0.9198</w:t>
            </w:r>
            <w:r>
              <w:rPr>
                <w:color w:val="auto"/>
                <w:sz w:val="20"/>
                <w:szCs w:val="20"/>
              </w:rPr>
              <w:t>kg/a</w:t>
            </w:r>
          </w:p>
        </w:tc>
        <w:tc>
          <w:tcPr>
            <w:tcW w:w="2977" w:type="dxa"/>
            <w:noWrap w:val="0"/>
            <w:vAlign w:val="center"/>
          </w:tcPr>
          <w:p>
            <w:pPr>
              <w:pStyle w:val="332"/>
              <w:kinsoku w:val="0"/>
              <w:overflowPunct w:val="0"/>
              <w:jc w:val="center"/>
              <w:rPr>
                <w:color w:val="auto"/>
                <w:sz w:val="20"/>
                <w:szCs w:val="20"/>
              </w:rPr>
            </w:pPr>
            <w:r>
              <w:rPr>
                <w:color w:val="auto"/>
                <w:sz w:val="20"/>
                <w:szCs w:val="20"/>
              </w:rPr>
              <w:t>油烟净化器+排烟管道</w:t>
            </w:r>
          </w:p>
        </w:tc>
        <w:tc>
          <w:tcPr>
            <w:tcW w:w="990" w:type="dxa"/>
            <w:noWrap w:val="0"/>
            <w:vAlign w:val="center"/>
          </w:tcPr>
          <w:p>
            <w:pPr>
              <w:pStyle w:val="332"/>
              <w:kinsoku w:val="0"/>
              <w:overflowPunct w:val="0"/>
              <w:jc w:val="center"/>
              <w:rPr>
                <w:color w:val="auto"/>
                <w:sz w:val="20"/>
                <w:szCs w:val="20"/>
              </w:rPr>
            </w:pPr>
            <w:r>
              <w:rPr>
                <w:color w:val="auto"/>
                <w:sz w:val="20"/>
                <w:szCs w:val="20"/>
              </w:rPr>
              <w:t>屋顶高空排放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5" w:type="dxa"/>
            <w:gridSpan w:val="2"/>
            <w:noWrap w:val="0"/>
            <w:vAlign w:val="center"/>
          </w:tcPr>
          <w:p>
            <w:pPr>
              <w:pStyle w:val="332"/>
              <w:kinsoku w:val="0"/>
              <w:overflowPunct w:val="0"/>
              <w:jc w:val="center"/>
              <w:rPr>
                <w:rFonts w:hint="eastAsia"/>
                <w:color w:val="auto"/>
                <w:sz w:val="20"/>
                <w:szCs w:val="20"/>
              </w:rPr>
            </w:pPr>
            <w:r>
              <w:rPr>
                <w:rFonts w:hint="eastAsia"/>
                <w:color w:val="auto"/>
                <w:sz w:val="20"/>
                <w:szCs w:val="20"/>
              </w:rPr>
              <w:t>柴油发电机废气</w:t>
            </w:r>
          </w:p>
        </w:tc>
        <w:tc>
          <w:tcPr>
            <w:tcW w:w="990" w:type="dxa"/>
            <w:noWrap w:val="0"/>
            <w:vAlign w:val="center"/>
          </w:tcPr>
          <w:p>
            <w:pPr>
              <w:pStyle w:val="332"/>
              <w:kinsoku w:val="0"/>
              <w:overflowPunct w:val="0"/>
              <w:jc w:val="center"/>
              <w:rPr>
                <w:color w:val="auto"/>
                <w:sz w:val="20"/>
                <w:szCs w:val="20"/>
              </w:rPr>
            </w:pPr>
            <w:r>
              <w:rPr>
                <w:color w:val="auto"/>
                <w:sz w:val="20"/>
                <w:szCs w:val="20"/>
              </w:rPr>
              <w:t>CO、HC、NOx</w:t>
            </w:r>
          </w:p>
        </w:tc>
        <w:tc>
          <w:tcPr>
            <w:tcW w:w="5952" w:type="dxa"/>
            <w:gridSpan w:val="4"/>
            <w:noWrap w:val="0"/>
            <w:vAlign w:val="center"/>
          </w:tcPr>
          <w:p>
            <w:pPr>
              <w:pStyle w:val="332"/>
              <w:kinsoku w:val="0"/>
              <w:overflowPunct w:val="0"/>
              <w:jc w:val="center"/>
              <w:rPr>
                <w:color w:val="auto"/>
                <w:sz w:val="20"/>
                <w:szCs w:val="20"/>
              </w:rPr>
            </w:pPr>
            <w:r>
              <w:rPr>
                <w:color w:val="auto"/>
                <w:sz w:val="20"/>
                <w:szCs w:val="20"/>
              </w:rPr>
              <w:t>由自身携带的废气净化装置处理，处理后经抽排风系统抽至排风口处排放</w:t>
            </w:r>
          </w:p>
        </w:tc>
      </w:tr>
    </w:tbl>
    <w:p>
      <w:pPr>
        <w:pStyle w:val="9"/>
        <w:numPr>
          <w:ilvl w:val="0"/>
          <w:numId w:val="0"/>
        </w:numPr>
        <w:spacing w:before="120" w:beforeLines="50"/>
        <w:ind w:leftChars="0"/>
        <w:rPr>
          <w:color w:val="auto"/>
        </w:rPr>
      </w:pPr>
      <w:r>
        <w:rPr>
          <w:rFonts w:hint="eastAsia"/>
          <w:color w:val="auto"/>
          <w:lang w:val="en-US" w:eastAsia="zh-CN"/>
        </w:rPr>
        <w:t>3.6.3.3</w:t>
      </w:r>
      <w:r>
        <w:rPr>
          <w:color w:val="auto"/>
        </w:rPr>
        <w:t>噪声产生、排放及治理措施</w:t>
      </w:r>
    </w:p>
    <w:p>
      <w:pPr>
        <w:ind w:firstLine="480"/>
        <w:rPr>
          <w:color w:val="auto"/>
        </w:rPr>
      </w:pPr>
      <w:r>
        <w:rPr>
          <w:color w:val="auto"/>
        </w:rPr>
        <w:t>本项目运营期噪声主要来自于水泵、风机、发电机、沼气火炬、污水处理设施等设备噪声，猪叫声产生的噪声以及进出车辆噪声等。</w:t>
      </w:r>
    </w:p>
    <w:p>
      <w:pPr>
        <w:ind w:firstLine="482"/>
        <w:rPr>
          <w:b/>
          <w:color w:val="auto"/>
        </w:rPr>
      </w:pPr>
      <w:r>
        <w:rPr>
          <w:b/>
          <w:color w:val="auto"/>
        </w:rPr>
        <w:t>1、噪声产生情况</w:t>
      </w:r>
    </w:p>
    <w:p>
      <w:pPr>
        <w:ind w:firstLine="480"/>
        <w:rPr>
          <w:color w:val="auto"/>
        </w:rPr>
      </w:pPr>
      <w:r>
        <w:rPr>
          <w:color w:val="auto"/>
        </w:rPr>
        <w:t>本项目运营过程中猪舍较为集中，猪叫声为间歇噪声，声压级约70dB（A），属于低频段为主的噪声。生产中主要产噪设备为水泵、风机、发电机、沼气火炬等，产生的噪声为机械性噪声，频谱特征大部分以中低频为主，声级约 70～90dB（A）。水泵主要为污水处理</w:t>
      </w:r>
      <w:r>
        <w:rPr>
          <w:rFonts w:hint="eastAsia"/>
          <w:color w:val="auto"/>
        </w:rPr>
        <w:t>区</w:t>
      </w:r>
      <w:r>
        <w:rPr>
          <w:color w:val="auto"/>
        </w:rPr>
        <w:t>的污水泵、回流泵和污泥泵，水泵均设置在泵房内或地下室；风机主要为猪舍水帘降温风机，位于猪舍纵墙的墙面上并设有水帘；柴油发电机位于发电机房内。另外，生活区配备有空调，空调均为挂壁式空调，不设置中央空调及冷却塔。</w:t>
      </w:r>
    </w:p>
    <w:p>
      <w:pPr>
        <w:ind w:firstLine="480"/>
        <w:rPr>
          <w:rFonts w:hint="eastAsia"/>
          <w:color w:val="auto"/>
        </w:rPr>
      </w:pPr>
      <w:r>
        <w:rPr>
          <w:color w:val="auto"/>
        </w:rPr>
        <w:t xml:space="preserve">噪声主要来自水泵房、发电机房、风机、污水处理系统、沼气火炬等设备运行噪声以及猪叫声和出入场区的车辆噪声等，噪声值在 </w:t>
      </w:r>
      <w:r>
        <w:rPr>
          <w:rFonts w:hint="eastAsia"/>
          <w:color w:val="auto"/>
          <w:lang w:eastAsia="zh-CN"/>
        </w:rPr>
        <w:t>65~90</w:t>
      </w:r>
      <w:r>
        <w:rPr>
          <w:color w:val="auto"/>
        </w:rPr>
        <w:t>dB（A）之间，项目主要噪声源强及治理措施见表3.</w:t>
      </w:r>
      <w:r>
        <w:rPr>
          <w:rFonts w:hint="eastAsia"/>
          <w:color w:val="auto"/>
          <w:lang w:val="en-US" w:eastAsia="zh-CN"/>
        </w:rPr>
        <w:t>6</w:t>
      </w:r>
      <w:r>
        <w:rPr>
          <w:color w:val="auto"/>
        </w:rPr>
        <w:t>-1</w:t>
      </w:r>
      <w:r>
        <w:rPr>
          <w:rFonts w:hint="eastAsia"/>
          <w:color w:val="auto"/>
        </w:rPr>
        <w:t>5</w:t>
      </w:r>
      <w:r>
        <w:rPr>
          <w:color w:val="auto"/>
        </w:rPr>
        <w:t>。</w:t>
      </w:r>
      <w:r>
        <w:rPr>
          <w:rFonts w:hint="eastAsia"/>
          <w:color w:val="auto"/>
        </w:rPr>
        <w:t xml:space="preserve"> </w:t>
      </w:r>
      <w:r>
        <w:rPr>
          <w:color w:val="auto"/>
        </w:rPr>
        <w:t xml:space="preserve"> </w:t>
      </w:r>
    </w:p>
    <w:p>
      <w:pPr>
        <w:pStyle w:val="166"/>
        <w:keepNext w:val="0"/>
        <w:keepLines w:val="0"/>
        <w:pageBreakBefore w:val="0"/>
        <w:widowControl w:val="0"/>
        <w:kinsoku/>
        <w:wordWrap/>
        <w:overflowPunct/>
        <w:topLinePunct w:val="0"/>
        <w:autoSpaceDE/>
        <w:autoSpaceDN/>
        <w:bidi w:val="0"/>
        <w:adjustRightInd/>
        <w:snapToGrid/>
        <w:spacing w:before="0" w:beforeLines="0"/>
        <w:textAlignment w:val="auto"/>
        <w:rPr>
          <w:color w:val="auto"/>
        </w:rPr>
      </w:pPr>
      <w:r>
        <w:rPr>
          <w:color w:val="auto"/>
        </w:rPr>
        <w:t>表3.</w:t>
      </w:r>
      <w:r>
        <w:rPr>
          <w:rFonts w:hint="eastAsia"/>
          <w:color w:val="auto"/>
          <w:lang w:val="en-US" w:eastAsia="zh-CN"/>
        </w:rPr>
        <w:t>6</w:t>
      </w:r>
      <w:r>
        <w:rPr>
          <w:color w:val="auto"/>
        </w:rPr>
        <w:t>-1</w:t>
      </w:r>
      <w:r>
        <w:rPr>
          <w:rFonts w:hint="eastAsia"/>
          <w:color w:val="auto"/>
        </w:rPr>
        <w:t>5</w:t>
      </w:r>
      <w:r>
        <w:rPr>
          <w:rFonts w:hint="eastAsia"/>
          <w:color w:val="auto"/>
          <w:lang w:val="en-US" w:eastAsia="zh-CN"/>
        </w:rPr>
        <w:t xml:space="preserve"> </w:t>
      </w:r>
      <w:r>
        <w:rPr>
          <w:color w:val="auto"/>
        </w:rPr>
        <w:t>主要噪声源源强及治理措施一览表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18"/>
        <w:gridCol w:w="708"/>
        <w:gridCol w:w="1125"/>
        <w:gridCol w:w="949"/>
        <w:gridCol w:w="1469"/>
        <w:gridCol w:w="31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418" w:type="dxa"/>
            <w:noWrap w:val="0"/>
            <w:vAlign w:val="center"/>
          </w:tcPr>
          <w:p>
            <w:pPr>
              <w:pStyle w:val="332"/>
              <w:kinsoku w:val="0"/>
              <w:overflowPunct w:val="0"/>
              <w:jc w:val="center"/>
              <w:rPr>
                <w:color w:val="auto"/>
                <w:sz w:val="20"/>
                <w:szCs w:val="20"/>
              </w:rPr>
            </w:pPr>
            <w:r>
              <w:rPr>
                <w:b/>
                <w:bCs/>
                <w:color w:val="auto"/>
                <w:sz w:val="20"/>
                <w:szCs w:val="20"/>
              </w:rPr>
              <w:t>声源名称</w:t>
            </w:r>
          </w:p>
        </w:tc>
        <w:tc>
          <w:tcPr>
            <w:tcW w:w="708" w:type="dxa"/>
            <w:noWrap w:val="0"/>
            <w:vAlign w:val="center"/>
          </w:tcPr>
          <w:p>
            <w:pPr>
              <w:pStyle w:val="332"/>
              <w:kinsoku w:val="0"/>
              <w:overflowPunct w:val="0"/>
              <w:jc w:val="center"/>
              <w:rPr>
                <w:color w:val="auto"/>
                <w:sz w:val="20"/>
                <w:szCs w:val="20"/>
              </w:rPr>
            </w:pPr>
            <w:r>
              <w:rPr>
                <w:b/>
                <w:bCs/>
                <w:color w:val="auto"/>
                <w:sz w:val="20"/>
                <w:szCs w:val="20"/>
              </w:rPr>
              <w:t>数量</w:t>
            </w:r>
          </w:p>
        </w:tc>
        <w:tc>
          <w:tcPr>
            <w:tcW w:w="1125" w:type="dxa"/>
            <w:noWrap w:val="0"/>
            <w:vAlign w:val="center"/>
          </w:tcPr>
          <w:p>
            <w:pPr>
              <w:pStyle w:val="332"/>
              <w:kinsoku w:val="0"/>
              <w:overflowPunct w:val="0"/>
              <w:jc w:val="center"/>
              <w:rPr>
                <w:color w:val="auto"/>
                <w:sz w:val="20"/>
                <w:szCs w:val="20"/>
              </w:rPr>
            </w:pPr>
            <w:r>
              <w:rPr>
                <w:b/>
                <w:bCs/>
                <w:color w:val="auto"/>
                <w:sz w:val="20"/>
                <w:szCs w:val="20"/>
              </w:rPr>
              <w:t>位置</w:t>
            </w:r>
          </w:p>
        </w:tc>
        <w:tc>
          <w:tcPr>
            <w:tcW w:w="949" w:type="dxa"/>
            <w:noWrap w:val="0"/>
            <w:vAlign w:val="center"/>
          </w:tcPr>
          <w:p>
            <w:pPr>
              <w:pStyle w:val="332"/>
              <w:kinsoku w:val="0"/>
              <w:overflowPunct w:val="0"/>
              <w:jc w:val="center"/>
              <w:rPr>
                <w:color w:val="auto"/>
                <w:sz w:val="20"/>
                <w:szCs w:val="20"/>
              </w:rPr>
            </w:pPr>
            <w:r>
              <w:rPr>
                <w:b/>
                <w:bCs/>
                <w:color w:val="auto"/>
                <w:sz w:val="20"/>
                <w:szCs w:val="20"/>
              </w:rPr>
              <w:t>排放特征</w:t>
            </w:r>
          </w:p>
        </w:tc>
        <w:tc>
          <w:tcPr>
            <w:tcW w:w="1469" w:type="dxa"/>
            <w:noWrap w:val="0"/>
            <w:vAlign w:val="center"/>
          </w:tcPr>
          <w:p>
            <w:pPr>
              <w:pStyle w:val="332"/>
              <w:kinsoku w:val="0"/>
              <w:overflowPunct w:val="0"/>
              <w:jc w:val="center"/>
              <w:rPr>
                <w:color w:val="auto"/>
                <w:sz w:val="20"/>
                <w:szCs w:val="20"/>
              </w:rPr>
            </w:pPr>
            <w:r>
              <w:rPr>
                <w:rFonts w:hint="eastAsia"/>
                <w:b/>
                <w:bCs/>
                <w:color w:val="auto"/>
                <w:sz w:val="20"/>
                <w:szCs w:val="20"/>
              </w:rPr>
              <w:t>单台设备声源值</w:t>
            </w:r>
            <w:r>
              <w:rPr>
                <w:b/>
                <w:bCs/>
                <w:color w:val="auto"/>
                <w:sz w:val="20"/>
                <w:szCs w:val="20"/>
              </w:rPr>
              <w:t>dB(A)</w:t>
            </w:r>
          </w:p>
        </w:tc>
        <w:tc>
          <w:tcPr>
            <w:tcW w:w="3118" w:type="dxa"/>
            <w:noWrap w:val="0"/>
            <w:vAlign w:val="center"/>
          </w:tcPr>
          <w:p>
            <w:pPr>
              <w:pStyle w:val="332"/>
              <w:kinsoku w:val="0"/>
              <w:overflowPunct w:val="0"/>
              <w:jc w:val="center"/>
              <w:rPr>
                <w:color w:val="auto"/>
                <w:sz w:val="20"/>
                <w:szCs w:val="20"/>
              </w:rPr>
            </w:pPr>
            <w:r>
              <w:rPr>
                <w:b/>
                <w:bCs/>
                <w:color w:val="auto"/>
                <w:sz w:val="20"/>
                <w:szCs w:val="20"/>
              </w:rPr>
              <w:t>治理或防护措施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猪叫声</w:t>
            </w:r>
          </w:p>
        </w:tc>
        <w:tc>
          <w:tcPr>
            <w:tcW w:w="708" w:type="dxa"/>
            <w:noWrap w:val="0"/>
            <w:vAlign w:val="center"/>
          </w:tcPr>
          <w:p>
            <w:pPr>
              <w:pStyle w:val="332"/>
              <w:kinsoku w:val="0"/>
              <w:overflowPunct w:val="0"/>
              <w:jc w:val="center"/>
              <w:rPr>
                <w:color w:val="auto"/>
                <w:sz w:val="20"/>
                <w:szCs w:val="20"/>
              </w:rPr>
            </w:pPr>
            <w:r>
              <w:rPr>
                <w:color w:val="auto"/>
                <w:w w:val="99"/>
                <w:sz w:val="20"/>
                <w:szCs w:val="20"/>
              </w:rPr>
              <w:t>/</w:t>
            </w:r>
          </w:p>
        </w:tc>
        <w:tc>
          <w:tcPr>
            <w:tcW w:w="1125" w:type="dxa"/>
            <w:noWrap w:val="0"/>
            <w:vAlign w:val="center"/>
          </w:tcPr>
          <w:p>
            <w:pPr>
              <w:pStyle w:val="332"/>
              <w:kinsoku w:val="0"/>
              <w:overflowPunct w:val="0"/>
              <w:jc w:val="center"/>
              <w:rPr>
                <w:color w:val="auto"/>
                <w:sz w:val="20"/>
                <w:szCs w:val="20"/>
              </w:rPr>
            </w:pPr>
            <w:r>
              <w:rPr>
                <w:color w:val="auto"/>
                <w:sz w:val="20"/>
                <w:szCs w:val="20"/>
              </w:rPr>
              <w:t>猪舍</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rFonts w:hint="eastAsia"/>
                <w:color w:val="auto"/>
                <w:sz w:val="20"/>
                <w:szCs w:val="20"/>
              </w:rPr>
              <w:t>70~</w:t>
            </w:r>
            <w:r>
              <w:rPr>
                <w:color w:val="auto"/>
                <w:sz w:val="20"/>
                <w:szCs w:val="20"/>
              </w:rPr>
              <w:t>80</w:t>
            </w:r>
          </w:p>
        </w:tc>
        <w:tc>
          <w:tcPr>
            <w:tcW w:w="3118" w:type="dxa"/>
            <w:noWrap w:val="0"/>
            <w:vAlign w:val="center"/>
          </w:tcPr>
          <w:p>
            <w:pPr>
              <w:pStyle w:val="332"/>
              <w:kinsoku w:val="0"/>
              <w:overflowPunct w:val="0"/>
              <w:jc w:val="center"/>
              <w:rPr>
                <w:color w:val="auto"/>
                <w:sz w:val="20"/>
                <w:szCs w:val="20"/>
              </w:rPr>
            </w:pPr>
            <w:r>
              <w:rPr>
                <w:color w:val="auto"/>
                <w:spacing w:val="-3"/>
                <w:sz w:val="20"/>
                <w:szCs w:val="20"/>
              </w:rPr>
              <w:t>猪舍隔声、减少扰动、加强管理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风机</w:t>
            </w:r>
          </w:p>
        </w:tc>
        <w:tc>
          <w:tcPr>
            <w:tcW w:w="708" w:type="dxa"/>
            <w:noWrap w:val="0"/>
            <w:vAlign w:val="center"/>
          </w:tcPr>
          <w:p>
            <w:pPr>
              <w:pStyle w:val="332"/>
              <w:kinsoku w:val="0"/>
              <w:overflowPunct w:val="0"/>
              <w:jc w:val="center"/>
              <w:rPr>
                <w:rFonts w:hint="eastAsia" w:eastAsia="宋体"/>
                <w:color w:val="auto"/>
                <w:sz w:val="20"/>
                <w:szCs w:val="20"/>
                <w:lang w:eastAsia="zh-CN"/>
              </w:rPr>
            </w:pPr>
            <w:r>
              <w:rPr>
                <w:rFonts w:hint="eastAsia"/>
                <w:color w:val="auto"/>
                <w:sz w:val="20"/>
                <w:szCs w:val="20"/>
                <w:lang w:val="en-US" w:eastAsia="zh-CN"/>
              </w:rPr>
              <w:t>6</w:t>
            </w:r>
          </w:p>
        </w:tc>
        <w:tc>
          <w:tcPr>
            <w:tcW w:w="1125" w:type="dxa"/>
            <w:noWrap w:val="0"/>
            <w:vAlign w:val="center"/>
          </w:tcPr>
          <w:p>
            <w:pPr>
              <w:pStyle w:val="332"/>
              <w:kinsoku w:val="0"/>
              <w:overflowPunct w:val="0"/>
              <w:jc w:val="center"/>
              <w:rPr>
                <w:color w:val="auto"/>
                <w:sz w:val="20"/>
                <w:szCs w:val="20"/>
              </w:rPr>
            </w:pPr>
            <w:r>
              <w:rPr>
                <w:rFonts w:hint="eastAsia"/>
                <w:color w:val="auto"/>
                <w:sz w:val="20"/>
                <w:szCs w:val="20"/>
              </w:rPr>
              <w:t>猪舍</w:t>
            </w: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65～70</w:t>
            </w:r>
          </w:p>
        </w:tc>
        <w:tc>
          <w:tcPr>
            <w:tcW w:w="3118" w:type="dxa"/>
            <w:noWrap w:val="0"/>
            <w:vAlign w:val="center"/>
          </w:tcPr>
          <w:p>
            <w:pPr>
              <w:pStyle w:val="332"/>
              <w:kinsoku w:val="0"/>
              <w:overflowPunct w:val="0"/>
              <w:jc w:val="center"/>
              <w:rPr>
                <w:color w:val="auto"/>
                <w:sz w:val="20"/>
                <w:szCs w:val="20"/>
              </w:rPr>
            </w:pPr>
            <w:r>
              <w:rPr>
                <w:color w:val="auto"/>
                <w:sz w:val="20"/>
                <w:szCs w:val="20"/>
              </w:rPr>
              <w:t>消声、隔声、基础减振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rFonts w:hint="eastAsia"/>
                <w:color w:val="auto"/>
                <w:sz w:val="20"/>
                <w:szCs w:val="20"/>
              </w:rPr>
            </w:pPr>
            <w:r>
              <w:rPr>
                <w:rFonts w:hint="eastAsia"/>
                <w:color w:val="auto"/>
                <w:sz w:val="20"/>
                <w:szCs w:val="20"/>
              </w:rPr>
              <w:t>火炬</w:t>
            </w:r>
          </w:p>
        </w:tc>
        <w:tc>
          <w:tcPr>
            <w:tcW w:w="708" w:type="dxa"/>
            <w:noWrap w:val="0"/>
            <w:vAlign w:val="center"/>
          </w:tcPr>
          <w:p>
            <w:pPr>
              <w:pStyle w:val="332"/>
              <w:kinsoku w:val="0"/>
              <w:overflowPunct w:val="0"/>
              <w:jc w:val="center"/>
              <w:rPr>
                <w:rFonts w:hint="eastAsia"/>
                <w:color w:val="auto"/>
                <w:sz w:val="20"/>
                <w:szCs w:val="20"/>
              </w:rPr>
            </w:pPr>
            <w:r>
              <w:rPr>
                <w:rFonts w:hint="eastAsia"/>
                <w:color w:val="auto"/>
                <w:sz w:val="20"/>
                <w:szCs w:val="20"/>
              </w:rPr>
              <w:t>1</w:t>
            </w:r>
          </w:p>
        </w:tc>
        <w:tc>
          <w:tcPr>
            <w:tcW w:w="1125" w:type="dxa"/>
            <w:noWrap w:val="0"/>
            <w:vAlign w:val="center"/>
          </w:tcPr>
          <w:p>
            <w:pPr>
              <w:pStyle w:val="332"/>
              <w:kinsoku w:val="0"/>
              <w:overflowPunct w:val="0"/>
              <w:jc w:val="center"/>
              <w:rPr>
                <w:rFonts w:hint="eastAsia"/>
                <w:color w:val="auto"/>
                <w:sz w:val="20"/>
                <w:szCs w:val="20"/>
              </w:rPr>
            </w:pPr>
            <w:r>
              <w:rPr>
                <w:rFonts w:hint="eastAsia"/>
                <w:color w:val="auto"/>
                <w:sz w:val="21"/>
                <w:szCs w:val="21"/>
              </w:rPr>
              <w:t>火炬柜</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1"/>
                <w:szCs w:val="21"/>
              </w:rPr>
              <w:t>65～70</w:t>
            </w:r>
          </w:p>
        </w:tc>
        <w:tc>
          <w:tcPr>
            <w:tcW w:w="3118" w:type="dxa"/>
            <w:noWrap w:val="0"/>
            <w:vAlign w:val="center"/>
          </w:tcPr>
          <w:p>
            <w:pPr>
              <w:pStyle w:val="332"/>
              <w:kinsoku w:val="0"/>
              <w:overflowPunct w:val="0"/>
              <w:jc w:val="center"/>
              <w:rPr>
                <w:color w:val="auto"/>
                <w:sz w:val="20"/>
                <w:szCs w:val="20"/>
              </w:rPr>
            </w:pPr>
            <w:r>
              <w:rPr>
                <w:color w:val="auto"/>
                <w:sz w:val="21"/>
                <w:szCs w:val="21"/>
              </w:rPr>
              <w:t>使用频率低</w:t>
            </w:r>
            <w:r>
              <w:rPr>
                <w:rFonts w:hint="eastAsia"/>
                <w:color w:val="auto"/>
                <w:sz w:val="21"/>
                <w:szCs w:val="21"/>
              </w:rPr>
              <w:t>，消声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水泵</w:t>
            </w:r>
          </w:p>
        </w:tc>
        <w:tc>
          <w:tcPr>
            <w:tcW w:w="708" w:type="dxa"/>
            <w:noWrap w:val="0"/>
            <w:vAlign w:val="center"/>
          </w:tcPr>
          <w:p>
            <w:pPr>
              <w:pStyle w:val="332"/>
              <w:kinsoku w:val="0"/>
              <w:overflowPunct w:val="0"/>
              <w:jc w:val="center"/>
              <w:rPr>
                <w:color w:val="auto"/>
                <w:sz w:val="20"/>
                <w:szCs w:val="20"/>
              </w:rPr>
            </w:pPr>
            <w:r>
              <w:rPr>
                <w:color w:val="auto"/>
                <w:w w:val="99"/>
                <w:sz w:val="20"/>
                <w:szCs w:val="20"/>
              </w:rPr>
              <w:t>2</w:t>
            </w:r>
          </w:p>
        </w:tc>
        <w:tc>
          <w:tcPr>
            <w:tcW w:w="1125" w:type="dxa"/>
            <w:vMerge w:val="restart"/>
            <w:noWrap w:val="0"/>
            <w:vAlign w:val="center"/>
          </w:tcPr>
          <w:p>
            <w:pPr>
              <w:pStyle w:val="332"/>
              <w:kinsoku w:val="0"/>
              <w:overflowPunct w:val="0"/>
              <w:jc w:val="center"/>
              <w:rPr>
                <w:color w:val="auto"/>
                <w:sz w:val="20"/>
                <w:szCs w:val="20"/>
              </w:rPr>
            </w:pPr>
            <w:r>
              <w:rPr>
                <w:rFonts w:hint="eastAsia"/>
                <w:color w:val="auto"/>
                <w:sz w:val="20"/>
                <w:szCs w:val="20"/>
              </w:rPr>
              <w:t>治污区</w:t>
            </w: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80～90</w:t>
            </w:r>
          </w:p>
        </w:tc>
        <w:tc>
          <w:tcPr>
            <w:tcW w:w="3118" w:type="dxa"/>
            <w:noWrap w:val="0"/>
            <w:vAlign w:val="center"/>
          </w:tcPr>
          <w:p>
            <w:pPr>
              <w:pStyle w:val="332"/>
              <w:kinsoku w:val="0"/>
              <w:overflowPunct w:val="0"/>
              <w:jc w:val="center"/>
              <w:rPr>
                <w:color w:val="auto"/>
                <w:sz w:val="20"/>
                <w:szCs w:val="20"/>
              </w:rPr>
            </w:pPr>
            <w:r>
              <w:rPr>
                <w:color w:val="auto"/>
                <w:sz w:val="20"/>
                <w:szCs w:val="20"/>
              </w:rPr>
              <w:t>消声、隔声、基础减振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rFonts w:hint="eastAsia"/>
                <w:color w:val="auto"/>
                <w:sz w:val="20"/>
                <w:szCs w:val="20"/>
              </w:rPr>
              <w:t>固液分离机</w:t>
            </w:r>
          </w:p>
        </w:tc>
        <w:tc>
          <w:tcPr>
            <w:tcW w:w="708" w:type="dxa"/>
            <w:noWrap w:val="0"/>
            <w:vAlign w:val="center"/>
          </w:tcPr>
          <w:p>
            <w:pPr>
              <w:pStyle w:val="332"/>
              <w:kinsoku w:val="0"/>
              <w:overflowPunct w:val="0"/>
              <w:jc w:val="center"/>
              <w:rPr>
                <w:rFonts w:hint="eastAsia" w:eastAsia="宋体"/>
                <w:color w:val="auto"/>
                <w:w w:val="99"/>
                <w:sz w:val="20"/>
                <w:szCs w:val="20"/>
                <w:lang w:eastAsia="zh-CN"/>
              </w:rPr>
            </w:pPr>
            <w:r>
              <w:rPr>
                <w:rFonts w:hint="eastAsia"/>
                <w:color w:val="auto"/>
                <w:w w:val="99"/>
                <w:sz w:val="20"/>
                <w:szCs w:val="20"/>
                <w:lang w:val="en-US" w:eastAsia="zh-CN"/>
              </w:rPr>
              <w:t>2</w:t>
            </w:r>
          </w:p>
        </w:tc>
        <w:tc>
          <w:tcPr>
            <w:tcW w:w="1125" w:type="dxa"/>
            <w:vMerge w:val="continue"/>
            <w:noWrap w:val="0"/>
            <w:vAlign w:val="center"/>
          </w:tcPr>
          <w:p>
            <w:pPr>
              <w:pStyle w:val="332"/>
              <w:kinsoku w:val="0"/>
              <w:overflowPunct w:val="0"/>
              <w:jc w:val="center"/>
              <w:rPr>
                <w:rFonts w:hint="eastAsia"/>
                <w:color w:val="auto"/>
                <w:sz w:val="20"/>
                <w:szCs w:val="20"/>
              </w:rPr>
            </w:pP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8</w:t>
            </w:r>
            <w:r>
              <w:rPr>
                <w:rFonts w:hint="eastAsia"/>
                <w:color w:val="auto"/>
                <w:sz w:val="20"/>
                <w:szCs w:val="20"/>
              </w:rPr>
              <w:t>0</w:t>
            </w:r>
            <w:r>
              <w:rPr>
                <w:color w:val="auto"/>
                <w:sz w:val="20"/>
                <w:szCs w:val="20"/>
              </w:rPr>
              <w:t>~90</w:t>
            </w:r>
          </w:p>
        </w:tc>
        <w:tc>
          <w:tcPr>
            <w:tcW w:w="3118" w:type="dxa"/>
            <w:noWrap w:val="0"/>
            <w:vAlign w:val="center"/>
          </w:tcPr>
          <w:p>
            <w:pPr>
              <w:pStyle w:val="332"/>
              <w:kinsoku w:val="0"/>
              <w:overflowPunct w:val="0"/>
              <w:jc w:val="center"/>
              <w:rPr>
                <w:color w:val="auto"/>
                <w:sz w:val="20"/>
                <w:szCs w:val="20"/>
              </w:rPr>
            </w:pPr>
            <w:r>
              <w:rPr>
                <w:color w:val="auto"/>
                <w:sz w:val="20"/>
                <w:szCs w:val="20"/>
              </w:rPr>
              <w:t>消声、隔声、基础减振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柴油发电机</w:t>
            </w:r>
          </w:p>
        </w:tc>
        <w:tc>
          <w:tcPr>
            <w:tcW w:w="708" w:type="dxa"/>
            <w:noWrap w:val="0"/>
            <w:vAlign w:val="center"/>
          </w:tcPr>
          <w:p>
            <w:pPr>
              <w:pStyle w:val="332"/>
              <w:kinsoku w:val="0"/>
              <w:overflowPunct w:val="0"/>
              <w:jc w:val="center"/>
              <w:rPr>
                <w:color w:val="auto"/>
                <w:sz w:val="20"/>
                <w:szCs w:val="20"/>
              </w:rPr>
            </w:pPr>
            <w:r>
              <w:rPr>
                <w:color w:val="auto"/>
                <w:w w:val="99"/>
                <w:sz w:val="20"/>
                <w:szCs w:val="20"/>
              </w:rPr>
              <w:t>1</w:t>
            </w:r>
          </w:p>
        </w:tc>
        <w:tc>
          <w:tcPr>
            <w:tcW w:w="1125" w:type="dxa"/>
            <w:noWrap w:val="0"/>
            <w:vAlign w:val="center"/>
          </w:tcPr>
          <w:p>
            <w:pPr>
              <w:pStyle w:val="332"/>
              <w:kinsoku w:val="0"/>
              <w:overflowPunct w:val="0"/>
              <w:jc w:val="center"/>
              <w:rPr>
                <w:color w:val="auto"/>
                <w:sz w:val="20"/>
                <w:szCs w:val="20"/>
              </w:rPr>
            </w:pPr>
            <w:r>
              <w:rPr>
                <w:color w:val="auto"/>
                <w:sz w:val="20"/>
                <w:szCs w:val="20"/>
              </w:rPr>
              <w:t>发电机房</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0"/>
                <w:szCs w:val="20"/>
              </w:rPr>
              <w:t>70~75</w:t>
            </w:r>
          </w:p>
        </w:tc>
        <w:tc>
          <w:tcPr>
            <w:tcW w:w="3118" w:type="dxa"/>
            <w:noWrap w:val="0"/>
            <w:vAlign w:val="center"/>
          </w:tcPr>
          <w:p>
            <w:pPr>
              <w:pStyle w:val="332"/>
              <w:kinsoku w:val="0"/>
              <w:overflowPunct w:val="0"/>
              <w:jc w:val="center"/>
              <w:rPr>
                <w:color w:val="auto"/>
                <w:sz w:val="20"/>
                <w:szCs w:val="20"/>
              </w:rPr>
            </w:pPr>
            <w:r>
              <w:rPr>
                <w:color w:val="auto"/>
                <w:sz w:val="20"/>
                <w:szCs w:val="20"/>
              </w:rPr>
              <w:t>基础减振、隔声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运输车辆</w:t>
            </w:r>
          </w:p>
        </w:tc>
        <w:tc>
          <w:tcPr>
            <w:tcW w:w="708" w:type="dxa"/>
            <w:noWrap w:val="0"/>
            <w:vAlign w:val="center"/>
          </w:tcPr>
          <w:p>
            <w:pPr>
              <w:pStyle w:val="332"/>
              <w:kinsoku w:val="0"/>
              <w:overflowPunct w:val="0"/>
              <w:jc w:val="center"/>
              <w:rPr>
                <w:color w:val="auto"/>
                <w:w w:val="99"/>
                <w:sz w:val="20"/>
                <w:szCs w:val="20"/>
              </w:rPr>
            </w:pPr>
            <w:r>
              <w:rPr>
                <w:color w:val="auto"/>
                <w:w w:val="99"/>
                <w:sz w:val="20"/>
                <w:szCs w:val="20"/>
              </w:rPr>
              <w:t>/</w:t>
            </w:r>
          </w:p>
        </w:tc>
        <w:tc>
          <w:tcPr>
            <w:tcW w:w="1125" w:type="dxa"/>
            <w:noWrap w:val="0"/>
            <w:vAlign w:val="center"/>
          </w:tcPr>
          <w:p>
            <w:pPr>
              <w:pStyle w:val="332"/>
              <w:kinsoku w:val="0"/>
              <w:overflowPunct w:val="0"/>
              <w:jc w:val="center"/>
              <w:rPr>
                <w:color w:val="auto"/>
                <w:sz w:val="20"/>
                <w:szCs w:val="20"/>
              </w:rPr>
            </w:pPr>
            <w:r>
              <w:rPr>
                <w:color w:val="auto"/>
                <w:sz w:val="20"/>
                <w:szCs w:val="20"/>
              </w:rPr>
              <w:t>运输路线及厂区内道路</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0"/>
                <w:szCs w:val="20"/>
              </w:rPr>
              <w:t>70~75</w:t>
            </w:r>
          </w:p>
        </w:tc>
        <w:tc>
          <w:tcPr>
            <w:tcW w:w="3118" w:type="dxa"/>
            <w:noWrap w:val="0"/>
            <w:vAlign w:val="center"/>
          </w:tcPr>
          <w:p>
            <w:pPr>
              <w:pStyle w:val="332"/>
              <w:kinsoku w:val="0"/>
              <w:overflowPunct w:val="0"/>
              <w:jc w:val="center"/>
              <w:rPr>
                <w:color w:val="auto"/>
                <w:sz w:val="20"/>
                <w:szCs w:val="20"/>
              </w:rPr>
            </w:pPr>
            <w:r>
              <w:rPr>
                <w:color w:val="auto"/>
                <w:sz w:val="20"/>
                <w:szCs w:val="20"/>
              </w:rPr>
              <w:t>合理安排行驶路线，减少鸣笛</w:t>
            </w:r>
          </w:p>
        </w:tc>
      </w:tr>
    </w:tbl>
    <w:p>
      <w:pPr>
        <w:spacing w:before="120" w:beforeLines="50"/>
        <w:ind w:firstLine="482"/>
        <w:rPr>
          <w:b/>
          <w:color w:val="auto"/>
        </w:rPr>
      </w:pPr>
      <w:r>
        <w:rPr>
          <w:b/>
          <w:color w:val="auto"/>
        </w:rPr>
        <w:t>2、噪声防治措施</w:t>
      </w:r>
    </w:p>
    <w:p>
      <w:pPr>
        <w:ind w:firstLine="480"/>
        <w:rPr>
          <w:color w:val="auto"/>
        </w:rPr>
      </w:pPr>
      <w:r>
        <w:rPr>
          <w:color w:val="auto"/>
        </w:rPr>
        <w:t>项目养殖场内的猪舍为</w:t>
      </w:r>
      <w:r>
        <w:rPr>
          <w:rFonts w:hint="eastAsia"/>
          <w:color w:val="auto"/>
        </w:rPr>
        <w:t>砖混+钢结构</w:t>
      </w:r>
      <w:r>
        <w:rPr>
          <w:color w:val="auto"/>
        </w:rPr>
        <w:t xml:space="preserve">，除门窗和排风口以外，为密闭养殖，墙体可隔音，并且养殖区周围为大面积的山林，易于降噪，本次评价对项目噪声防治提出以下要求和措施： </w:t>
      </w:r>
    </w:p>
    <w:p>
      <w:pPr>
        <w:numPr>
          <w:ilvl w:val="0"/>
          <w:numId w:val="9"/>
        </w:numPr>
        <w:ind w:left="0" w:leftChars="0" w:firstLine="480" w:firstLineChars="200"/>
        <w:rPr>
          <w:color w:val="auto"/>
        </w:rPr>
      </w:pPr>
      <w:r>
        <w:rPr>
          <w:color w:val="auto"/>
        </w:rPr>
        <w:t>应急柴油发电机，采用低噪声设备、对发电机组采取减振措施、发电机房采取隔声、吸声等降噪措施，出风口设置消声器。</w:t>
      </w:r>
    </w:p>
    <w:p>
      <w:pPr>
        <w:numPr>
          <w:ilvl w:val="0"/>
          <w:numId w:val="9"/>
        </w:numPr>
        <w:ind w:left="0" w:leftChars="0" w:firstLine="480" w:firstLineChars="200"/>
        <w:rPr>
          <w:color w:val="auto"/>
        </w:rPr>
      </w:pPr>
      <w:r>
        <w:rPr>
          <w:color w:val="auto"/>
        </w:rPr>
        <w:t>通风设备采用低噪声型，且其吊装设备采用减振吊装、落地式安装设备采用弹簧减振器或橡胶减振垫，进出口设软接头，风机进出口风管处安装消声设备，四周设置隔声墙。</w:t>
      </w:r>
    </w:p>
    <w:p>
      <w:pPr>
        <w:numPr>
          <w:ilvl w:val="0"/>
          <w:numId w:val="9"/>
        </w:numPr>
        <w:ind w:left="0" w:leftChars="0" w:firstLine="480" w:firstLineChars="200"/>
        <w:rPr>
          <w:color w:val="auto"/>
        </w:rPr>
      </w:pPr>
      <w:r>
        <w:rPr>
          <w:color w:val="auto"/>
        </w:rPr>
        <w:t>沼气火炬等尽量采购自带消声器的低噪声设备；由于沼气火炬配套风机设置在室内，其工作需要通风进气、排气，应在通风系统出口设置消声器。</w:t>
      </w:r>
    </w:p>
    <w:p>
      <w:pPr>
        <w:numPr>
          <w:ilvl w:val="0"/>
          <w:numId w:val="9"/>
        </w:numPr>
        <w:ind w:left="0" w:leftChars="0" w:firstLine="480" w:firstLineChars="200"/>
        <w:rPr>
          <w:color w:val="auto"/>
        </w:rPr>
      </w:pPr>
      <w:r>
        <w:rPr>
          <w:color w:val="auto"/>
        </w:rPr>
        <w:t>污水处理设施污泥泵、鼓风机均安装在室内或地下，基座安装减振垫，采用墙体隔声，噪声影响较小。在运营过程中应加强设备的维护和管理，保持设备处于良好运转状态，避免设备运转不正常产生的高噪声。</w:t>
      </w:r>
    </w:p>
    <w:p>
      <w:pPr>
        <w:numPr>
          <w:ilvl w:val="0"/>
          <w:numId w:val="9"/>
        </w:numPr>
        <w:ind w:left="0" w:leftChars="0" w:firstLine="480" w:firstLineChars="200"/>
        <w:rPr>
          <w:color w:val="auto"/>
        </w:rPr>
      </w:pPr>
      <w:r>
        <w:rPr>
          <w:rFonts w:hint="eastAsia"/>
          <w:color w:val="auto"/>
        </w:rPr>
        <w:t>猪叫声属于偶发噪声源，养殖场通过合理安排饲养时间、注意管理。尽可能满足猪只饮食需要，避免因饥饿或口渴发出叫声；同时应减少外界噪声对猪舍的干扰，避免因惊吓而产生不安，使猪只保持安定平和的气氛，以缓解猪只的不安情绪，将猪只运进和运出的时间安排在昼间，尽可能的减少猪叫声对周围居民的影响；</w:t>
      </w:r>
    </w:p>
    <w:p>
      <w:pPr>
        <w:numPr>
          <w:ilvl w:val="0"/>
          <w:numId w:val="9"/>
        </w:numPr>
        <w:ind w:left="0" w:leftChars="0" w:firstLine="480" w:firstLineChars="200"/>
        <w:rPr>
          <w:color w:val="auto"/>
        </w:rPr>
      </w:pPr>
      <w:r>
        <w:rPr>
          <w:color w:val="auto"/>
        </w:rPr>
        <w:t>场内对车辆采取限速、禁鸣的要求，可以有效降低车辆运输带来的噪声；另外，运输车辆沿途必须按规范操作，尽量少鸣笛，以免对周围村民生活造成影响或因鸣笛使猪只受到惊吓而鸣叫，从而产生扰民。</w:t>
      </w:r>
    </w:p>
    <w:p>
      <w:pPr>
        <w:numPr>
          <w:ilvl w:val="0"/>
          <w:numId w:val="9"/>
        </w:numPr>
        <w:ind w:left="0" w:leftChars="0" w:firstLine="480" w:firstLineChars="200"/>
        <w:rPr>
          <w:color w:val="auto"/>
        </w:rPr>
      </w:pPr>
      <w:r>
        <w:rPr>
          <w:color w:val="auto"/>
        </w:rPr>
        <w:t>厂区四周种植乔木及灌木，加强场区内绿化，充分利用建筑物、绿化带阻隔声波传播；在绿化隔声的同时，吸收一定的臭气。</w:t>
      </w:r>
    </w:p>
    <w:p>
      <w:pPr>
        <w:ind w:firstLine="480"/>
        <w:rPr>
          <w:bCs/>
          <w:color w:val="auto"/>
        </w:rPr>
      </w:pPr>
      <w:r>
        <w:rPr>
          <w:color w:val="auto"/>
        </w:rPr>
        <w:t>采取上述措施后</w:t>
      </w:r>
      <w:r>
        <w:rPr>
          <w:bCs/>
          <w:color w:val="auto"/>
        </w:rPr>
        <w:t>可有效降低噪声值10~15dB(A)，再加上厂界距离衰减和隔声屏障，项目运营过程中产生的噪声能够满足《工业企业厂界环境噪声排放标准》（GB12348-2008）中的2类标准。</w:t>
      </w:r>
    </w:p>
    <w:p>
      <w:pPr>
        <w:ind w:firstLine="482"/>
        <w:rPr>
          <w:color w:val="auto"/>
        </w:rPr>
      </w:pPr>
      <w:r>
        <w:rPr>
          <w:b/>
          <w:color w:val="auto"/>
        </w:rPr>
        <w:t>综上所述，本项目运营期产生的噪声主要来自机械设备，通过上述隔声、减振、消声及距离衰减后能够做到厂界达标，对项目周围声环境无明显影响。</w:t>
      </w:r>
    </w:p>
    <w:p>
      <w:pPr>
        <w:pStyle w:val="9"/>
        <w:numPr>
          <w:ilvl w:val="0"/>
          <w:numId w:val="0"/>
        </w:numPr>
        <w:spacing w:before="120" w:beforeLines="50"/>
        <w:ind w:leftChars="0"/>
        <w:rPr>
          <w:color w:val="auto"/>
        </w:rPr>
      </w:pPr>
      <w:bookmarkStart w:id="135" w:name="_Hlk504514055"/>
      <w:r>
        <w:rPr>
          <w:rFonts w:hint="eastAsia"/>
          <w:color w:val="auto"/>
          <w:lang w:val="en-US" w:eastAsia="zh-CN"/>
        </w:rPr>
        <w:t>3.6.3.4</w:t>
      </w:r>
      <w:r>
        <w:rPr>
          <w:color w:val="auto"/>
        </w:rPr>
        <w:t>固体废物产生及处置措施</w:t>
      </w:r>
    </w:p>
    <w:p>
      <w:pPr>
        <w:ind w:firstLine="480"/>
        <w:rPr>
          <w:color w:val="auto"/>
          <w:lang w:val="zh-CN"/>
        </w:rPr>
      </w:pPr>
      <w:r>
        <w:rPr>
          <w:color w:val="auto"/>
          <w:lang w:val="zh-CN"/>
        </w:rPr>
        <w:t>本项目生产运营过程中产生的固体废物主要为猪粪、污水处理设施污泥及沼渣、病死猪、畜禽医疗废物、生活垃圾、废脱硫剂和废包装材料等。</w:t>
      </w:r>
    </w:p>
    <w:p>
      <w:pPr>
        <w:ind w:firstLine="482"/>
        <w:rPr>
          <w:b/>
          <w:color w:val="auto"/>
          <w:lang w:val="zh-CN"/>
        </w:rPr>
      </w:pPr>
      <w:r>
        <w:rPr>
          <w:rFonts w:hint="eastAsia"/>
          <w:b/>
          <w:color w:val="auto"/>
          <w:lang w:val="en-US" w:eastAsia="zh-CN"/>
        </w:rPr>
        <w:t>1</w:t>
      </w:r>
      <w:r>
        <w:rPr>
          <w:b/>
          <w:color w:val="auto"/>
          <w:lang w:val="zh-CN"/>
        </w:rPr>
        <w:t>、生活垃圾</w:t>
      </w:r>
    </w:p>
    <w:p>
      <w:pPr>
        <w:adjustRightInd w:val="0"/>
        <w:snapToGrid w:val="0"/>
        <w:spacing w:line="360" w:lineRule="auto"/>
        <w:ind w:firstLine="480" w:firstLineChars="200"/>
        <w:rPr>
          <w:color w:val="auto"/>
        </w:rPr>
      </w:pPr>
      <w:r>
        <w:rPr>
          <w:rFonts w:hint="default" w:ascii="Times New Roman" w:hAnsi="Times New Roman" w:cs="Times New Roman"/>
          <w:color w:val="auto"/>
        </w:rPr>
        <w:t>项目生活垃圾主要来源于厂区内员工办公生活，本项目劳动定员为</w:t>
      </w:r>
      <w:r>
        <w:rPr>
          <w:rFonts w:hint="eastAsia" w:ascii="Times New Roman" w:hAnsi="Times New Roman" w:cs="Times New Roman"/>
          <w:color w:val="auto"/>
          <w:lang w:val="en-US" w:eastAsia="zh-CN"/>
        </w:rPr>
        <w:t>7</w:t>
      </w:r>
      <w:r>
        <w:rPr>
          <w:rFonts w:hint="default" w:ascii="Times New Roman" w:hAnsi="Times New Roman" w:cs="Times New Roman"/>
          <w:color w:val="auto"/>
        </w:rPr>
        <w:t>人。生活垃圾产生量按每人每天0.5kg/人·d计算，则生活垃圾产生量为</w:t>
      </w:r>
      <w:r>
        <w:rPr>
          <w:rFonts w:hint="eastAsia" w:ascii="Times New Roman" w:hAnsi="Times New Roman" w:cs="Times New Roman"/>
          <w:color w:val="auto"/>
          <w:lang w:val="en-US" w:eastAsia="zh-CN"/>
        </w:rPr>
        <w:t>3.5</w:t>
      </w:r>
      <w:r>
        <w:rPr>
          <w:rFonts w:hint="default" w:ascii="Times New Roman" w:hAnsi="Times New Roman" w:cs="Times New Roman"/>
          <w:color w:val="auto"/>
        </w:rPr>
        <w:t>kg/d（1.2775‬t/a）。生活垃圾袋装收集后暂存于生活垃圾暂存间，由环卫部门统一清运处置。</w:t>
      </w:r>
    </w:p>
    <w:p>
      <w:pPr>
        <w:ind w:firstLine="482"/>
        <w:rPr>
          <w:b/>
          <w:color w:val="auto"/>
          <w:lang w:val="zh-CN"/>
        </w:rPr>
      </w:pPr>
      <w:r>
        <w:rPr>
          <w:rFonts w:hint="eastAsia"/>
          <w:b/>
          <w:color w:val="auto"/>
          <w:lang w:val="en-US" w:eastAsia="zh-CN"/>
        </w:rPr>
        <w:t>2</w:t>
      </w:r>
      <w:r>
        <w:rPr>
          <w:b/>
          <w:color w:val="auto"/>
          <w:lang w:val="zh-CN"/>
        </w:rPr>
        <w:t>、</w:t>
      </w:r>
      <w:r>
        <w:rPr>
          <w:rFonts w:hint="eastAsia"/>
          <w:b/>
          <w:color w:val="auto"/>
          <w:lang w:val="zh-CN"/>
        </w:rPr>
        <w:t>猪粪污泥（沼渣）</w:t>
      </w:r>
    </w:p>
    <w:p>
      <w:pPr>
        <w:ind w:firstLine="482"/>
        <w:rPr>
          <w:rFonts w:hint="default"/>
          <w:b w:val="0"/>
          <w:bCs/>
          <w:color w:val="auto"/>
          <w:lang w:val="zh-CN" w:eastAsia="zh-CN"/>
        </w:rPr>
      </w:pPr>
      <w:r>
        <w:rPr>
          <w:rFonts w:hint="default"/>
          <w:b w:val="0"/>
          <w:bCs/>
          <w:color w:val="auto"/>
          <w:lang w:val="zh-CN" w:eastAsia="zh-CN"/>
        </w:rPr>
        <w:t>产生情况</w:t>
      </w:r>
      <w:r>
        <w:rPr>
          <w:rFonts w:hint="eastAsia"/>
          <w:b w:val="0"/>
          <w:bCs/>
          <w:color w:val="auto"/>
          <w:lang w:val="zh-CN" w:eastAsia="zh-CN"/>
        </w:rPr>
        <w:t>：</w:t>
      </w:r>
      <w:r>
        <w:rPr>
          <w:rFonts w:hint="default"/>
          <w:b w:val="0"/>
          <w:bCs/>
          <w:color w:val="auto"/>
          <w:lang w:val="zh-CN" w:eastAsia="zh-CN"/>
        </w:rPr>
        <w:t>根据水平衡分析章节可知，本项目新鲜猪粪产生量为14t/d, 经干湿分离后干粪产生量为6.8355t/d. 经干湿分离后干沼渣产生量为</w:t>
      </w:r>
      <w:r>
        <w:rPr>
          <w:rFonts w:hint="eastAsia"/>
          <w:b w:val="0"/>
          <w:bCs/>
          <w:color w:val="auto"/>
          <w:lang w:val="zh-CN" w:eastAsia="zh-CN"/>
        </w:rPr>
        <w:t>0.906</w:t>
      </w:r>
      <w:r>
        <w:rPr>
          <w:rFonts w:hint="default"/>
          <w:b w:val="0"/>
          <w:bCs/>
          <w:color w:val="auto"/>
          <w:lang w:val="zh-CN" w:eastAsia="zh-CN"/>
        </w:rPr>
        <w:t>t/d. 因此，经固液分离设备产生的干粪为7.7415t/d, 2786.94t/a。</w:t>
      </w:r>
    </w:p>
    <w:p>
      <w:pPr>
        <w:ind w:firstLine="482"/>
        <w:rPr>
          <w:rFonts w:hint="default"/>
          <w:b w:val="0"/>
          <w:bCs/>
          <w:color w:val="auto"/>
          <w:lang w:val="zh-CN" w:eastAsia="zh-CN"/>
        </w:rPr>
      </w:pPr>
      <w:r>
        <w:rPr>
          <w:rFonts w:hint="default"/>
          <w:b w:val="0"/>
          <w:bCs/>
          <w:color w:val="auto"/>
          <w:lang w:val="zh-CN" w:eastAsia="zh-CN"/>
        </w:rPr>
        <w:t>治理措施</w:t>
      </w:r>
      <w:r>
        <w:rPr>
          <w:rFonts w:hint="eastAsia"/>
          <w:b w:val="0"/>
          <w:bCs/>
          <w:color w:val="auto"/>
          <w:lang w:val="zh-CN" w:eastAsia="zh-CN"/>
        </w:rPr>
        <w:t>：</w:t>
      </w:r>
      <w:r>
        <w:rPr>
          <w:rFonts w:hint="default"/>
          <w:b w:val="0"/>
          <w:bCs/>
          <w:color w:val="auto"/>
          <w:lang w:val="zh-CN" w:eastAsia="zh-CN"/>
        </w:rPr>
        <w:t>本项目猪粪、尿液依靠重力进入收集池，经固液分离后的干粪，日产日清，打包袋装收集后在</w:t>
      </w:r>
      <w:r>
        <w:rPr>
          <w:rFonts w:hint="eastAsia"/>
          <w:b w:val="0"/>
          <w:bCs/>
          <w:color w:val="auto"/>
          <w:lang w:val="zh-CN" w:eastAsia="zh-CN"/>
        </w:rPr>
        <w:t>干粪堆场</w:t>
      </w:r>
      <w:r>
        <w:rPr>
          <w:rFonts w:hint="default"/>
          <w:b w:val="0"/>
          <w:bCs/>
          <w:color w:val="auto"/>
          <w:lang w:val="zh-CN" w:eastAsia="zh-CN"/>
        </w:rPr>
        <w:t>内短时间暂存。项目设置</w:t>
      </w:r>
      <w:r>
        <w:rPr>
          <w:rFonts w:hint="eastAsia"/>
          <w:b w:val="0"/>
          <w:bCs/>
          <w:color w:val="auto"/>
          <w:lang w:val="zh-CN" w:eastAsia="zh-CN"/>
        </w:rPr>
        <w:t>1</w:t>
      </w:r>
      <w:r>
        <w:rPr>
          <w:rFonts w:hint="default"/>
          <w:b w:val="0"/>
          <w:bCs/>
          <w:color w:val="auto"/>
          <w:lang w:val="zh-CN" w:eastAsia="zh-CN"/>
        </w:rPr>
        <w:t>个封闭式</w:t>
      </w:r>
      <w:r>
        <w:rPr>
          <w:rFonts w:hint="eastAsia"/>
          <w:b w:val="0"/>
          <w:bCs/>
          <w:color w:val="auto"/>
          <w:lang w:val="zh-CN" w:eastAsia="zh-CN"/>
        </w:rPr>
        <w:t>干粪堆场</w:t>
      </w:r>
      <w:r>
        <w:rPr>
          <w:rFonts w:hint="default"/>
          <w:b w:val="0"/>
          <w:bCs/>
          <w:color w:val="auto"/>
          <w:lang w:val="zh-CN" w:eastAsia="zh-CN"/>
        </w:rPr>
        <w:t>，面积为</w:t>
      </w:r>
      <w:r>
        <w:rPr>
          <w:rFonts w:hint="eastAsia"/>
          <w:b w:val="0"/>
          <w:bCs/>
          <w:color w:val="auto"/>
          <w:lang w:val="zh-CN" w:eastAsia="zh-CN"/>
        </w:rPr>
        <w:t>400</w:t>
      </w:r>
      <w:r>
        <w:rPr>
          <w:rFonts w:hint="default"/>
          <w:b w:val="0"/>
          <w:bCs/>
          <w:color w:val="auto"/>
          <w:lang w:val="zh-CN" w:eastAsia="zh-CN"/>
        </w:rPr>
        <w:t>m2,干粪在场内短时间暂存，干粪做到日产日清，及时运送至有机肥生产厂家作为有机肥原料。</w:t>
      </w:r>
    </w:p>
    <w:p>
      <w:pPr>
        <w:ind w:firstLine="482"/>
        <w:rPr>
          <w:b/>
          <w:color w:val="auto"/>
          <w:lang w:val="zh-CN"/>
        </w:rPr>
      </w:pPr>
      <w:r>
        <w:rPr>
          <w:rFonts w:hint="eastAsia"/>
          <w:b/>
          <w:color w:val="auto"/>
          <w:lang w:val="en-US" w:eastAsia="zh-CN"/>
        </w:rPr>
        <w:t>3</w:t>
      </w:r>
      <w:r>
        <w:rPr>
          <w:b/>
          <w:color w:val="auto"/>
          <w:lang w:val="zh-CN"/>
        </w:rPr>
        <w:t>、病死猪</w:t>
      </w:r>
    </w:p>
    <w:p>
      <w:pPr>
        <w:ind w:left="0" w:leftChars="0" w:firstLine="480" w:firstLineChars="200"/>
        <w:rPr>
          <w:rFonts w:hint="default" w:ascii="Times New Roman" w:hAnsi="Times New Roman" w:cs="Times New Roman"/>
          <w:color w:val="auto"/>
        </w:rPr>
      </w:pPr>
      <w:r>
        <w:rPr>
          <w:color w:val="auto"/>
          <w:lang w:val="zh-CN"/>
        </w:rPr>
        <w:t>产生情况</w:t>
      </w:r>
      <w:r>
        <w:rPr>
          <w:rFonts w:hint="eastAsia"/>
          <w:color w:val="auto"/>
          <w:lang w:val="zh-CN"/>
        </w:rPr>
        <w:t xml:space="preserve"> ：</w:t>
      </w:r>
      <w:r>
        <w:rPr>
          <w:rFonts w:hint="default" w:ascii="Times New Roman" w:hAnsi="Times New Roman" w:cs="Times New Roman"/>
          <w:color w:val="auto"/>
        </w:rPr>
        <w:t>本项目育肥猪场根据同类企业类比调查和有关资料统计，猪只的死亡率一般占出栏量的1%左右，本项目年出栏</w:t>
      </w:r>
      <w:r>
        <w:rPr>
          <w:rFonts w:hint="eastAsia" w:ascii="Times New Roman" w:hAnsi="Times New Roman" w:cs="Times New Roman"/>
          <w:color w:val="auto"/>
          <w:lang w:val="en-US" w:eastAsia="zh-CN"/>
        </w:rPr>
        <w:t>14000</w:t>
      </w:r>
      <w:r>
        <w:rPr>
          <w:rFonts w:hint="default" w:ascii="Times New Roman" w:hAnsi="Times New Roman" w:cs="Times New Roman"/>
          <w:color w:val="auto"/>
        </w:rPr>
        <w:t>头，猪只死亡数为1</w:t>
      </w:r>
      <w:r>
        <w:rPr>
          <w:rFonts w:hint="eastAsia" w:ascii="Times New Roman" w:hAnsi="Times New Roman" w:cs="Times New Roman"/>
          <w:color w:val="auto"/>
          <w:lang w:val="en-US" w:eastAsia="zh-CN"/>
        </w:rPr>
        <w:t>4</w:t>
      </w:r>
      <w:r>
        <w:rPr>
          <w:rFonts w:hint="default" w:ascii="Times New Roman" w:hAnsi="Times New Roman" w:cs="Times New Roman"/>
          <w:color w:val="auto"/>
        </w:rPr>
        <w:t>0头/a，平均重量以50kg/头计，则病死猪重量约</w:t>
      </w:r>
      <w:r>
        <w:rPr>
          <w:rFonts w:hint="eastAsia" w:ascii="Times New Roman" w:hAnsi="Times New Roman" w:cs="Times New Roman"/>
          <w:color w:val="auto"/>
          <w:lang w:val="en-US" w:eastAsia="zh-CN"/>
        </w:rPr>
        <w:t>7</w:t>
      </w:r>
      <w:r>
        <w:rPr>
          <w:rFonts w:hint="default" w:ascii="Times New Roman" w:hAnsi="Times New Roman" w:cs="Times New Roman"/>
          <w:color w:val="auto"/>
        </w:rPr>
        <w:t>t/a。</w:t>
      </w:r>
    </w:p>
    <w:p>
      <w:pPr>
        <w:ind w:left="0" w:leftChars="0" w:firstLine="480" w:firstLineChars="200"/>
        <w:rPr>
          <w:rFonts w:ascii="Times New Roman" w:hAnsi="Times New Roman"/>
          <w:color w:val="auto"/>
          <w:lang w:val="zh-CN"/>
        </w:rPr>
      </w:pPr>
      <w:r>
        <w:rPr>
          <w:color w:val="auto"/>
          <w:lang w:val="zh-CN"/>
        </w:rPr>
        <w:t>处置措施</w:t>
      </w:r>
      <w:r>
        <w:rPr>
          <w:rFonts w:hint="eastAsia"/>
          <w:color w:val="auto"/>
          <w:lang w:val="zh-CN"/>
        </w:rPr>
        <w:t>：</w:t>
      </w:r>
      <w:r>
        <w:rPr>
          <w:rFonts w:hint="default" w:ascii="Times New Roman" w:hAnsi="Times New Roman" w:cs="Times New Roman"/>
          <w:color w:val="auto"/>
        </w:rPr>
        <w:t>本项目</w:t>
      </w:r>
      <w:r>
        <w:rPr>
          <w:rFonts w:hint="eastAsia" w:ascii="Times New Roman" w:hAnsi="Times New Roman" w:cs="Times New Roman"/>
          <w:color w:val="auto"/>
          <w:lang w:eastAsia="zh-CN"/>
        </w:rPr>
        <w:t>病死猪委托三台县盛德祥生物科技有限公司进行</w:t>
      </w:r>
      <w:r>
        <w:rPr>
          <w:rFonts w:hint="default" w:ascii="Times New Roman" w:hAnsi="Times New Roman" w:cs="Times New Roman"/>
          <w:color w:val="auto"/>
        </w:rPr>
        <w:t>无害化</w:t>
      </w:r>
      <w:r>
        <w:rPr>
          <w:rFonts w:hint="eastAsia" w:ascii="Times New Roman" w:hAnsi="Times New Roman" w:cs="Times New Roman"/>
          <w:color w:val="auto"/>
          <w:lang w:eastAsia="zh-CN"/>
        </w:rPr>
        <w:t>处理</w:t>
      </w:r>
      <w:r>
        <w:rPr>
          <w:rFonts w:hint="default" w:ascii="Times New Roman" w:hAnsi="Times New Roman" w:cs="Times New Roman"/>
          <w:color w:val="auto"/>
        </w:rPr>
        <w:t>。</w:t>
      </w:r>
    </w:p>
    <w:p>
      <w:pPr>
        <w:ind w:left="0" w:leftChars="0" w:firstLine="480" w:firstLineChars="200"/>
        <w:rPr>
          <w:rFonts w:ascii="Times New Roman" w:hAnsi="Times New Roman" w:eastAsia="宋体" w:cs="Times New Roman"/>
          <w:color w:val="auto"/>
          <w:lang w:val="zh-CN"/>
        </w:rPr>
      </w:pPr>
      <w:r>
        <w:rPr>
          <w:rFonts w:ascii="Times New Roman" w:hAnsi="Times New Roman" w:eastAsia="宋体" w:cs="Times New Roman"/>
          <w:color w:val="auto"/>
          <w:lang w:val="zh-CN"/>
        </w:rPr>
        <w:t>采取上述措施后，项目运营期产生的病死猪可实现无害化处置，不会对周围环境造成明显不利影响。</w:t>
      </w:r>
    </w:p>
    <w:p>
      <w:pPr>
        <w:ind w:firstLine="482"/>
        <w:rPr>
          <w:rFonts w:hint="eastAsia"/>
          <w:b/>
          <w:bCs/>
          <w:color w:val="auto"/>
        </w:rPr>
      </w:pPr>
      <w:r>
        <w:rPr>
          <w:rFonts w:hint="eastAsia"/>
          <w:b/>
          <w:bCs/>
          <w:color w:val="auto"/>
          <w:lang w:val="en-US" w:eastAsia="zh-CN"/>
        </w:rPr>
        <w:t>4</w:t>
      </w:r>
      <w:r>
        <w:rPr>
          <w:rFonts w:hint="eastAsia"/>
          <w:b/>
          <w:bCs/>
          <w:color w:val="auto"/>
        </w:rPr>
        <w:t>、餐厨垃圾（含隔油池油脂）</w:t>
      </w:r>
    </w:p>
    <w:p>
      <w:pPr>
        <w:ind w:firstLine="480"/>
        <w:rPr>
          <w:rFonts w:hint="eastAsia"/>
          <w:color w:val="auto"/>
        </w:rPr>
      </w:pPr>
      <w:r>
        <w:rPr>
          <w:rFonts w:hint="eastAsia"/>
          <w:color w:val="auto"/>
        </w:rPr>
        <w:t xml:space="preserve"> 产生情况</w:t>
      </w:r>
      <w:r>
        <w:rPr>
          <w:rFonts w:hint="eastAsia"/>
          <w:color w:val="auto"/>
          <w:lang w:eastAsia="zh-CN"/>
        </w:rPr>
        <w:t>：</w:t>
      </w:r>
      <w:r>
        <w:rPr>
          <w:rFonts w:hint="eastAsia"/>
          <w:color w:val="auto"/>
        </w:rPr>
        <w:t>主要包括营运期食堂产生的餐厨废物和隔油池清掏的废油脂，其产生量按0.1kg/人</w:t>
      </w:r>
      <w:r>
        <w:rPr>
          <w:color w:val="auto"/>
        </w:rPr>
        <w:t>·</w:t>
      </w:r>
      <w:r>
        <w:rPr>
          <w:rFonts w:hint="eastAsia"/>
          <w:color w:val="auto"/>
        </w:rPr>
        <w:t>d计，则本项目餐厨垃圾产生量为0.2555t/a。</w:t>
      </w:r>
    </w:p>
    <w:p>
      <w:pPr>
        <w:ind w:firstLine="480"/>
        <w:rPr>
          <w:rFonts w:hint="eastAsia"/>
          <w:color w:val="auto"/>
        </w:rPr>
      </w:pPr>
      <w:r>
        <w:rPr>
          <w:rFonts w:hint="eastAsia"/>
          <w:color w:val="auto"/>
        </w:rPr>
        <w:t xml:space="preserve"> 治理措施</w:t>
      </w:r>
      <w:r>
        <w:rPr>
          <w:rFonts w:hint="eastAsia"/>
          <w:color w:val="auto"/>
          <w:lang w:eastAsia="zh-CN"/>
        </w:rPr>
        <w:t>：</w:t>
      </w:r>
      <w:r>
        <w:rPr>
          <w:rFonts w:hint="eastAsia"/>
          <w:color w:val="auto"/>
        </w:rPr>
        <w:t>餐厨垃圾经分类收集后交由餐厨垃圾收运单位收运、处理。同时，建设单位还应严格落实以下要求：</w:t>
      </w:r>
    </w:p>
    <w:p>
      <w:pPr>
        <w:ind w:firstLine="480"/>
        <w:rPr>
          <w:rFonts w:hint="eastAsia"/>
          <w:color w:val="auto"/>
        </w:rPr>
      </w:pPr>
      <w:r>
        <w:rPr>
          <w:rFonts w:hint="eastAsia"/>
          <w:color w:val="auto"/>
        </w:rPr>
        <w:t>a.使用符合标准、有醒目标识的餐厨垃圾专用收集容器；隔油池产生的废油脂需</w:t>
      </w:r>
    </w:p>
    <w:p>
      <w:pPr>
        <w:ind w:left="0" w:leftChars="0" w:firstLine="0" w:firstLineChars="0"/>
        <w:rPr>
          <w:rFonts w:hint="eastAsia"/>
          <w:color w:val="auto"/>
        </w:rPr>
      </w:pPr>
      <w:r>
        <w:rPr>
          <w:rFonts w:hint="eastAsia"/>
          <w:color w:val="auto"/>
        </w:rPr>
        <w:t>收集后与餐厨垃圾一起储存，最终交由经城管部门许可的单位处理。</w:t>
      </w:r>
    </w:p>
    <w:p>
      <w:pPr>
        <w:ind w:firstLine="480"/>
        <w:rPr>
          <w:rFonts w:hint="eastAsia"/>
          <w:color w:val="auto"/>
        </w:rPr>
      </w:pPr>
      <w:r>
        <w:rPr>
          <w:rFonts w:hint="eastAsia"/>
          <w:color w:val="auto"/>
        </w:rPr>
        <w:t>b.保持餐厨垃圾收集、存放设施设备功能完好、正常使用、干净整洁。</w:t>
      </w:r>
    </w:p>
    <w:p>
      <w:pPr>
        <w:ind w:firstLine="480"/>
        <w:rPr>
          <w:rFonts w:hint="eastAsia"/>
          <w:color w:val="auto"/>
        </w:rPr>
      </w:pPr>
      <w:r>
        <w:rPr>
          <w:rFonts w:hint="eastAsia"/>
          <w:color w:val="auto"/>
        </w:rPr>
        <w:t>c.按规定分类收集、密闭存放餐厨垃圾。</w:t>
      </w:r>
    </w:p>
    <w:p>
      <w:pPr>
        <w:ind w:firstLine="480"/>
        <w:rPr>
          <w:rFonts w:hint="eastAsia"/>
          <w:color w:val="auto"/>
        </w:rPr>
      </w:pPr>
      <w:r>
        <w:rPr>
          <w:rFonts w:hint="eastAsia"/>
          <w:color w:val="auto"/>
        </w:rPr>
        <w:t>d.与取得经营许可的餐厨垃圾收运单位签订书面收运协议，并在餐厨垃圾产生后</w:t>
      </w:r>
    </w:p>
    <w:p>
      <w:pPr>
        <w:ind w:left="0" w:leftChars="0" w:firstLine="0" w:firstLineChars="0"/>
        <w:rPr>
          <w:rFonts w:hint="eastAsia"/>
          <w:color w:val="auto"/>
        </w:rPr>
      </w:pPr>
      <w:r>
        <w:rPr>
          <w:rFonts w:hint="eastAsia"/>
          <w:color w:val="auto"/>
        </w:rPr>
        <w:t>24 小时内交其收运，并落实联单制度。</w:t>
      </w:r>
    </w:p>
    <w:p>
      <w:pPr>
        <w:ind w:firstLine="482"/>
        <w:rPr>
          <w:b/>
          <w:color w:val="auto"/>
          <w:lang w:val="zh-CN"/>
        </w:rPr>
      </w:pPr>
      <w:r>
        <w:rPr>
          <w:rFonts w:hint="eastAsia"/>
          <w:b/>
          <w:color w:val="auto"/>
          <w:lang w:val="en-US" w:eastAsia="zh-CN"/>
        </w:rPr>
        <w:t>5</w:t>
      </w:r>
      <w:r>
        <w:rPr>
          <w:b/>
          <w:color w:val="auto"/>
          <w:lang w:val="zh-CN"/>
        </w:rPr>
        <w:t>、废脱硫剂</w:t>
      </w:r>
    </w:p>
    <w:p>
      <w:pPr>
        <w:ind w:firstLine="480"/>
        <w:rPr>
          <w:color w:val="auto"/>
          <w:lang w:val="zh-CN"/>
        </w:rPr>
      </w:pPr>
      <w:r>
        <w:rPr>
          <w:color w:val="auto"/>
          <w:lang w:val="zh-CN"/>
        </w:rPr>
        <w:t>本项目沼气在使用前需经脱硫，脱硫剂的项目使用硫化铁脱硫剂净化沼气，一般情况下，脱硫剂可以再生3次，每次再生后脱硫剂可以用3~4个月，为了保证脱硫效果，本评价建议建设单位应半年购买新的脱硫剂对脱硫塔内脱硫剂进行彻底更换，更换下来的废脱硫剂约为</w:t>
      </w:r>
      <w:r>
        <w:rPr>
          <w:rFonts w:hint="eastAsia"/>
          <w:color w:val="auto"/>
          <w:lang w:val="en-US" w:eastAsia="zh-CN"/>
        </w:rPr>
        <w:t>1</w:t>
      </w:r>
      <w:r>
        <w:rPr>
          <w:color w:val="auto"/>
          <w:lang w:val="zh-CN"/>
        </w:rPr>
        <w:t>.5t/a，主要成分为S、Fe</w:t>
      </w:r>
      <w:r>
        <w:rPr>
          <w:color w:val="auto"/>
          <w:vertAlign w:val="subscript"/>
          <w:lang w:val="zh-CN"/>
        </w:rPr>
        <w:t>2</w:t>
      </w:r>
      <w:r>
        <w:rPr>
          <w:color w:val="auto"/>
          <w:lang w:val="zh-CN"/>
        </w:rPr>
        <w:t>S</w:t>
      </w:r>
      <w:r>
        <w:rPr>
          <w:color w:val="auto"/>
          <w:vertAlign w:val="subscript"/>
          <w:lang w:val="zh-CN"/>
        </w:rPr>
        <w:t>3</w:t>
      </w:r>
      <w:r>
        <w:rPr>
          <w:color w:val="auto"/>
          <w:lang w:val="zh-CN"/>
        </w:rPr>
        <w:t>、Fe</w:t>
      </w:r>
      <w:r>
        <w:rPr>
          <w:color w:val="auto"/>
          <w:vertAlign w:val="subscript"/>
          <w:lang w:val="zh-CN"/>
        </w:rPr>
        <w:t>2</w:t>
      </w:r>
      <w:r>
        <w:rPr>
          <w:color w:val="auto"/>
          <w:lang w:val="zh-CN"/>
        </w:rPr>
        <w:t>O</w:t>
      </w:r>
      <w:r>
        <w:rPr>
          <w:color w:val="auto"/>
          <w:vertAlign w:val="subscript"/>
          <w:lang w:val="zh-CN"/>
        </w:rPr>
        <w:t>3</w:t>
      </w:r>
      <w:r>
        <w:rPr>
          <w:color w:val="auto"/>
          <w:lang w:val="zh-CN"/>
        </w:rPr>
        <w:t>等。经查《国家危险废物名录》，废脱硫剂不在该名录中，因此不属于危险废物，由原厂家回收再生利用。</w:t>
      </w:r>
    </w:p>
    <w:p>
      <w:pPr>
        <w:ind w:firstLine="482"/>
        <w:rPr>
          <w:b/>
          <w:color w:val="auto"/>
          <w:lang w:val="zh-CN"/>
        </w:rPr>
      </w:pPr>
      <w:r>
        <w:rPr>
          <w:rFonts w:hint="eastAsia"/>
          <w:b/>
          <w:color w:val="auto"/>
          <w:lang w:val="en-US" w:eastAsia="zh-CN"/>
        </w:rPr>
        <w:t>6</w:t>
      </w:r>
      <w:r>
        <w:rPr>
          <w:b/>
          <w:color w:val="auto"/>
          <w:lang w:val="zh-CN"/>
        </w:rPr>
        <w:t>、废包装材料</w:t>
      </w:r>
    </w:p>
    <w:p>
      <w:pPr>
        <w:ind w:firstLine="480"/>
        <w:rPr>
          <w:color w:val="auto"/>
          <w:lang w:val="zh-CN"/>
        </w:rPr>
      </w:pPr>
      <w:r>
        <w:rPr>
          <w:color w:val="auto"/>
          <w:lang w:val="zh-CN"/>
        </w:rPr>
        <w:t>根据建设单位提供的资料及外购成品饲料、辅料等的包装情况，本项目废包装材料的产生量为</w:t>
      </w:r>
      <w:r>
        <w:rPr>
          <w:rFonts w:hint="eastAsia"/>
          <w:color w:val="auto"/>
          <w:lang w:val="en-US" w:eastAsia="zh-CN"/>
        </w:rPr>
        <w:t>1</w:t>
      </w:r>
      <w:r>
        <w:rPr>
          <w:color w:val="auto"/>
          <w:lang w:val="zh-CN"/>
        </w:rPr>
        <w:t>.0t/a，</w:t>
      </w:r>
      <w:r>
        <w:rPr>
          <w:color w:val="auto"/>
        </w:rPr>
        <w:t>属于一般固体废物，统一收集后送至废品回收站收购。</w:t>
      </w:r>
    </w:p>
    <w:p>
      <w:pPr>
        <w:ind w:firstLine="482"/>
        <w:rPr>
          <w:color w:val="auto"/>
          <w:lang w:val="zh-CN"/>
        </w:rPr>
      </w:pPr>
      <w:r>
        <w:rPr>
          <w:rFonts w:hint="eastAsia"/>
          <w:b/>
          <w:color w:val="auto"/>
          <w:lang w:val="en-US" w:eastAsia="zh-CN"/>
        </w:rPr>
        <w:t>7</w:t>
      </w:r>
      <w:r>
        <w:rPr>
          <w:b/>
          <w:color w:val="auto"/>
          <w:lang w:val="zh-CN"/>
        </w:rPr>
        <w:t>、畜禽医疗废物</w:t>
      </w:r>
    </w:p>
    <w:p>
      <w:pPr>
        <w:ind w:firstLine="480"/>
        <w:rPr>
          <w:color w:val="auto"/>
          <w:lang w:val="zh-CN"/>
        </w:rPr>
      </w:pPr>
      <w:r>
        <w:rPr>
          <w:color w:val="auto"/>
          <w:lang w:val="zh-CN"/>
        </w:rPr>
        <w:t>产生情况</w:t>
      </w:r>
      <w:r>
        <w:rPr>
          <w:rFonts w:hint="eastAsia"/>
          <w:color w:val="auto"/>
          <w:lang w:val="zh-CN"/>
        </w:rPr>
        <w:t>：</w:t>
      </w:r>
      <w:r>
        <w:rPr>
          <w:color w:val="auto"/>
          <w:lang w:val="zh-CN"/>
        </w:rPr>
        <w:t>猪只在养殖过程中进行防疫、消毒时会产生废疫苗瓶、废消毒剂瓶、药品的包装及注射用针头等医疗废物，预计本项目医疗废物产生量约为0.</w:t>
      </w:r>
      <w:r>
        <w:rPr>
          <w:rFonts w:hint="eastAsia"/>
          <w:color w:val="auto"/>
          <w:lang w:val="en-US" w:eastAsia="zh-CN"/>
        </w:rPr>
        <w:t>2</w:t>
      </w:r>
      <w:r>
        <w:rPr>
          <w:color w:val="auto"/>
          <w:lang w:val="zh-CN"/>
        </w:rPr>
        <w:t>t/a，对照《国家危险废物名录》（20</w:t>
      </w:r>
      <w:r>
        <w:rPr>
          <w:rFonts w:hint="eastAsia"/>
          <w:color w:val="auto"/>
          <w:lang w:val="en-US" w:eastAsia="zh-CN"/>
        </w:rPr>
        <w:t>21</w:t>
      </w:r>
      <w:r>
        <w:rPr>
          <w:color w:val="auto"/>
          <w:lang w:val="zh-CN"/>
        </w:rPr>
        <w:t>年版），该部分医疗废物属于危险废物，类别为“HW01 医疗废物”。</w:t>
      </w:r>
    </w:p>
    <w:p>
      <w:pPr>
        <w:ind w:firstLine="480"/>
        <w:rPr>
          <w:color w:val="auto"/>
        </w:rPr>
      </w:pPr>
      <w:r>
        <w:rPr>
          <w:color w:val="auto"/>
          <w:lang w:val="zh-CN"/>
        </w:rPr>
        <w:t>处置措施</w:t>
      </w:r>
      <w:r>
        <w:rPr>
          <w:rFonts w:hint="eastAsia"/>
          <w:color w:val="auto"/>
          <w:lang w:val="zh-CN"/>
        </w:rPr>
        <w:t>：</w:t>
      </w:r>
      <w:r>
        <w:rPr>
          <w:color w:val="auto"/>
          <w:lang w:val="zh-CN"/>
        </w:rPr>
        <w:t>危险废物应单独收集处理，不与生活垃圾进行混装，</w:t>
      </w:r>
      <w:r>
        <w:rPr>
          <w:color w:val="auto"/>
        </w:rPr>
        <w:t>经收集后暂存于危险废物暂存间，最终交由具有相应资质类别的危险废物处置单位处置。</w:t>
      </w:r>
    </w:p>
    <w:p>
      <w:pPr>
        <w:pStyle w:val="166"/>
        <w:spacing w:before="120" w:beforeLines="0"/>
        <w:rPr>
          <w:color w:val="auto"/>
        </w:rPr>
      </w:pPr>
      <w:r>
        <w:rPr>
          <w:rFonts w:hint="eastAsia"/>
          <w:color w:val="auto"/>
          <w:lang w:val="en-US" w:eastAsia="zh-CN"/>
        </w:rPr>
        <w:t>表</w:t>
      </w:r>
      <w:r>
        <w:rPr>
          <w:color w:val="auto"/>
        </w:rPr>
        <w:t>3.</w:t>
      </w:r>
      <w:r>
        <w:rPr>
          <w:rFonts w:hint="eastAsia"/>
          <w:color w:val="auto"/>
          <w:lang w:val="en-US" w:eastAsia="zh-CN"/>
        </w:rPr>
        <w:t>6</w:t>
      </w:r>
      <w:r>
        <w:rPr>
          <w:color w:val="auto"/>
        </w:rPr>
        <w:t>-</w:t>
      </w:r>
      <w:r>
        <w:rPr>
          <w:rFonts w:hint="eastAsia"/>
          <w:color w:val="auto"/>
          <w:lang w:val="en-US" w:eastAsia="zh-CN"/>
        </w:rPr>
        <w:t xml:space="preserve">16 </w:t>
      </w:r>
      <w:r>
        <w:rPr>
          <w:color w:val="auto"/>
        </w:rPr>
        <w:t>工程分析中危险废物汇总样表</w:t>
      </w:r>
    </w:p>
    <w:tbl>
      <w:tblPr>
        <w:tblStyle w:val="52"/>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12"/>
        <w:gridCol w:w="747"/>
        <w:gridCol w:w="764"/>
        <w:gridCol w:w="723"/>
        <w:gridCol w:w="804"/>
        <w:gridCol w:w="477"/>
        <w:gridCol w:w="464"/>
        <w:gridCol w:w="450"/>
        <w:gridCol w:w="395"/>
        <w:gridCol w:w="600"/>
        <w:gridCol w:w="243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95" w:hRule="atLeast"/>
          <w:jc w:val="center"/>
        </w:trPr>
        <w:tc>
          <w:tcPr>
            <w:tcW w:w="236"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序号</w:t>
            </w:r>
          </w:p>
        </w:tc>
        <w:tc>
          <w:tcPr>
            <w:tcW w:w="39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危险废物名称</w:t>
            </w:r>
          </w:p>
        </w:tc>
        <w:tc>
          <w:tcPr>
            <w:tcW w:w="41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危险废物类别</w:t>
            </w:r>
          </w:p>
        </w:tc>
        <w:tc>
          <w:tcPr>
            <w:tcW w:w="424"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危险废物代码</w:t>
            </w:r>
          </w:p>
        </w:tc>
        <w:tc>
          <w:tcPr>
            <w:tcW w:w="401"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产生量（t/a）</w:t>
            </w:r>
          </w:p>
        </w:tc>
        <w:tc>
          <w:tcPr>
            <w:tcW w:w="446"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产生工序及装置</w:t>
            </w:r>
          </w:p>
        </w:tc>
        <w:tc>
          <w:tcPr>
            <w:tcW w:w="26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形态</w:t>
            </w:r>
          </w:p>
        </w:tc>
        <w:tc>
          <w:tcPr>
            <w:tcW w:w="257"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主要成分</w:t>
            </w:r>
          </w:p>
        </w:tc>
        <w:tc>
          <w:tcPr>
            <w:tcW w:w="250"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有害成分</w:t>
            </w:r>
          </w:p>
        </w:tc>
        <w:tc>
          <w:tcPr>
            <w:tcW w:w="219"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产废周期</w:t>
            </w:r>
          </w:p>
        </w:tc>
        <w:tc>
          <w:tcPr>
            <w:tcW w:w="333"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危险特性</w:t>
            </w:r>
          </w:p>
        </w:tc>
        <w:tc>
          <w:tcPr>
            <w:tcW w:w="1353"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污染防治措施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95" w:hRule="atLeast"/>
          <w:jc w:val="center"/>
        </w:trPr>
        <w:tc>
          <w:tcPr>
            <w:tcW w:w="236"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rFonts w:hint="eastAsia"/>
                <w:b w:val="0"/>
                <w:bCs/>
                <w:color w:val="auto"/>
                <w:sz w:val="21"/>
                <w:szCs w:val="21"/>
                <w:lang w:val="en-US" w:eastAsia="zh-CN"/>
              </w:rPr>
              <w:t>1</w:t>
            </w:r>
          </w:p>
        </w:tc>
        <w:tc>
          <w:tcPr>
            <w:tcW w:w="395"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eastAsia"/>
                <w:b w:val="0"/>
                <w:bCs/>
                <w:color w:val="auto"/>
                <w:sz w:val="21"/>
                <w:szCs w:val="21"/>
                <w:lang w:val="en-US" w:eastAsia="zh-CN"/>
              </w:rPr>
            </w:pPr>
            <w:r>
              <w:rPr>
                <w:b w:val="0"/>
                <w:bCs/>
                <w:color w:val="auto"/>
                <w:sz w:val="21"/>
                <w:szCs w:val="21"/>
              </w:rPr>
              <w:t>医疗废物</w:t>
            </w:r>
          </w:p>
        </w:tc>
        <w:tc>
          <w:tcPr>
            <w:tcW w:w="415" w:type="pct"/>
            <w:tcBorders>
              <w:tl2br w:val="nil"/>
              <w:tr2bl w:val="nil"/>
            </w:tcBorders>
            <w:noWrap w:val="0"/>
            <w:vAlign w:val="center"/>
          </w:tcPr>
          <w:p>
            <w:pPr>
              <w:pStyle w:val="332"/>
              <w:kinsoku w:val="0"/>
              <w:overflowPunct w:val="0"/>
              <w:ind w:firstLine="0" w:firstLineChars="0"/>
              <w:jc w:val="center"/>
              <w:rPr>
                <w:rFonts w:hint="eastAsia"/>
                <w:b w:val="0"/>
                <w:bCs/>
                <w:color w:val="auto"/>
                <w:sz w:val="21"/>
                <w:szCs w:val="21"/>
                <w:lang w:val="en-US" w:eastAsia="zh-CN"/>
              </w:rPr>
            </w:pPr>
            <w:r>
              <w:rPr>
                <w:color w:val="auto"/>
                <w:sz w:val="21"/>
                <w:szCs w:val="21"/>
              </w:rPr>
              <w:t>HW01</w:t>
            </w:r>
          </w:p>
        </w:tc>
        <w:tc>
          <w:tcPr>
            <w:tcW w:w="424" w:type="pct"/>
            <w:tcBorders>
              <w:tl2br w:val="nil"/>
              <w:tr2bl w:val="nil"/>
            </w:tcBorders>
            <w:noWrap w:val="0"/>
            <w:vAlign w:val="center"/>
          </w:tcPr>
          <w:p>
            <w:pPr>
              <w:pStyle w:val="332"/>
              <w:kinsoku w:val="0"/>
              <w:overflowPunct w:val="0"/>
              <w:ind w:firstLine="0" w:firstLineChars="0"/>
              <w:jc w:val="center"/>
              <w:rPr>
                <w:rFonts w:hint="eastAsia"/>
                <w:b w:val="0"/>
                <w:bCs/>
                <w:color w:val="auto"/>
                <w:sz w:val="21"/>
                <w:szCs w:val="21"/>
                <w:lang w:val="en-US" w:eastAsia="zh-CN"/>
              </w:rPr>
            </w:pPr>
            <w:r>
              <w:rPr>
                <w:rFonts w:hint="eastAsia"/>
                <w:color w:val="auto"/>
                <w:sz w:val="21"/>
                <w:szCs w:val="21"/>
                <w:lang w:val="en-US" w:eastAsia="zh-CN"/>
              </w:rPr>
              <w:t>841</w:t>
            </w:r>
            <w:r>
              <w:rPr>
                <w:color w:val="auto"/>
                <w:sz w:val="21"/>
                <w:szCs w:val="21"/>
              </w:rPr>
              <w:t>-001-01</w:t>
            </w:r>
          </w:p>
        </w:tc>
        <w:tc>
          <w:tcPr>
            <w:tcW w:w="401"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b w:val="0"/>
                <w:bCs/>
                <w:color w:val="auto"/>
                <w:sz w:val="21"/>
                <w:szCs w:val="21"/>
                <w:lang w:val="en-US" w:eastAsia="zh-CN"/>
              </w:rPr>
            </w:pPr>
            <w:r>
              <w:rPr>
                <w:rFonts w:hint="eastAsia"/>
                <w:b w:val="0"/>
                <w:bCs/>
                <w:color w:val="auto"/>
                <w:sz w:val="21"/>
                <w:szCs w:val="21"/>
                <w:lang w:val="en-US" w:eastAsia="zh-CN"/>
              </w:rPr>
              <w:t>0.2</w:t>
            </w:r>
          </w:p>
        </w:tc>
        <w:tc>
          <w:tcPr>
            <w:tcW w:w="446" w:type="pct"/>
            <w:tcBorders>
              <w:tl2br w:val="nil"/>
              <w:tr2bl w:val="nil"/>
            </w:tcBorders>
            <w:noWrap w:val="0"/>
            <w:vAlign w:val="center"/>
          </w:tcPr>
          <w:p>
            <w:pPr>
              <w:pStyle w:val="332"/>
              <w:kinsoku w:val="0"/>
              <w:overflowPunct w:val="0"/>
              <w:ind w:firstLine="0" w:firstLineChars="0"/>
              <w:jc w:val="center"/>
              <w:rPr>
                <w:rFonts w:hint="eastAsia"/>
                <w:b w:val="0"/>
                <w:bCs/>
                <w:color w:val="auto"/>
                <w:sz w:val="21"/>
                <w:szCs w:val="21"/>
                <w:lang w:val="en-US" w:eastAsia="zh-CN"/>
              </w:rPr>
            </w:pPr>
            <w:r>
              <w:rPr>
                <w:color w:val="auto"/>
                <w:sz w:val="21"/>
                <w:szCs w:val="21"/>
              </w:rPr>
              <w:t>防疫用品</w:t>
            </w:r>
          </w:p>
        </w:tc>
        <w:tc>
          <w:tcPr>
            <w:tcW w:w="265" w:type="pct"/>
            <w:tcBorders>
              <w:tl2br w:val="nil"/>
              <w:tr2bl w:val="nil"/>
            </w:tcBorders>
            <w:noWrap w:val="0"/>
            <w:vAlign w:val="center"/>
          </w:tcPr>
          <w:p>
            <w:pPr>
              <w:pStyle w:val="332"/>
              <w:kinsoku w:val="0"/>
              <w:overflowPunct w:val="0"/>
              <w:ind w:firstLine="0" w:firstLineChars="0"/>
              <w:jc w:val="center"/>
              <w:rPr>
                <w:rFonts w:hint="eastAsia"/>
                <w:b w:val="0"/>
                <w:bCs/>
                <w:color w:val="auto"/>
                <w:sz w:val="21"/>
                <w:szCs w:val="21"/>
                <w:lang w:val="en-US" w:eastAsia="zh-CN"/>
              </w:rPr>
            </w:pPr>
            <w:r>
              <w:rPr>
                <w:color w:val="auto"/>
                <w:sz w:val="21"/>
                <w:szCs w:val="21"/>
              </w:rPr>
              <w:t>固体</w:t>
            </w:r>
          </w:p>
        </w:tc>
        <w:tc>
          <w:tcPr>
            <w:tcW w:w="257" w:type="pct"/>
            <w:tcBorders>
              <w:tl2br w:val="nil"/>
              <w:tr2bl w:val="nil"/>
            </w:tcBorders>
            <w:noWrap w:val="0"/>
            <w:vAlign w:val="center"/>
          </w:tcPr>
          <w:p>
            <w:pPr>
              <w:pStyle w:val="332"/>
              <w:kinsoku w:val="0"/>
              <w:overflowPunct w:val="0"/>
              <w:ind w:firstLine="0" w:firstLineChars="0"/>
              <w:jc w:val="center"/>
              <w:rPr>
                <w:rFonts w:hint="eastAsia"/>
                <w:color w:val="auto"/>
                <w:sz w:val="21"/>
                <w:szCs w:val="21"/>
              </w:rPr>
            </w:pPr>
            <w:r>
              <w:rPr>
                <w:rFonts w:hint="eastAsia"/>
                <w:color w:val="auto"/>
                <w:sz w:val="21"/>
                <w:szCs w:val="21"/>
              </w:rPr>
              <w:t>防疫</w:t>
            </w:r>
          </w:p>
          <w:p>
            <w:pPr>
              <w:pStyle w:val="332"/>
              <w:kinsoku w:val="0"/>
              <w:overflowPunct w:val="0"/>
              <w:ind w:firstLine="0" w:firstLineChars="0"/>
              <w:jc w:val="center"/>
              <w:rPr>
                <w:rFonts w:hint="eastAsia"/>
                <w:b w:val="0"/>
                <w:bCs/>
                <w:color w:val="auto"/>
                <w:sz w:val="21"/>
                <w:szCs w:val="21"/>
                <w:lang w:val="en-US" w:eastAsia="zh-CN"/>
              </w:rPr>
            </w:pPr>
            <w:r>
              <w:rPr>
                <w:rFonts w:hint="eastAsia"/>
                <w:color w:val="auto"/>
                <w:sz w:val="21"/>
                <w:szCs w:val="21"/>
              </w:rPr>
              <w:t>用品</w:t>
            </w:r>
          </w:p>
        </w:tc>
        <w:tc>
          <w:tcPr>
            <w:tcW w:w="250" w:type="pct"/>
            <w:tcBorders>
              <w:tl2br w:val="nil"/>
              <w:tr2bl w:val="nil"/>
            </w:tcBorders>
            <w:noWrap w:val="0"/>
            <w:vAlign w:val="center"/>
          </w:tcPr>
          <w:p>
            <w:pPr>
              <w:pStyle w:val="332"/>
              <w:kinsoku w:val="0"/>
              <w:overflowPunct w:val="0"/>
              <w:ind w:firstLine="0" w:firstLineChars="0"/>
              <w:jc w:val="center"/>
              <w:rPr>
                <w:rFonts w:hint="eastAsia"/>
                <w:b w:val="0"/>
                <w:bCs/>
                <w:color w:val="auto"/>
                <w:sz w:val="21"/>
                <w:szCs w:val="21"/>
                <w:lang w:val="en-US" w:eastAsia="zh-CN"/>
              </w:rPr>
            </w:pPr>
            <w:r>
              <w:rPr>
                <w:color w:val="auto"/>
                <w:sz w:val="21"/>
                <w:szCs w:val="21"/>
              </w:rPr>
              <w:t>/</w:t>
            </w:r>
          </w:p>
        </w:tc>
        <w:tc>
          <w:tcPr>
            <w:tcW w:w="219" w:type="pct"/>
            <w:tcBorders>
              <w:tl2br w:val="nil"/>
              <w:tr2bl w:val="nil"/>
            </w:tcBorders>
            <w:noWrap w:val="0"/>
            <w:vAlign w:val="center"/>
          </w:tcPr>
          <w:p>
            <w:pPr>
              <w:spacing w:line="240" w:lineRule="auto"/>
              <w:ind w:firstLine="0" w:firstLineChars="0"/>
              <w:jc w:val="center"/>
              <w:rPr>
                <w:rFonts w:hint="eastAsia" w:eastAsia="宋体"/>
                <w:b w:val="0"/>
                <w:bCs/>
                <w:color w:val="auto"/>
                <w:sz w:val="21"/>
                <w:szCs w:val="21"/>
                <w:lang w:val="en-US" w:eastAsia="zh-CN"/>
              </w:rPr>
            </w:pPr>
            <w:r>
              <w:rPr>
                <w:rFonts w:hint="eastAsia"/>
                <w:color w:val="auto"/>
                <w:kern w:val="0"/>
                <w:sz w:val="21"/>
                <w:szCs w:val="21"/>
                <w:lang w:val="en-US" w:eastAsia="zh-CN"/>
              </w:rPr>
              <w:t>每天</w:t>
            </w:r>
          </w:p>
        </w:tc>
        <w:tc>
          <w:tcPr>
            <w:tcW w:w="333" w:type="pct"/>
            <w:tcBorders>
              <w:tl2br w:val="nil"/>
              <w:tr2bl w:val="nil"/>
            </w:tcBorders>
            <w:noWrap w:val="0"/>
            <w:vAlign w:val="center"/>
          </w:tcPr>
          <w:p>
            <w:pPr>
              <w:pStyle w:val="332"/>
              <w:kinsoku w:val="0"/>
              <w:overflowPunct w:val="0"/>
              <w:ind w:firstLine="0" w:firstLineChars="0"/>
              <w:jc w:val="center"/>
              <w:rPr>
                <w:rFonts w:hint="eastAsia" w:eastAsia="宋体"/>
                <w:b w:val="0"/>
                <w:bCs/>
                <w:color w:val="auto"/>
                <w:sz w:val="21"/>
                <w:szCs w:val="21"/>
                <w:lang w:val="en-US" w:eastAsia="zh-CN"/>
              </w:rPr>
            </w:pPr>
            <w:r>
              <w:rPr>
                <w:rFonts w:hint="eastAsia"/>
                <w:color w:val="auto"/>
                <w:sz w:val="21"/>
                <w:szCs w:val="21"/>
                <w:lang w:val="en-US" w:eastAsia="zh-CN"/>
              </w:rPr>
              <w:t>In</w:t>
            </w:r>
          </w:p>
        </w:tc>
        <w:tc>
          <w:tcPr>
            <w:tcW w:w="1353" w:type="pct"/>
            <w:tcBorders>
              <w:tl2br w:val="nil"/>
              <w:tr2bl w:val="nil"/>
            </w:tcBorders>
            <w:noWrap w:val="0"/>
            <w:vAlign w:val="center"/>
          </w:tcPr>
          <w:p>
            <w:pPr>
              <w:pStyle w:val="332"/>
              <w:kinsoku w:val="0"/>
              <w:overflowPunct w:val="0"/>
              <w:ind w:left="3" w:leftChars="0" w:firstLine="0" w:firstLineChars="0"/>
              <w:jc w:val="center"/>
              <w:rPr>
                <w:rFonts w:hint="eastAsia" w:ascii="Times New Roman" w:hAnsi="Times New Roman" w:eastAsia="宋体" w:cs="Times New Roman"/>
                <w:b w:val="0"/>
                <w:bCs/>
                <w:color w:val="auto"/>
                <w:kern w:val="2"/>
                <w:sz w:val="21"/>
                <w:szCs w:val="21"/>
                <w:lang w:val="en-US" w:eastAsia="zh-CN" w:bidi="ar-SA"/>
              </w:rPr>
            </w:pPr>
            <w:r>
              <w:rPr>
                <w:color w:val="auto"/>
                <w:sz w:val="21"/>
                <w:szCs w:val="21"/>
              </w:rPr>
              <w:t>建设单位应在场区内设立高密度聚乙烯塑料桶（内衬专用塑料袋）对卫生防疫产生的废药品（含器具）进行收集，禁止与生活垃圾进行混装，在项目建成投运前必须签订危险废物处置协议，项目产生的危险废物需定期交由具有相应资质类别的单位处置，并落实联单责任制。</w:t>
            </w:r>
          </w:p>
        </w:tc>
      </w:tr>
    </w:tbl>
    <w:p>
      <w:pPr>
        <w:pStyle w:val="265"/>
        <w:numPr>
          <w:ilvl w:val="0"/>
          <w:numId w:val="0"/>
        </w:numPr>
        <w:rPr>
          <w:rFonts w:hint="default"/>
          <w:color w:val="auto"/>
          <w:sz w:val="21"/>
          <w:szCs w:val="22"/>
          <w:lang w:val="en-US" w:eastAsia="zh-CN"/>
        </w:rPr>
      </w:pPr>
      <w:r>
        <w:rPr>
          <w:rFonts w:hint="default"/>
          <w:color w:val="auto"/>
          <w:sz w:val="21"/>
          <w:szCs w:val="22"/>
          <w:lang w:val="en-US" w:eastAsia="zh-CN"/>
        </w:rPr>
        <w:t>注：毒性（Toxicity</w:t>
      </w:r>
      <w:r>
        <w:rPr>
          <w:rFonts w:hint="eastAsia"/>
          <w:color w:val="auto"/>
          <w:sz w:val="21"/>
          <w:szCs w:val="22"/>
          <w:lang w:val="en-US" w:eastAsia="zh-CN"/>
        </w:rPr>
        <w:t>，</w:t>
      </w:r>
      <w:r>
        <w:rPr>
          <w:rFonts w:hint="default"/>
          <w:color w:val="auto"/>
          <w:sz w:val="21"/>
          <w:szCs w:val="22"/>
          <w:lang w:val="en-US" w:eastAsia="zh-CN"/>
        </w:rPr>
        <w:t>T）、易燃性（Ignitability</w:t>
      </w:r>
      <w:r>
        <w:rPr>
          <w:rFonts w:hint="eastAsia"/>
          <w:color w:val="auto"/>
          <w:sz w:val="21"/>
          <w:szCs w:val="22"/>
          <w:lang w:val="en-US" w:eastAsia="zh-CN"/>
        </w:rPr>
        <w:t>，</w:t>
      </w:r>
      <w:r>
        <w:rPr>
          <w:rFonts w:hint="default"/>
          <w:color w:val="auto"/>
          <w:sz w:val="21"/>
          <w:szCs w:val="22"/>
          <w:lang w:val="en-US" w:eastAsia="zh-CN"/>
        </w:rPr>
        <w:t>I）、感染性（Infectivity</w:t>
      </w:r>
      <w:r>
        <w:rPr>
          <w:rFonts w:hint="eastAsia"/>
          <w:color w:val="auto"/>
          <w:sz w:val="21"/>
          <w:szCs w:val="22"/>
          <w:lang w:val="en-US" w:eastAsia="zh-CN"/>
        </w:rPr>
        <w:t>，</w:t>
      </w:r>
      <w:r>
        <w:rPr>
          <w:rFonts w:hint="default"/>
          <w:color w:val="auto"/>
          <w:sz w:val="21"/>
          <w:szCs w:val="22"/>
          <w:lang w:val="en-US" w:eastAsia="zh-CN"/>
        </w:rPr>
        <w:t>In）。</w:t>
      </w:r>
    </w:p>
    <w:p>
      <w:pPr>
        <w:spacing w:before="120" w:beforeLines="50"/>
        <w:ind w:firstLine="480"/>
        <w:rPr>
          <w:bCs/>
          <w:color w:val="auto"/>
        </w:rPr>
      </w:pPr>
      <w:r>
        <w:rPr>
          <w:bCs/>
          <w:color w:val="auto"/>
        </w:rPr>
        <w:t>按照《建设项目危险废物环境影响评价指南》要求，本项目工程分析应给出危险废物收集、贮存、运输、利用、处置环节采取的污染防治措施。本项目拟设置1</w:t>
      </w:r>
      <w:r>
        <w:rPr>
          <w:rFonts w:hint="eastAsia"/>
          <w:bCs/>
          <w:color w:val="auto"/>
        </w:rPr>
        <w:t>处</w:t>
      </w:r>
      <w:r>
        <w:rPr>
          <w:bCs/>
          <w:color w:val="auto"/>
        </w:rPr>
        <w:t>危险废物暂存间（</w:t>
      </w:r>
      <w:r>
        <w:rPr>
          <w:rFonts w:hint="eastAsia"/>
          <w:bCs/>
          <w:color w:val="auto"/>
        </w:rPr>
        <w:t>建筑</w:t>
      </w:r>
      <w:r>
        <w:rPr>
          <w:bCs/>
          <w:color w:val="auto"/>
        </w:rPr>
        <w:t>面积约</w:t>
      </w:r>
      <w:r>
        <w:rPr>
          <w:rFonts w:hint="eastAsia"/>
          <w:bCs/>
          <w:color w:val="auto"/>
        </w:rPr>
        <w:t>5</w:t>
      </w:r>
      <w:r>
        <w:rPr>
          <w:bCs/>
          <w:color w:val="auto"/>
        </w:rPr>
        <w:t>m</w:t>
      </w:r>
      <w:r>
        <w:rPr>
          <w:bCs/>
          <w:color w:val="auto"/>
          <w:vertAlign w:val="superscript"/>
        </w:rPr>
        <w:t>2</w:t>
      </w:r>
      <w:r>
        <w:rPr>
          <w:bCs/>
          <w:color w:val="auto"/>
        </w:rPr>
        <w:t>），位于圈舍</w:t>
      </w:r>
      <w:r>
        <w:rPr>
          <w:rFonts w:hint="eastAsia"/>
          <w:bCs/>
          <w:color w:val="auto"/>
        </w:rPr>
        <w:t>旁</w:t>
      </w:r>
      <w:r>
        <w:rPr>
          <w:bCs/>
          <w:color w:val="auto"/>
        </w:rPr>
        <w:t>。危险废物暂存间设置按照《危险废物贮存污染物控制标准》（GB18597-2001）</w:t>
      </w:r>
      <w:r>
        <w:rPr>
          <w:rFonts w:hint="eastAsia"/>
          <w:bCs/>
          <w:color w:val="auto"/>
          <w:lang w:eastAsia="zh-CN"/>
        </w:rPr>
        <w:t>（</w:t>
      </w:r>
      <w:r>
        <w:rPr>
          <w:rFonts w:hint="eastAsia"/>
          <w:bCs/>
          <w:color w:val="auto"/>
          <w:lang w:val="en-US" w:eastAsia="zh-CN"/>
        </w:rPr>
        <w:t>2013年修改单</w:t>
      </w:r>
      <w:r>
        <w:rPr>
          <w:rFonts w:hint="eastAsia"/>
          <w:bCs/>
          <w:color w:val="auto"/>
          <w:lang w:eastAsia="zh-CN"/>
        </w:rPr>
        <w:t>）</w:t>
      </w:r>
      <w:r>
        <w:rPr>
          <w:bCs/>
          <w:color w:val="auto"/>
        </w:rPr>
        <w:t>进行防风、防雨、防晒、防渗漏处理，地面渗透系数小于1.0×10</w:t>
      </w:r>
      <w:r>
        <w:rPr>
          <w:bCs/>
          <w:color w:val="auto"/>
          <w:vertAlign w:val="superscript"/>
        </w:rPr>
        <w:t>-10</w:t>
      </w:r>
      <w:r>
        <w:rPr>
          <w:bCs/>
          <w:color w:val="auto"/>
        </w:rPr>
        <w:t>cm/s。本项目危险废物贮存场所基本情况见表3.</w:t>
      </w:r>
      <w:r>
        <w:rPr>
          <w:rFonts w:hint="eastAsia"/>
          <w:bCs/>
          <w:color w:val="auto"/>
          <w:lang w:val="en-US" w:eastAsia="zh-CN"/>
        </w:rPr>
        <w:t>6</w:t>
      </w:r>
      <w:r>
        <w:rPr>
          <w:bCs/>
          <w:color w:val="auto"/>
        </w:rPr>
        <w:t>-1</w:t>
      </w:r>
      <w:r>
        <w:rPr>
          <w:rFonts w:hint="eastAsia"/>
          <w:bCs/>
          <w:color w:val="auto"/>
          <w:lang w:val="en-US" w:eastAsia="zh-CN"/>
        </w:rPr>
        <w:t>7</w:t>
      </w:r>
      <w:r>
        <w:rPr>
          <w:bCs/>
          <w:color w:val="auto"/>
        </w:rPr>
        <w:t>。</w:t>
      </w:r>
    </w:p>
    <w:p>
      <w:pPr>
        <w:pStyle w:val="166"/>
        <w:keepNext w:val="0"/>
        <w:keepLines w:val="0"/>
        <w:pageBreakBefore w:val="0"/>
        <w:widowControl w:val="0"/>
        <w:kinsoku/>
        <w:wordWrap/>
        <w:overflowPunct/>
        <w:topLinePunct w:val="0"/>
        <w:autoSpaceDE/>
        <w:autoSpaceDN/>
        <w:bidi w:val="0"/>
        <w:adjustRightInd/>
        <w:snapToGrid/>
        <w:spacing w:before="0" w:beforeLines="0"/>
        <w:textAlignment w:val="auto"/>
        <w:rPr>
          <w:color w:val="auto"/>
        </w:rPr>
      </w:pPr>
      <w:r>
        <w:rPr>
          <w:color w:val="auto"/>
        </w:rPr>
        <w:t>表3.</w:t>
      </w:r>
      <w:r>
        <w:rPr>
          <w:rFonts w:hint="eastAsia"/>
          <w:color w:val="auto"/>
          <w:lang w:val="en-US" w:eastAsia="zh-CN"/>
        </w:rPr>
        <w:t>6</w:t>
      </w:r>
      <w:r>
        <w:rPr>
          <w:color w:val="auto"/>
        </w:rPr>
        <w:t>-1</w:t>
      </w:r>
      <w:r>
        <w:rPr>
          <w:rFonts w:hint="eastAsia"/>
          <w:color w:val="auto"/>
          <w:lang w:val="en-US" w:eastAsia="zh-CN"/>
        </w:rPr>
        <w:t xml:space="preserve">7 </w:t>
      </w:r>
      <w:r>
        <w:rPr>
          <w:color w:val="auto"/>
        </w:rPr>
        <w:t>建设项目危险废物贮存场所基本情况表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5"/>
        <w:gridCol w:w="864"/>
        <w:gridCol w:w="864"/>
        <w:gridCol w:w="864"/>
        <w:gridCol w:w="1196"/>
        <w:gridCol w:w="870"/>
        <w:gridCol w:w="870"/>
        <w:gridCol w:w="870"/>
        <w:gridCol w:w="870"/>
        <w:gridCol w:w="8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noWrap w:val="0"/>
            <w:vAlign w:val="center"/>
          </w:tcPr>
          <w:p>
            <w:pPr>
              <w:spacing w:line="240" w:lineRule="auto"/>
              <w:ind w:firstLine="0" w:firstLineChars="0"/>
              <w:jc w:val="center"/>
              <w:rPr>
                <w:b/>
                <w:bCs/>
                <w:color w:val="auto"/>
                <w:sz w:val="21"/>
                <w:szCs w:val="21"/>
              </w:rPr>
            </w:pPr>
            <w:r>
              <w:rPr>
                <w:b/>
                <w:bCs/>
                <w:color w:val="auto"/>
                <w:sz w:val="21"/>
                <w:szCs w:val="21"/>
              </w:rPr>
              <w:t>序号</w:t>
            </w:r>
          </w:p>
        </w:tc>
        <w:tc>
          <w:tcPr>
            <w:tcW w:w="864" w:type="dxa"/>
            <w:noWrap w:val="0"/>
            <w:vAlign w:val="center"/>
          </w:tcPr>
          <w:p>
            <w:pPr>
              <w:spacing w:line="240" w:lineRule="auto"/>
              <w:ind w:firstLine="0" w:firstLineChars="0"/>
              <w:jc w:val="center"/>
              <w:rPr>
                <w:b/>
                <w:bCs/>
                <w:color w:val="auto"/>
                <w:sz w:val="21"/>
                <w:szCs w:val="21"/>
              </w:rPr>
            </w:pPr>
            <w:r>
              <w:rPr>
                <w:b/>
                <w:bCs/>
                <w:color w:val="auto"/>
                <w:sz w:val="21"/>
                <w:szCs w:val="21"/>
              </w:rPr>
              <w:t>贮存场所名称</w:t>
            </w:r>
          </w:p>
        </w:tc>
        <w:tc>
          <w:tcPr>
            <w:tcW w:w="864" w:type="dxa"/>
            <w:noWrap w:val="0"/>
            <w:vAlign w:val="center"/>
          </w:tcPr>
          <w:p>
            <w:pPr>
              <w:spacing w:line="240" w:lineRule="auto"/>
              <w:ind w:firstLine="0" w:firstLineChars="0"/>
              <w:jc w:val="center"/>
              <w:rPr>
                <w:b/>
                <w:bCs/>
                <w:color w:val="auto"/>
                <w:sz w:val="21"/>
                <w:szCs w:val="21"/>
              </w:rPr>
            </w:pPr>
            <w:r>
              <w:rPr>
                <w:b/>
                <w:bCs/>
                <w:color w:val="auto"/>
                <w:sz w:val="21"/>
                <w:szCs w:val="21"/>
              </w:rPr>
              <w:t>危险废物名称</w:t>
            </w:r>
          </w:p>
        </w:tc>
        <w:tc>
          <w:tcPr>
            <w:tcW w:w="864" w:type="dxa"/>
            <w:noWrap w:val="0"/>
            <w:vAlign w:val="center"/>
          </w:tcPr>
          <w:p>
            <w:pPr>
              <w:spacing w:line="240" w:lineRule="auto"/>
              <w:ind w:firstLine="0" w:firstLineChars="0"/>
              <w:jc w:val="center"/>
              <w:rPr>
                <w:b/>
                <w:bCs/>
                <w:color w:val="auto"/>
                <w:sz w:val="21"/>
                <w:szCs w:val="21"/>
              </w:rPr>
            </w:pPr>
            <w:r>
              <w:rPr>
                <w:b/>
                <w:bCs/>
                <w:color w:val="auto"/>
                <w:sz w:val="21"/>
                <w:szCs w:val="21"/>
              </w:rPr>
              <w:t>危险废物类别</w:t>
            </w:r>
          </w:p>
        </w:tc>
        <w:tc>
          <w:tcPr>
            <w:tcW w:w="1196" w:type="dxa"/>
            <w:noWrap w:val="0"/>
            <w:vAlign w:val="center"/>
          </w:tcPr>
          <w:p>
            <w:pPr>
              <w:spacing w:line="240" w:lineRule="auto"/>
              <w:ind w:firstLine="0" w:firstLineChars="0"/>
              <w:jc w:val="center"/>
              <w:rPr>
                <w:b/>
                <w:bCs/>
                <w:color w:val="auto"/>
                <w:sz w:val="21"/>
                <w:szCs w:val="21"/>
              </w:rPr>
            </w:pPr>
            <w:r>
              <w:rPr>
                <w:b/>
                <w:bCs/>
                <w:color w:val="auto"/>
                <w:sz w:val="21"/>
                <w:szCs w:val="21"/>
              </w:rPr>
              <w:t>危险废物代码</w:t>
            </w:r>
          </w:p>
        </w:tc>
        <w:tc>
          <w:tcPr>
            <w:tcW w:w="870" w:type="dxa"/>
            <w:noWrap w:val="0"/>
            <w:vAlign w:val="center"/>
          </w:tcPr>
          <w:p>
            <w:pPr>
              <w:spacing w:line="240" w:lineRule="auto"/>
              <w:ind w:firstLine="0" w:firstLineChars="0"/>
              <w:jc w:val="center"/>
              <w:rPr>
                <w:b/>
                <w:bCs/>
                <w:color w:val="auto"/>
                <w:sz w:val="21"/>
                <w:szCs w:val="21"/>
              </w:rPr>
            </w:pPr>
            <w:r>
              <w:rPr>
                <w:b/>
                <w:bCs/>
                <w:color w:val="auto"/>
                <w:sz w:val="21"/>
                <w:szCs w:val="21"/>
              </w:rPr>
              <w:t>位置</w:t>
            </w:r>
          </w:p>
        </w:tc>
        <w:tc>
          <w:tcPr>
            <w:tcW w:w="870" w:type="dxa"/>
            <w:noWrap w:val="0"/>
            <w:vAlign w:val="center"/>
          </w:tcPr>
          <w:p>
            <w:pPr>
              <w:spacing w:line="240" w:lineRule="auto"/>
              <w:ind w:firstLine="0" w:firstLineChars="0"/>
              <w:jc w:val="center"/>
              <w:rPr>
                <w:b/>
                <w:bCs/>
                <w:color w:val="auto"/>
                <w:sz w:val="21"/>
                <w:szCs w:val="21"/>
              </w:rPr>
            </w:pPr>
            <w:r>
              <w:rPr>
                <w:b/>
                <w:bCs/>
                <w:color w:val="auto"/>
                <w:sz w:val="21"/>
                <w:szCs w:val="21"/>
              </w:rPr>
              <w:t>面积</w:t>
            </w:r>
          </w:p>
        </w:tc>
        <w:tc>
          <w:tcPr>
            <w:tcW w:w="870" w:type="dxa"/>
            <w:noWrap w:val="0"/>
            <w:vAlign w:val="center"/>
          </w:tcPr>
          <w:p>
            <w:pPr>
              <w:spacing w:line="240" w:lineRule="auto"/>
              <w:ind w:firstLine="0" w:firstLineChars="0"/>
              <w:jc w:val="center"/>
              <w:rPr>
                <w:b/>
                <w:bCs/>
                <w:color w:val="auto"/>
                <w:sz w:val="21"/>
                <w:szCs w:val="21"/>
              </w:rPr>
            </w:pPr>
            <w:r>
              <w:rPr>
                <w:b/>
                <w:bCs/>
                <w:color w:val="auto"/>
                <w:sz w:val="21"/>
                <w:szCs w:val="21"/>
              </w:rPr>
              <w:t>贮存方式</w:t>
            </w:r>
          </w:p>
        </w:tc>
        <w:tc>
          <w:tcPr>
            <w:tcW w:w="870" w:type="dxa"/>
            <w:noWrap w:val="0"/>
            <w:vAlign w:val="center"/>
          </w:tcPr>
          <w:p>
            <w:pPr>
              <w:spacing w:line="240" w:lineRule="auto"/>
              <w:ind w:firstLine="0" w:firstLineChars="0"/>
              <w:jc w:val="center"/>
              <w:rPr>
                <w:b/>
                <w:bCs/>
                <w:color w:val="auto"/>
                <w:sz w:val="21"/>
                <w:szCs w:val="21"/>
              </w:rPr>
            </w:pPr>
            <w:r>
              <w:rPr>
                <w:b/>
                <w:bCs/>
                <w:color w:val="auto"/>
                <w:sz w:val="21"/>
                <w:szCs w:val="21"/>
              </w:rPr>
              <w:t>贮存能力</w:t>
            </w:r>
          </w:p>
        </w:tc>
        <w:tc>
          <w:tcPr>
            <w:tcW w:w="870" w:type="dxa"/>
            <w:noWrap w:val="0"/>
            <w:vAlign w:val="center"/>
          </w:tcPr>
          <w:p>
            <w:pPr>
              <w:spacing w:line="240" w:lineRule="auto"/>
              <w:ind w:firstLine="0" w:firstLineChars="0"/>
              <w:jc w:val="center"/>
              <w:rPr>
                <w:b/>
                <w:bCs/>
                <w:color w:val="auto"/>
                <w:sz w:val="21"/>
                <w:szCs w:val="21"/>
              </w:rPr>
            </w:pPr>
            <w:r>
              <w:rPr>
                <w:b/>
                <w:bCs/>
                <w:color w:val="auto"/>
                <w:sz w:val="21"/>
                <w:szCs w:val="21"/>
              </w:rPr>
              <w:t>贮存周期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noWrap w:val="0"/>
            <w:vAlign w:val="center"/>
          </w:tcPr>
          <w:p>
            <w:pPr>
              <w:spacing w:line="240" w:lineRule="auto"/>
              <w:ind w:firstLine="0" w:firstLineChars="0"/>
              <w:jc w:val="center"/>
              <w:rPr>
                <w:bCs/>
                <w:color w:val="auto"/>
                <w:sz w:val="21"/>
                <w:szCs w:val="21"/>
              </w:rPr>
            </w:pPr>
            <w:r>
              <w:rPr>
                <w:bCs/>
                <w:color w:val="auto"/>
                <w:sz w:val="21"/>
                <w:szCs w:val="21"/>
              </w:rPr>
              <w:t>1</w:t>
            </w:r>
          </w:p>
        </w:tc>
        <w:tc>
          <w:tcPr>
            <w:tcW w:w="864" w:type="dxa"/>
            <w:noWrap w:val="0"/>
            <w:vAlign w:val="center"/>
          </w:tcPr>
          <w:p>
            <w:pPr>
              <w:spacing w:line="240" w:lineRule="auto"/>
              <w:ind w:firstLine="0" w:firstLineChars="0"/>
              <w:jc w:val="center"/>
              <w:rPr>
                <w:bCs/>
                <w:color w:val="auto"/>
                <w:sz w:val="21"/>
                <w:szCs w:val="21"/>
              </w:rPr>
            </w:pPr>
            <w:r>
              <w:rPr>
                <w:color w:val="auto"/>
                <w:kern w:val="0"/>
                <w:sz w:val="21"/>
                <w:szCs w:val="21"/>
              </w:rPr>
              <w:t>危险废物暂存间</w:t>
            </w:r>
          </w:p>
        </w:tc>
        <w:tc>
          <w:tcPr>
            <w:tcW w:w="864" w:type="dxa"/>
            <w:noWrap w:val="0"/>
            <w:vAlign w:val="center"/>
          </w:tcPr>
          <w:p>
            <w:pPr>
              <w:adjustRightInd w:val="0"/>
              <w:snapToGrid w:val="0"/>
              <w:spacing w:line="240" w:lineRule="auto"/>
              <w:ind w:firstLine="0" w:firstLineChars="0"/>
              <w:jc w:val="center"/>
              <w:rPr>
                <w:bCs/>
                <w:color w:val="auto"/>
                <w:sz w:val="21"/>
                <w:szCs w:val="21"/>
              </w:rPr>
            </w:pPr>
            <w:r>
              <w:rPr>
                <w:bCs/>
                <w:color w:val="auto"/>
                <w:sz w:val="21"/>
                <w:szCs w:val="21"/>
              </w:rPr>
              <w:t>医疗废物</w:t>
            </w:r>
          </w:p>
        </w:tc>
        <w:tc>
          <w:tcPr>
            <w:tcW w:w="864" w:type="dxa"/>
            <w:noWrap w:val="0"/>
            <w:vAlign w:val="center"/>
          </w:tcPr>
          <w:p>
            <w:pPr>
              <w:adjustRightInd w:val="0"/>
              <w:snapToGrid w:val="0"/>
              <w:spacing w:line="240" w:lineRule="auto"/>
              <w:ind w:firstLine="0" w:firstLineChars="0"/>
              <w:jc w:val="center"/>
              <w:rPr>
                <w:bCs/>
                <w:color w:val="auto"/>
                <w:sz w:val="21"/>
                <w:szCs w:val="21"/>
              </w:rPr>
            </w:pPr>
            <w:r>
              <w:rPr>
                <w:bCs/>
                <w:color w:val="auto"/>
                <w:sz w:val="21"/>
                <w:szCs w:val="21"/>
              </w:rPr>
              <w:t>HW01</w:t>
            </w:r>
          </w:p>
        </w:tc>
        <w:tc>
          <w:tcPr>
            <w:tcW w:w="1196" w:type="dxa"/>
            <w:noWrap w:val="0"/>
            <w:vAlign w:val="center"/>
          </w:tcPr>
          <w:p>
            <w:pPr>
              <w:adjustRightInd w:val="0"/>
              <w:snapToGrid w:val="0"/>
              <w:spacing w:line="240" w:lineRule="auto"/>
              <w:ind w:firstLine="0" w:firstLineChars="0"/>
              <w:jc w:val="center"/>
              <w:rPr>
                <w:bCs/>
                <w:color w:val="auto"/>
                <w:sz w:val="21"/>
                <w:szCs w:val="21"/>
              </w:rPr>
            </w:pPr>
            <w:r>
              <w:rPr>
                <w:bCs/>
                <w:color w:val="auto"/>
                <w:sz w:val="21"/>
                <w:szCs w:val="21"/>
              </w:rPr>
              <w:t>900-001-01</w:t>
            </w:r>
          </w:p>
        </w:tc>
        <w:tc>
          <w:tcPr>
            <w:tcW w:w="870" w:type="dxa"/>
            <w:noWrap w:val="0"/>
            <w:vAlign w:val="center"/>
          </w:tcPr>
          <w:p>
            <w:pPr>
              <w:spacing w:line="240" w:lineRule="auto"/>
              <w:ind w:firstLine="0" w:firstLineChars="0"/>
              <w:jc w:val="center"/>
              <w:rPr>
                <w:rFonts w:hint="eastAsia"/>
                <w:bCs/>
                <w:color w:val="auto"/>
                <w:sz w:val="21"/>
                <w:szCs w:val="21"/>
              </w:rPr>
            </w:pPr>
            <w:bookmarkStart w:id="136" w:name="_Hlk51082599"/>
            <w:r>
              <w:rPr>
                <w:rFonts w:hint="eastAsia"/>
                <w:b w:val="0"/>
                <w:bCs w:val="0"/>
                <w:color w:val="auto"/>
                <w:sz w:val="21"/>
                <w:szCs w:val="21"/>
                <w:lang w:val="en-US" w:eastAsia="zh-CN"/>
              </w:rPr>
              <w:t>猪</w:t>
            </w:r>
            <w:r>
              <w:rPr>
                <w:rFonts w:hint="eastAsia"/>
                <w:b w:val="0"/>
                <w:bCs w:val="0"/>
                <w:color w:val="auto"/>
                <w:sz w:val="21"/>
                <w:szCs w:val="21"/>
              </w:rPr>
              <w:t>舍</w:t>
            </w:r>
            <w:r>
              <w:rPr>
                <w:rFonts w:hint="eastAsia"/>
                <w:bCs/>
                <w:color w:val="auto"/>
                <w:sz w:val="21"/>
                <w:szCs w:val="21"/>
              </w:rPr>
              <w:t>旁</w:t>
            </w:r>
            <w:bookmarkEnd w:id="136"/>
          </w:p>
        </w:tc>
        <w:tc>
          <w:tcPr>
            <w:tcW w:w="870" w:type="dxa"/>
            <w:noWrap w:val="0"/>
            <w:vAlign w:val="center"/>
          </w:tcPr>
          <w:p>
            <w:pPr>
              <w:spacing w:line="240" w:lineRule="auto"/>
              <w:ind w:firstLine="0" w:firstLineChars="0"/>
              <w:jc w:val="center"/>
              <w:rPr>
                <w:bCs/>
                <w:color w:val="auto"/>
                <w:sz w:val="21"/>
                <w:szCs w:val="21"/>
              </w:rPr>
            </w:pPr>
            <w:r>
              <w:rPr>
                <w:bCs/>
                <w:color w:val="auto"/>
                <w:sz w:val="21"/>
                <w:szCs w:val="21"/>
              </w:rPr>
              <w:t>5m</w:t>
            </w:r>
            <w:r>
              <w:rPr>
                <w:bCs/>
                <w:color w:val="auto"/>
                <w:sz w:val="21"/>
                <w:szCs w:val="21"/>
                <w:vertAlign w:val="superscript"/>
              </w:rPr>
              <w:t>2</w:t>
            </w:r>
          </w:p>
        </w:tc>
        <w:tc>
          <w:tcPr>
            <w:tcW w:w="870" w:type="dxa"/>
            <w:noWrap w:val="0"/>
            <w:vAlign w:val="center"/>
          </w:tcPr>
          <w:p>
            <w:pPr>
              <w:spacing w:line="240" w:lineRule="auto"/>
              <w:ind w:firstLine="0" w:firstLineChars="0"/>
              <w:jc w:val="center"/>
              <w:rPr>
                <w:bCs/>
                <w:color w:val="auto"/>
                <w:sz w:val="21"/>
                <w:szCs w:val="21"/>
              </w:rPr>
            </w:pPr>
            <w:r>
              <w:rPr>
                <w:bCs/>
                <w:color w:val="auto"/>
                <w:sz w:val="21"/>
                <w:szCs w:val="21"/>
              </w:rPr>
              <w:t>桶装</w:t>
            </w:r>
          </w:p>
        </w:tc>
        <w:tc>
          <w:tcPr>
            <w:tcW w:w="870" w:type="dxa"/>
            <w:noWrap w:val="0"/>
            <w:vAlign w:val="center"/>
          </w:tcPr>
          <w:p>
            <w:pPr>
              <w:spacing w:line="240" w:lineRule="auto"/>
              <w:ind w:firstLine="0" w:firstLineChars="0"/>
              <w:jc w:val="center"/>
              <w:rPr>
                <w:bCs/>
                <w:color w:val="auto"/>
                <w:sz w:val="21"/>
                <w:szCs w:val="21"/>
              </w:rPr>
            </w:pPr>
            <w:r>
              <w:rPr>
                <w:rFonts w:hint="eastAsia"/>
                <w:bCs/>
                <w:color w:val="auto"/>
                <w:sz w:val="21"/>
                <w:szCs w:val="21"/>
                <w:lang w:val="en-US" w:eastAsia="zh-CN"/>
              </w:rPr>
              <w:t>1</w:t>
            </w:r>
            <w:r>
              <w:rPr>
                <w:bCs/>
                <w:color w:val="auto"/>
                <w:sz w:val="21"/>
                <w:szCs w:val="21"/>
              </w:rPr>
              <w:t>t</w:t>
            </w:r>
          </w:p>
        </w:tc>
        <w:tc>
          <w:tcPr>
            <w:tcW w:w="870" w:type="dxa"/>
            <w:noWrap w:val="0"/>
            <w:vAlign w:val="center"/>
          </w:tcPr>
          <w:p>
            <w:pPr>
              <w:spacing w:line="240" w:lineRule="auto"/>
              <w:ind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半年</w:t>
            </w:r>
          </w:p>
        </w:tc>
      </w:tr>
    </w:tbl>
    <w:p>
      <w:pPr>
        <w:pStyle w:val="265"/>
        <w:keepNext w:val="0"/>
        <w:keepLines w:val="0"/>
        <w:pageBreakBefore w:val="0"/>
        <w:widowControl w:val="0"/>
        <w:kinsoku/>
        <w:wordWrap/>
        <w:overflowPunct/>
        <w:topLinePunct w:val="0"/>
        <w:autoSpaceDE/>
        <w:autoSpaceDN/>
        <w:bidi w:val="0"/>
        <w:adjustRightInd/>
        <w:snapToGrid/>
        <w:jc w:val="both"/>
        <w:textAlignment w:val="auto"/>
        <w:outlineLvl w:val="9"/>
        <w:rPr>
          <w:rFonts w:hint="default"/>
          <w:b/>
          <w:bCs/>
          <w:color w:val="auto"/>
          <w:lang w:val="en-US" w:eastAsia="zh-CN"/>
        </w:rPr>
      </w:pPr>
      <w:r>
        <w:rPr>
          <w:rFonts w:hint="eastAsia"/>
          <w:b/>
          <w:bCs/>
          <w:color w:val="auto"/>
          <w:lang w:val="en-US" w:eastAsia="zh-CN"/>
        </w:rPr>
        <w:t>8</w:t>
      </w:r>
      <w:r>
        <w:rPr>
          <w:rFonts w:hint="default"/>
          <w:b/>
          <w:bCs/>
          <w:color w:val="auto"/>
          <w:lang w:val="en-US" w:eastAsia="zh-CN"/>
        </w:rPr>
        <w:t>、厂区固废暂存管理措施</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为了防止固体废物对区域环境产生不利影响，评价要求企业应对固体废物处置采用综合利用，充分回收，最大限度地合理使用资源，尽可能减少固废废物的最终产生量，并对固体废物进行安全、合理、卫生地处理和处置。针对固废的暂存与管理，评价提出如下要求：</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（1）生活垃圾的暂存与管理</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首先，厂区内在办公室、车间道路旁等人员活动区设置生活垃圾桶，用于临时收集人员产生的生活垃圾并委托环卫部门清运。</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（2）一般工业固废的暂存与管理</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建设单位生产过程中产生的一般工业固废，分门别类地收集储存于不同的隔离区内，并按《环境保护图形标志—固体废物贮存（处置）场》（GB15562.2-1995）相关要求设置相应的固废警示标志。</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w:t>
      </w:r>
      <w:r>
        <w:rPr>
          <w:rFonts w:hint="eastAsia"/>
          <w:color w:val="auto"/>
          <w:sz w:val="24"/>
          <w:lang w:val="en-US" w:eastAsia="zh-CN"/>
        </w:rPr>
        <w:t>3</w:t>
      </w:r>
      <w:r>
        <w:rPr>
          <w:rFonts w:hint="default"/>
          <w:color w:val="auto"/>
          <w:sz w:val="24"/>
          <w:lang w:val="en-US" w:eastAsia="zh-CN"/>
        </w:rPr>
        <w:t>）危险废物的暂存与管理</w:t>
      </w:r>
    </w:p>
    <w:p>
      <w:pPr>
        <w:topLinePunct/>
        <w:spacing w:line="360" w:lineRule="auto"/>
        <w:ind w:firstLine="480" w:firstLineChars="200"/>
        <w:rPr>
          <w:rFonts w:hint="default"/>
          <w:color w:val="auto"/>
          <w:sz w:val="24"/>
          <w:lang w:val="en-US" w:eastAsia="zh-CN"/>
        </w:rPr>
      </w:pPr>
      <w:r>
        <w:rPr>
          <w:rFonts w:hint="default"/>
          <w:color w:val="auto"/>
          <w:sz w:val="24"/>
          <w:lang w:val="en-US" w:eastAsia="zh-CN"/>
        </w:rPr>
        <w:t>针对危险废物厂区暂存间的暂存及管理措施，评价如下措施：</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color w:val="auto"/>
          <w:sz w:val="24"/>
          <w:lang w:val="en-US" w:eastAsia="zh-CN"/>
        </w:rPr>
      </w:pPr>
      <w:r>
        <w:rPr>
          <w:rFonts w:hint="default"/>
          <w:color w:val="auto"/>
          <w:sz w:val="24"/>
          <w:lang w:val="en-US" w:eastAsia="zh-CN"/>
        </w:rPr>
        <w:t>企业应设置专门人员负责危险废物暂存管理，进行分类堆放，在运输过程中，确保不撒漏、不混放。</w:t>
      </w:r>
      <w:r>
        <w:rPr>
          <w:rFonts w:hint="eastAsia"/>
          <w:color w:val="auto"/>
        </w:rPr>
        <w:t>项目产生的危险废物存放处置按照《医疗废物分类目录》、《医疗废物管理条例》、《医疗卫生机构医疗废物管理办法》、《危险废物贮存污染控制标准》（GB18597-2001/XG1-2013）严格执行，严禁将危险废物随意露天堆放</w:t>
      </w:r>
      <w:r>
        <w:rPr>
          <w:rFonts w:hint="default"/>
          <w:color w:val="auto"/>
          <w:sz w:val="24"/>
          <w:lang w:val="en-US" w:eastAsia="zh-CN"/>
        </w:rPr>
        <w:t>；并加强固体废弃物的分类存放管理，确保各类固废分类存放于固废暂存间内，不散乱堆放。建立危险废物产生、外运、处置及最终去向的详细台账，并按照《危险废物转移联单管理办法》的要求做好危险废物转移联单填报登记工作。</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color w:val="auto"/>
          <w:sz w:val="24"/>
          <w:lang w:val="en-US" w:eastAsia="zh-CN"/>
        </w:rPr>
      </w:pPr>
      <w:r>
        <w:rPr>
          <w:rFonts w:hint="default"/>
          <w:color w:val="auto"/>
          <w:sz w:val="24"/>
          <w:lang w:val="en-US" w:eastAsia="zh-CN"/>
        </w:rPr>
        <w:t>按《环境保护图形标志——固体废物贮存（处置）场》（GB15562.2-1995）和《危险废物标志牌式样》有关要求对危废暂存间设置警示标志牌，并对废物暂存区的地面作</w:t>
      </w:r>
      <w:r>
        <w:rPr>
          <w:rFonts w:hint="eastAsia"/>
          <w:color w:val="auto"/>
          <w:sz w:val="24"/>
          <w:lang w:val="en-US" w:eastAsia="zh-CN"/>
        </w:rPr>
        <w:t>“</w:t>
      </w:r>
      <w:r>
        <w:rPr>
          <w:rFonts w:hint="default"/>
          <w:color w:val="auto"/>
          <w:sz w:val="24"/>
          <w:lang w:val="en-US" w:eastAsia="zh-CN"/>
        </w:rPr>
        <w:t>四防（防雨、防渗、防风和防晒）</w:t>
      </w:r>
      <w:r>
        <w:rPr>
          <w:rFonts w:hint="eastAsia"/>
          <w:color w:val="auto"/>
          <w:sz w:val="24"/>
          <w:lang w:val="en-US" w:eastAsia="zh-CN"/>
        </w:rPr>
        <w:t>”</w:t>
      </w:r>
      <w:r>
        <w:rPr>
          <w:rFonts w:hint="default"/>
          <w:color w:val="auto"/>
          <w:sz w:val="24"/>
          <w:lang w:val="en-US" w:eastAsia="zh-CN"/>
        </w:rPr>
        <w:t>处理，铺设防渗层，加强防渗、防漏及防溢流措施。</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color w:val="auto"/>
          <w:sz w:val="24"/>
          <w:lang w:val="en-US" w:eastAsia="zh-CN"/>
        </w:rPr>
      </w:pPr>
      <w:r>
        <w:rPr>
          <w:rFonts w:hint="default"/>
          <w:color w:val="auto"/>
          <w:sz w:val="24"/>
          <w:lang w:val="en-US" w:eastAsia="zh-CN"/>
        </w:rPr>
        <w:t>对危险固体废弃物应严格按照《危险废弃物管理规定》清理、转运、处置，不得泄露至外界造成污染，危险废物厂区暂存时间不得超过一年。废弃物转运时，运输车辆需密闭，严禁泄露。</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color w:val="auto"/>
          <w:sz w:val="24"/>
          <w:lang w:val="en-US" w:eastAsia="zh-CN"/>
        </w:rPr>
      </w:pPr>
      <w:r>
        <w:rPr>
          <w:rFonts w:hint="default"/>
          <w:color w:val="auto"/>
          <w:sz w:val="24"/>
          <w:lang w:val="en-US" w:eastAsia="zh-CN"/>
        </w:rPr>
        <w:t>建设单位必须定期对所贮存的危险废物包装容器及贮存设施进行检查，发现破损，应及时采取措施清理更换，务必确保危废不外泄。</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color w:val="auto"/>
          <w:lang w:val="en-US" w:eastAsia="zh-CN"/>
        </w:rPr>
      </w:pPr>
      <w:r>
        <w:rPr>
          <w:rFonts w:hint="default"/>
          <w:color w:val="auto"/>
          <w:sz w:val="24"/>
          <w:lang w:val="en-US" w:eastAsia="zh-CN"/>
        </w:rPr>
        <w:t>出厂外委进行处理的危险废物，须由危废处理资质单位采用专用车辆运输，运输路线避免经过居民集中区和饮用水源保护区，运输途中防治扬尘、洒落和泄露造成严重污染。</w:t>
      </w:r>
    </w:p>
    <w:p>
      <w:pPr>
        <w:keepNext w:val="0"/>
        <w:keepLines w:val="0"/>
        <w:pageBreakBefore w:val="0"/>
        <w:widowControl w:val="0"/>
        <w:numPr>
          <w:ilvl w:val="0"/>
          <w:numId w:val="10"/>
        </w:numPr>
        <w:kinsoku/>
        <w:wordWrap/>
        <w:overflowPunct/>
        <w:topLinePunct/>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color w:val="auto"/>
          <w:lang w:val="en-US" w:eastAsia="zh-CN"/>
        </w:rPr>
      </w:pPr>
      <w:r>
        <w:rPr>
          <w:rFonts w:hint="default"/>
          <w:color w:val="auto"/>
          <w:sz w:val="24"/>
          <w:lang w:val="en-US" w:eastAsia="zh-CN"/>
        </w:rPr>
        <w:t>危险废物产生者和危险废物贮存设施经营者均须作好危险废物情况的记录，记录上必须注明危险废物的名称、来源、数量、特性和包装容器的类别、入库日期、存放库位、废物出库日期及接收单位名称，危险废物的记录和货单在危险废物回取后应继续保留3年。</w:t>
      </w:r>
    </w:p>
    <w:p>
      <w:pPr>
        <w:pStyle w:val="95"/>
        <w:rPr>
          <w:rFonts w:hint="default"/>
          <w:color w:val="auto"/>
          <w:lang w:val="en-US" w:eastAsia="zh-CN"/>
        </w:rPr>
      </w:pPr>
      <w:r>
        <w:rPr>
          <w:rFonts w:hint="default"/>
          <w:color w:val="auto"/>
          <w:lang w:val="en-US" w:eastAsia="zh-CN"/>
        </w:rPr>
        <w:t>根据《医疗废物管理条例》（国务院令第 380 号）、《医疗卫生机构医疗废物管理办法》（卫生部令第 36 号）、《医疗废物专用包装物、容器标准和警示标识规定》（环发〔2003〕188 号）等规范要求，环评要求：建设单位应设 1 间危废暂存间，医疗废物应严格按照《医疗废物分类目录》（卫医发〔2003〕287 号）要求，采用专用收集容器进行分类收集、贮存和管理，地面及 1m 高防渗墙裙应采用耐酸 HDPE 防渗膜进行防渗处理，危废暂存间需落实“防风、防雨、防晒、防渗漏”的“四防”措施，设置警示标识和防渗漏、防鼠、防蚊蝇、防蟑螂、防盗以及预防儿童接触等安全措施，并定期进行消毒和清洁。</w:t>
      </w:r>
    </w:p>
    <w:p>
      <w:pPr>
        <w:pStyle w:val="95"/>
        <w:rPr>
          <w:rFonts w:hint="default"/>
          <w:color w:val="auto"/>
          <w:lang w:val="en-US" w:eastAsia="zh-CN"/>
        </w:rPr>
      </w:pPr>
      <w:r>
        <w:rPr>
          <w:rFonts w:hint="default"/>
          <w:color w:val="auto"/>
          <w:lang w:val="en-US" w:eastAsia="zh-CN"/>
        </w:rPr>
        <w:t>A. 建设单位在危废暂存间设置和转运过程中，需严格按照下列要求进行：</w:t>
      </w:r>
    </w:p>
    <w:p>
      <w:pPr>
        <w:pStyle w:val="95"/>
        <w:rPr>
          <w:rFonts w:hint="default"/>
          <w:color w:val="auto"/>
          <w:lang w:val="en-US" w:eastAsia="zh-CN"/>
        </w:rPr>
      </w:pPr>
      <w:r>
        <w:rPr>
          <w:rFonts w:hint="default"/>
          <w:color w:val="auto"/>
          <w:lang w:val="en-US" w:eastAsia="zh-CN"/>
        </w:rPr>
        <w:t>a. 严格按照《危险废物贮存污染控制标准》(GB18597-2001)设计要求和《建设</w:t>
      </w:r>
    </w:p>
    <w:p>
      <w:pPr>
        <w:pStyle w:val="95"/>
        <w:ind w:left="0" w:leftChars="0" w:firstLine="0" w:firstLineChars="0"/>
        <w:rPr>
          <w:rFonts w:hint="default"/>
          <w:color w:val="auto"/>
          <w:lang w:val="en-US" w:eastAsia="zh-CN"/>
        </w:rPr>
      </w:pPr>
      <w:r>
        <w:rPr>
          <w:rFonts w:hint="default"/>
          <w:color w:val="auto"/>
          <w:lang w:val="en-US" w:eastAsia="zh-CN"/>
        </w:rPr>
        <w:t>项目危险废物环境影响评价指南》中相应要求，设防渗层，采取重点防渗进行“四防”</w:t>
      </w:r>
    </w:p>
    <w:p>
      <w:pPr>
        <w:pStyle w:val="95"/>
        <w:ind w:left="0" w:leftChars="0" w:firstLine="0" w:firstLineChars="0"/>
        <w:rPr>
          <w:rFonts w:hint="default"/>
          <w:color w:val="auto"/>
          <w:lang w:val="en-US" w:eastAsia="zh-CN"/>
        </w:rPr>
      </w:pPr>
      <w:r>
        <w:rPr>
          <w:rFonts w:hint="default"/>
          <w:color w:val="auto"/>
          <w:lang w:val="en-US" w:eastAsia="zh-CN"/>
        </w:rPr>
        <w:t>（防风、防雨、防晒、防渗漏）处理，确保防渗系数 K≤1×10</w:t>
      </w:r>
      <w:r>
        <w:rPr>
          <w:rFonts w:hint="default"/>
          <w:color w:val="auto"/>
          <w:vertAlign w:val="superscript"/>
          <w:lang w:val="en-US" w:eastAsia="zh-CN"/>
        </w:rPr>
        <w:t xml:space="preserve"> -10 </w:t>
      </w:r>
      <w:r>
        <w:rPr>
          <w:rFonts w:hint="default"/>
          <w:color w:val="auto"/>
          <w:lang w:val="en-US" w:eastAsia="zh-CN"/>
        </w:rPr>
        <w:t>cm/s，并严格做好“四</w:t>
      </w:r>
    </w:p>
    <w:p>
      <w:pPr>
        <w:pStyle w:val="95"/>
        <w:ind w:left="0" w:leftChars="0" w:firstLine="0" w:firstLineChars="0"/>
        <w:rPr>
          <w:rFonts w:hint="default"/>
          <w:color w:val="auto"/>
          <w:lang w:val="en-US" w:eastAsia="zh-CN"/>
        </w:rPr>
      </w:pPr>
      <w:r>
        <w:rPr>
          <w:rFonts w:hint="default"/>
          <w:color w:val="auto"/>
          <w:lang w:val="en-US" w:eastAsia="zh-CN"/>
        </w:rPr>
        <w:t>防”（防风、防雨、防晒、防渗漏）措施，防止造成地下水污染。</w:t>
      </w:r>
    </w:p>
    <w:p>
      <w:pPr>
        <w:pStyle w:val="95"/>
        <w:rPr>
          <w:rFonts w:hint="default"/>
          <w:color w:val="auto"/>
          <w:lang w:val="en-US" w:eastAsia="zh-CN"/>
        </w:rPr>
      </w:pPr>
      <w:r>
        <w:rPr>
          <w:rFonts w:hint="default"/>
          <w:color w:val="auto"/>
          <w:lang w:val="en-US" w:eastAsia="zh-CN"/>
        </w:rPr>
        <w:t>b. 危险废物的收集必须按照相关规定进行，禁止在非贮存地点（容器）倾倒、</w:t>
      </w:r>
    </w:p>
    <w:p>
      <w:pPr>
        <w:pStyle w:val="95"/>
        <w:ind w:left="0" w:leftChars="0" w:firstLine="0" w:firstLineChars="0"/>
        <w:rPr>
          <w:rFonts w:hint="default"/>
          <w:color w:val="auto"/>
          <w:lang w:val="en-US" w:eastAsia="zh-CN"/>
        </w:rPr>
      </w:pPr>
      <w:r>
        <w:rPr>
          <w:rFonts w:hint="default"/>
          <w:color w:val="auto"/>
          <w:lang w:val="en-US" w:eastAsia="zh-CN"/>
        </w:rPr>
        <w:t>堆放危险废物或者将危险废物混入其他一般废物和生活垃圾，各废物贮存需按照国</w:t>
      </w:r>
    </w:p>
    <w:p>
      <w:pPr>
        <w:pStyle w:val="95"/>
        <w:ind w:left="0" w:leftChars="0" w:firstLine="0" w:firstLineChars="0"/>
        <w:rPr>
          <w:rFonts w:hint="default"/>
          <w:color w:val="auto"/>
          <w:lang w:val="en-US" w:eastAsia="zh-CN"/>
        </w:rPr>
      </w:pPr>
      <w:r>
        <w:rPr>
          <w:rFonts w:hint="default"/>
          <w:color w:val="auto"/>
          <w:lang w:val="en-US" w:eastAsia="zh-CN"/>
        </w:rPr>
        <w:t>家相应要求处置，贮存场所按照《环境保护图形标志——固体废物贮存（处置）场》</w:t>
      </w:r>
    </w:p>
    <w:p>
      <w:pPr>
        <w:pStyle w:val="95"/>
        <w:ind w:left="0" w:leftChars="0" w:firstLine="0" w:firstLineChars="0"/>
        <w:rPr>
          <w:rFonts w:hint="default"/>
          <w:color w:val="auto"/>
          <w:lang w:val="en-US" w:eastAsia="zh-CN"/>
        </w:rPr>
      </w:pPr>
      <w:r>
        <w:rPr>
          <w:rFonts w:hint="default"/>
          <w:color w:val="auto"/>
          <w:lang w:val="en-US" w:eastAsia="zh-CN"/>
        </w:rPr>
        <w:t>(GB15562.2-1995)设置警示标识。</w:t>
      </w:r>
    </w:p>
    <w:p>
      <w:pPr>
        <w:pStyle w:val="95"/>
        <w:rPr>
          <w:rFonts w:hint="default"/>
          <w:color w:val="auto"/>
          <w:lang w:val="en-US" w:eastAsia="zh-CN"/>
        </w:rPr>
      </w:pPr>
      <w:r>
        <w:rPr>
          <w:rFonts w:hint="default"/>
          <w:color w:val="auto"/>
          <w:lang w:val="en-US" w:eastAsia="zh-CN"/>
        </w:rPr>
        <w:t>c. 危险废物转运时必须安全转移，防止撒漏，且由具处理资质的单位接手。危</w:t>
      </w:r>
    </w:p>
    <w:p>
      <w:pPr>
        <w:pStyle w:val="95"/>
        <w:ind w:left="0" w:leftChars="0" w:firstLine="0" w:firstLineChars="0"/>
        <w:rPr>
          <w:rFonts w:hint="default"/>
          <w:color w:val="auto"/>
          <w:lang w:val="en-US" w:eastAsia="zh-CN"/>
        </w:rPr>
      </w:pPr>
      <w:r>
        <w:rPr>
          <w:rFonts w:hint="default"/>
          <w:color w:val="auto"/>
          <w:lang w:val="en-US" w:eastAsia="zh-CN"/>
        </w:rPr>
        <w:t>险废物的处置需严格按照《危险废物转移联单管理办法》规定办理危险废物转移手</w:t>
      </w:r>
    </w:p>
    <w:p>
      <w:pPr>
        <w:pStyle w:val="95"/>
        <w:ind w:left="0" w:leftChars="0" w:firstLine="0" w:firstLineChars="0"/>
        <w:rPr>
          <w:rFonts w:hint="default"/>
          <w:color w:val="auto"/>
          <w:lang w:val="en-US" w:eastAsia="zh-CN"/>
        </w:rPr>
      </w:pPr>
      <w:r>
        <w:rPr>
          <w:rFonts w:hint="default"/>
          <w:color w:val="auto"/>
          <w:lang w:val="en-US" w:eastAsia="zh-CN"/>
        </w:rPr>
        <w:t>续，并严格执行《危险废物转移联单管理办法》规定，防止二次污染。</w:t>
      </w:r>
    </w:p>
    <w:p>
      <w:pPr>
        <w:pStyle w:val="95"/>
        <w:rPr>
          <w:rFonts w:hint="default"/>
          <w:color w:val="auto"/>
          <w:lang w:val="en-US" w:eastAsia="zh-CN"/>
        </w:rPr>
      </w:pPr>
      <w:r>
        <w:rPr>
          <w:rFonts w:hint="default"/>
          <w:color w:val="auto"/>
          <w:lang w:val="en-US" w:eastAsia="zh-CN"/>
        </w:rPr>
        <w:t>B. 为防止医疗废物在场内临时存储过程中对环境产生污染影响，根据《危险废</w:t>
      </w:r>
    </w:p>
    <w:p>
      <w:pPr>
        <w:pStyle w:val="95"/>
        <w:ind w:left="0" w:leftChars="0" w:firstLine="0" w:firstLineChars="0"/>
        <w:rPr>
          <w:rFonts w:hint="default"/>
          <w:color w:val="auto"/>
          <w:lang w:val="en-US" w:eastAsia="zh-CN"/>
        </w:rPr>
      </w:pPr>
      <w:r>
        <w:rPr>
          <w:rFonts w:hint="default"/>
          <w:color w:val="auto"/>
          <w:lang w:val="en-US" w:eastAsia="zh-CN"/>
        </w:rPr>
        <w:t>物贮存污染控制标准》(GB18597-2001)中的相关内容，需采取以下措施：</w:t>
      </w:r>
    </w:p>
    <w:p>
      <w:pPr>
        <w:pStyle w:val="95"/>
        <w:rPr>
          <w:rFonts w:hint="default"/>
          <w:color w:val="auto"/>
          <w:lang w:val="en-US" w:eastAsia="zh-CN"/>
        </w:rPr>
      </w:pPr>
      <w:r>
        <w:rPr>
          <w:rFonts w:hint="default"/>
          <w:color w:val="auto"/>
          <w:lang w:val="en-US" w:eastAsia="zh-CN"/>
        </w:rPr>
        <w:t>a. 分类收集防疫废物：Ⅰ在盛装防疫废物前，应对防疫废物包装物或者容器进</w:t>
      </w:r>
    </w:p>
    <w:p>
      <w:pPr>
        <w:pStyle w:val="95"/>
        <w:ind w:left="0" w:leftChars="0" w:firstLine="0" w:firstLineChars="0"/>
        <w:rPr>
          <w:rFonts w:hint="default"/>
          <w:color w:val="auto"/>
          <w:lang w:val="en-US" w:eastAsia="zh-CN"/>
        </w:rPr>
      </w:pPr>
      <w:r>
        <w:rPr>
          <w:rFonts w:hint="default"/>
          <w:color w:val="auto"/>
          <w:lang w:val="en-US" w:eastAsia="zh-CN"/>
        </w:rPr>
        <w:t>行认真检查，确保无破损、渗漏和其它缺陷；Ⅱ感染性废物、损伤性废物、药物性</w:t>
      </w:r>
    </w:p>
    <w:p>
      <w:pPr>
        <w:pStyle w:val="95"/>
        <w:ind w:left="0" w:leftChars="0" w:firstLine="0" w:firstLineChars="0"/>
        <w:rPr>
          <w:rFonts w:hint="default"/>
          <w:color w:val="auto"/>
          <w:lang w:val="en-US" w:eastAsia="zh-CN"/>
        </w:rPr>
      </w:pPr>
      <w:r>
        <w:rPr>
          <w:rFonts w:hint="default"/>
          <w:color w:val="auto"/>
          <w:lang w:val="en-US" w:eastAsia="zh-CN"/>
        </w:rPr>
        <w:t>废物及化学性废物不能混合收集。少量的药物性废物可以混入感染性废物，但应当</w:t>
      </w:r>
    </w:p>
    <w:p>
      <w:pPr>
        <w:pStyle w:val="95"/>
        <w:ind w:left="0" w:leftChars="0" w:firstLine="0" w:firstLineChars="0"/>
        <w:rPr>
          <w:rFonts w:hint="default"/>
          <w:color w:val="auto"/>
          <w:lang w:val="en-US" w:eastAsia="zh-CN"/>
        </w:rPr>
      </w:pPr>
      <w:r>
        <w:rPr>
          <w:rFonts w:hint="default"/>
          <w:color w:val="auto"/>
          <w:lang w:val="en-US" w:eastAsia="zh-CN"/>
        </w:rPr>
        <w:t>在标签上注明；Ⅲ批量的含有汞的体温计等器具报废时，交由有资质的单位处置；</w:t>
      </w:r>
    </w:p>
    <w:p>
      <w:pPr>
        <w:pStyle w:val="95"/>
        <w:ind w:left="0" w:leftChars="0" w:firstLine="0" w:firstLineChars="0"/>
        <w:rPr>
          <w:rFonts w:hint="default"/>
          <w:color w:val="auto"/>
          <w:lang w:val="en-US" w:eastAsia="zh-CN"/>
        </w:rPr>
      </w:pPr>
      <w:r>
        <w:rPr>
          <w:rFonts w:hint="default"/>
          <w:color w:val="auto"/>
          <w:lang w:val="en-US" w:eastAsia="zh-CN"/>
        </w:rPr>
        <w:t>Ⅳ放入包装物或者容器内的感染性废物、损伤性废物不得取出。</w:t>
      </w:r>
    </w:p>
    <w:p>
      <w:pPr>
        <w:pStyle w:val="95"/>
        <w:rPr>
          <w:rFonts w:hint="default"/>
          <w:color w:val="auto"/>
          <w:lang w:val="en-US" w:eastAsia="zh-CN"/>
        </w:rPr>
      </w:pPr>
      <w:r>
        <w:rPr>
          <w:rFonts w:hint="default"/>
          <w:color w:val="auto"/>
          <w:lang w:val="en-US" w:eastAsia="zh-CN"/>
        </w:rPr>
        <w:t>b. 盛装的防疫废物达到包装物或者容器的 3/4 时，应当使用有效的封口方式，</w:t>
      </w:r>
    </w:p>
    <w:p>
      <w:pPr>
        <w:pStyle w:val="95"/>
        <w:ind w:left="0" w:leftChars="0" w:firstLine="0" w:firstLineChars="0"/>
        <w:rPr>
          <w:rFonts w:hint="default"/>
          <w:color w:val="auto"/>
          <w:lang w:val="en-US" w:eastAsia="zh-CN"/>
        </w:rPr>
      </w:pPr>
      <w:r>
        <w:rPr>
          <w:rFonts w:hint="default"/>
          <w:color w:val="auto"/>
          <w:lang w:val="en-US" w:eastAsia="zh-CN"/>
        </w:rPr>
        <w:t>使包装物或者容器的封口紧实、严密。</w:t>
      </w:r>
    </w:p>
    <w:p>
      <w:pPr>
        <w:pStyle w:val="95"/>
        <w:rPr>
          <w:rFonts w:hint="default"/>
          <w:color w:val="auto"/>
          <w:lang w:val="en-US" w:eastAsia="zh-CN"/>
        </w:rPr>
      </w:pPr>
      <w:r>
        <w:rPr>
          <w:rFonts w:hint="default"/>
          <w:color w:val="auto"/>
          <w:lang w:val="en-US" w:eastAsia="zh-CN"/>
        </w:rPr>
        <w:t>c. 包装物或者容器外表面被感染性废物污染时，应当对被污染处进行消毒处理</w:t>
      </w:r>
    </w:p>
    <w:p>
      <w:pPr>
        <w:pStyle w:val="95"/>
        <w:ind w:left="0" w:leftChars="0" w:firstLine="0" w:firstLineChars="0"/>
        <w:rPr>
          <w:rFonts w:hint="default"/>
          <w:color w:val="auto"/>
          <w:lang w:val="en-US" w:eastAsia="zh-CN"/>
        </w:rPr>
      </w:pPr>
      <w:r>
        <w:rPr>
          <w:rFonts w:hint="default"/>
          <w:color w:val="auto"/>
          <w:lang w:val="en-US" w:eastAsia="zh-CN"/>
        </w:rPr>
        <w:t>或者增加一层包装。</w:t>
      </w:r>
    </w:p>
    <w:p>
      <w:pPr>
        <w:pStyle w:val="95"/>
        <w:rPr>
          <w:rFonts w:hint="default"/>
          <w:color w:val="auto"/>
          <w:lang w:val="en-US" w:eastAsia="zh-CN"/>
        </w:rPr>
      </w:pPr>
      <w:r>
        <w:rPr>
          <w:rFonts w:hint="default"/>
          <w:color w:val="auto"/>
          <w:lang w:val="en-US" w:eastAsia="zh-CN"/>
        </w:rPr>
        <w:t>d. 盛装防疫废物的每个包装物、容器外表面应当有警示标识，在每个包装物、</w:t>
      </w:r>
    </w:p>
    <w:p>
      <w:pPr>
        <w:pStyle w:val="95"/>
        <w:ind w:left="0" w:leftChars="0" w:firstLine="0" w:firstLineChars="0"/>
        <w:rPr>
          <w:rFonts w:hint="default"/>
          <w:color w:val="auto"/>
          <w:lang w:val="en-US" w:eastAsia="zh-CN"/>
        </w:rPr>
      </w:pPr>
      <w:r>
        <w:rPr>
          <w:rFonts w:hint="default"/>
          <w:color w:val="auto"/>
          <w:lang w:val="en-US" w:eastAsia="zh-CN"/>
        </w:rPr>
        <w:t>容器上应当系中文标签。</w:t>
      </w:r>
    </w:p>
    <w:p>
      <w:pPr>
        <w:pStyle w:val="95"/>
        <w:ind w:left="0" w:leftChars="0" w:firstLine="0" w:firstLineChars="0"/>
        <w:rPr>
          <w:rFonts w:hint="eastAsia"/>
          <w:color w:val="auto"/>
          <w:lang w:val="en-US" w:eastAsia="zh-CN"/>
        </w:rPr>
      </w:pPr>
      <w:r>
        <w:rPr>
          <w:rFonts w:hint="eastAsia"/>
          <w:color w:val="auto"/>
          <w:lang w:val="en-US" w:eastAsia="zh-CN"/>
        </w:rPr>
        <w:t xml:space="preserve">    e.出厂外委进行处理的危险废物，须由危废处理资质单位采用专用车辆运输，运输路线避免经过居民集中区和饮用水源保护区，运输途中防治扬尘、洒落和泄露造成严重污染。</w:t>
      </w:r>
    </w:p>
    <w:p>
      <w:pPr>
        <w:pStyle w:val="95"/>
        <w:ind w:left="0" w:leftChars="0" w:firstLine="480" w:firstLineChars="200"/>
        <w:rPr>
          <w:rFonts w:hint="default"/>
          <w:color w:val="auto"/>
          <w:lang w:val="en-US" w:eastAsia="zh-CN"/>
        </w:rPr>
      </w:pPr>
      <w:r>
        <w:rPr>
          <w:rFonts w:hint="eastAsia"/>
          <w:color w:val="auto"/>
          <w:lang w:val="en-US" w:eastAsia="zh-CN"/>
        </w:rPr>
        <w:t>f.危险废物产生者和危险废物贮存设施经营者均须作好危险废物情况的记录，记录上必须注明危险废物的名称、来源、数量、特性和包装容器的类别、入库日期、存放库位、废物出库日期及接收单位名称，危险废物的记录和货单在危险废物回取后应继续保留3年。</w:t>
      </w:r>
    </w:p>
    <w:p>
      <w:pPr>
        <w:pStyle w:val="95"/>
        <w:rPr>
          <w:rFonts w:hint="default"/>
          <w:color w:val="auto"/>
          <w:lang w:val="en-US" w:eastAsia="zh-CN"/>
        </w:rPr>
      </w:pPr>
      <w:r>
        <w:rPr>
          <w:rFonts w:hint="default"/>
          <w:color w:val="auto"/>
          <w:lang w:val="en-US" w:eastAsia="zh-CN"/>
        </w:rPr>
        <w:t>C. 场区设 1 间防疫室，暂存防疫药品，应当达到以下要求：</w:t>
      </w:r>
    </w:p>
    <w:p>
      <w:pPr>
        <w:pStyle w:val="95"/>
        <w:rPr>
          <w:rFonts w:hint="default"/>
          <w:color w:val="auto"/>
          <w:lang w:val="en-US" w:eastAsia="zh-CN"/>
        </w:rPr>
      </w:pPr>
      <w:r>
        <w:rPr>
          <w:rFonts w:hint="default"/>
          <w:color w:val="auto"/>
          <w:lang w:val="en-US" w:eastAsia="zh-CN"/>
        </w:rPr>
        <w:t>a. 远离养殖区、人员活动区和生活垃圾存放场所，方便防疫废物运送人员及运送工具、车辆的出入；</w:t>
      </w:r>
    </w:p>
    <w:p>
      <w:pPr>
        <w:pStyle w:val="95"/>
        <w:rPr>
          <w:rFonts w:hint="default"/>
          <w:color w:val="auto"/>
          <w:lang w:val="en-US" w:eastAsia="zh-CN"/>
        </w:rPr>
      </w:pPr>
      <w:r>
        <w:rPr>
          <w:rFonts w:hint="default"/>
          <w:color w:val="auto"/>
          <w:lang w:val="en-US" w:eastAsia="zh-CN"/>
        </w:rPr>
        <w:t>b. 有严密的封闭措施，设专人管理，避免非工作人员进出，以及防鼠、防蚊蝇、</w:t>
      </w:r>
    </w:p>
    <w:p>
      <w:pPr>
        <w:pStyle w:val="95"/>
        <w:ind w:left="0" w:leftChars="0" w:firstLine="0" w:firstLineChars="0"/>
        <w:rPr>
          <w:rFonts w:hint="default"/>
          <w:color w:val="auto"/>
          <w:lang w:val="en-US" w:eastAsia="zh-CN"/>
        </w:rPr>
      </w:pPr>
      <w:r>
        <w:rPr>
          <w:rFonts w:hint="default"/>
          <w:color w:val="auto"/>
          <w:lang w:val="en-US" w:eastAsia="zh-CN"/>
        </w:rPr>
        <w:t>防蟑螂、防盗以及预防儿童接触等安全措施；</w:t>
      </w:r>
    </w:p>
    <w:p>
      <w:pPr>
        <w:pStyle w:val="95"/>
        <w:rPr>
          <w:rFonts w:hint="default"/>
          <w:color w:val="auto"/>
          <w:lang w:val="en-US" w:eastAsia="zh-CN"/>
        </w:rPr>
      </w:pPr>
      <w:r>
        <w:rPr>
          <w:rFonts w:hint="default"/>
          <w:color w:val="auto"/>
          <w:lang w:val="en-US" w:eastAsia="zh-CN"/>
        </w:rPr>
        <w:t>c. 必须与生活垃圾存放地分开，有防雨淋的装置，地基高度应确保设施内不受</w:t>
      </w:r>
    </w:p>
    <w:p>
      <w:pPr>
        <w:pStyle w:val="95"/>
        <w:ind w:left="0" w:leftChars="0" w:firstLine="0" w:firstLineChars="0"/>
        <w:rPr>
          <w:rFonts w:hint="default"/>
          <w:color w:val="auto"/>
          <w:lang w:val="en-US" w:eastAsia="zh-CN"/>
        </w:rPr>
      </w:pPr>
      <w:r>
        <w:rPr>
          <w:rFonts w:hint="default"/>
          <w:color w:val="auto"/>
          <w:lang w:val="en-US" w:eastAsia="zh-CN"/>
        </w:rPr>
        <w:t>雨洪冲击或浸泡；</w:t>
      </w:r>
    </w:p>
    <w:p>
      <w:pPr>
        <w:pStyle w:val="95"/>
        <w:rPr>
          <w:rFonts w:hint="default"/>
          <w:color w:val="auto"/>
          <w:lang w:val="en-US" w:eastAsia="zh-CN"/>
        </w:rPr>
      </w:pPr>
      <w:r>
        <w:rPr>
          <w:rFonts w:hint="default"/>
          <w:color w:val="auto"/>
          <w:lang w:val="en-US" w:eastAsia="zh-CN"/>
        </w:rPr>
        <w:t>d. 地面和1.0米高的墙裙须进行防渗处理，易于清洁和消毒；</w:t>
      </w:r>
    </w:p>
    <w:p>
      <w:pPr>
        <w:pStyle w:val="95"/>
        <w:rPr>
          <w:rFonts w:hint="default"/>
          <w:color w:val="auto"/>
          <w:lang w:val="en-US" w:eastAsia="zh-CN"/>
        </w:rPr>
      </w:pPr>
      <w:r>
        <w:rPr>
          <w:rFonts w:hint="default"/>
          <w:color w:val="auto"/>
          <w:lang w:val="en-US" w:eastAsia="zh-CN"/>
        </w:rPr>
        <w:t>e. 避免阳光直射，应有良好的照明设备和通风条件；</w:t>
      </w:r>
    </w:p>
    <w:p>
      <w:pPr>
        <w:pStyle w:val="95"/>
        <w:rPr>
          <w:rFonts w:hint="default"/>
          <w:color w:val="auto"/>
          <w:lang w:val="en-US" w:eastAsia="zh-CN"/>
        </w:rPr>
      </w:pPr>
      <w:r>
        <w:rPr>
          <w:rFonts w:hint="default"/>
          <w:color w:val="auto"/>
          <w:lang w:val="en-US" w:eastAsia="zh-CN"/>
        </w:rPr>
        <w:t>f. 在库房外的明显处同时设置危险废物和防疫废物的警示标识，库房内应张贴</w:t>
      </w:r>
    </w:p>
    <w:p>
      <w:pPr>
        <w:pStyle w:val="95"/>
        <w:ind w:left="0" w:leftChars="0" w:firstLine="0" w:firstLineChars="0"/>
        <w:rPr>
          <w:rFonts w:hint="default"/>
          <w:color w:val="auto"/>
          <w:lang w:val="en-US" w:eastAsia="zh-CN"/>
        </w:rPr>
      </w:pPr>
      <w:r>
        <w:rPr>
          <w:rFonts w:hint="default"/>
          <w:color w:val="auto"/>
          <w:lang w:val="en-US" w:eastAsia="zh-CN"/>
        </w:rPr>
        <w:t>“禁止吸烟、饮食”的警示标识。</w:t>
      </w:r>
    </w:p>
    <w:p>
      <w:pPr>
        <w:ind w:firstLine="480"/>
        <w:rPr>
          <w:color w:val="auto"/>
        </w:rPr>
      </w:pPr>
      <w:r>
        <w:rPr>
          <w:color w:val="auto"/>
        </w:rPr>
        <w:t>本项目固体废弃物产生和处置情况见表3.</w:t>
      </w:r>
      <w:r>
        <w:rPr>
          <w:rFonts w:hint="eastAsia"/>
          <w:color w:val="auto"/>
          <w:lang w:val="en-US" w:eastAsia="zh-CN"/>
        </w:rPr>
        <w:t>6</w:t>
      </w:r>
      <w:r>
        <w:rPr>
          <w:color w:val="auto"/>
        </w:rPr>
        <w:t>-</w:t>
      </w:r>
      <w:r>
        <w:rPr>
          <w:rFonts w:hint="eastAsia"/>
          <w:color w:val="auto"/>
        </w:rPr>
        <w:t>1</w:t>
      </w:r>
      <w:r>
        <w:rPr>
          <w:rFonts w:hint="eastAsia"/>
          <w:color w:val="auto"/>
          <w:lang w:val="en-US" w:eastAsia="zh-CN"/>
        </w:rPr>
        <w:t>8</w:t>
      </w:r>
      <w:r>
        <w:rPr>
          <w:color w:val="auto"/>
        </w:rPr>
        <w:t>。</w:t>
      </w:r>
    </w:p>
    <w:p>
      <w:pPr>
        <w:pStyle w:val="166"/>
        <w:spacing w:before="120" w:beforeLines="0"/>
        <w:rPr>
          <w:color w:val="auto"/>
        </w:rPr>
      </w:pPr>
      <w:r>
        <w:rPr>
          <w:color w:val="auto"/>
        </w:rPr>
        <w:t>表3.</w:t>
      </w:r>
      <w:r>
        <w:rPr>
          <w:rFonts w:hint="eastAsia"/>
          <w:color w:val="auto"/>
          <w:lang w:val="en-US" w:eastAsia="zh-CN"/>
        </w:rPr>
        <w:t>6</w:t>
      </w:r>
      <w:r>
        <w:rPr>
          <w:color w:val="auto"/>
        </w:rPr>
        <w:t>-</w:t>
      </w:r>
      <w:r>
        <w:rPr>
          <w:rFonts w:hint="eastAsia"/>
          <w:color w:val="auto"/>
          <w:lang w:val="en-US" w:eastAsia="zh-CN"/>
        </w:rPr>
        <w:t xml:space="preserve">18 </w:t>
      </w:r>
      <w:r>
        <w:rPr>
          <w:color w:val="auto"/>
        </w:rPr>
        <w:t>固废产生及处置情况一览表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83"/>
        <w:gridCol w:w="1269"/>
        <w:gridCol w:w="1417"/>
        <w:gridCol w:w="1275"/>
        <w:gridCol w:w="1494"/>
        <w:gridCol w:w="286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spacing w:line="240" w:lineRule="auto"/>
              <w:rPr>
                <w:b/>
                <w:color w:val="auto"/>
                <w:sz w:val="21"/>
                <w:szCs w:val="21"/>
              </w:rPr>
            </w:pPr>
            <w:r>
              <w:rPr>
                <w:b/>
                <w:color w:val="auto"/>
                <w:sz w:val="21"/>
                <w:szCs w:val="21"/>
              </w:rPr>
              <w:t>序号</w:t>
            </w:r>
          </w:p>
        </w:tc>
        <w:tc>
          <w:tcPr>
            <w:tcW w:w="1269" w:type="dxa"/>
            <w:noWrap w:val="0"/>
            <w:vAlign w:val="center"/>
          </w:tcPr>
          <w:p>
            <w:pPr>
              <w:pStyle w:val="110"/>
              <w:spacing w:line="240" w:lineRule="auto"/>
              <w:rPr>
                <w:b/>
                <w:color w:val="auto"/>
                <w:sz w:val="21"/>
                <w:szCs w:val="21"/>
              </w:rPr>
            </w:pPr>
            <w:r>
              <w:rPr>
                <w:b/>
                <w:color w:val="auto"/>
                <w:sz w:val="21"/>
                <w:szCs w:val="21"/>
              </w:rPr>
              <w:t>固废名称</w:t>
            </w:r>
          </w:p>
        </w:tc>
        <w:tc>
          <w:tcPr>
            <w:tcW w:w="1417" w:type="dxa"/>
            <w:noWrap w:val="0"/>
            <w:vAlign w:val="center"/>
          </w:tcPr>
          <w:p>
            <w:pPr>
              <w:pStyle w:val="110"/>
              <w:spacing w:line="240" w:lineRule="auto"/>
              <w:rPr>
                <w:b/>
                <w:color w:val="auto"/>
                <w:sz w:val="21"/>
                <w:szCs w:val="21"/>
              </w:rPr>
            </w:pPr>
            <w:r>
              <w:rPr>
                <w:b/>
                <w:color w:val="auto"/>
                <w:sz w:val="21"/>
                <w:szCs w:val="21"/>
              </w:rPr>
              <w:t>产生量（t/a）</w:t>
            </w:r>
          </w:p>
        </w:tc>
        <w:tc>
          <w:tcPr>
            <w:tcW w:w="1275" w:type="dxa"/>
            <w:noWrap w:val="0"/>
            <w:vAlign w:val="center"/>
          </w:tcPr>
          <w:p>
            <w:pPr>
              <w:pStyle w:val="110"/>
              <w:spacing w:line="240" w:lineRule="auto"/>
              <w:rPr>
                <w:b/>
                <w:color w:val="auto"/>
                <w:sz w:val="21"/>
                <w:szCs w:val="21"/>
              </w:rPr>
            </w:pPr>
            <w:r>
              <w:rPr>
                <w:rFonts w:hint="eastAsia"/>
                <w:b/>
                <w:color w:val="auto"/>
                <w:sz w:val="21"/>
                <w:szCs w:val="21"/>
              </w:rPr>
              <w:t>产生工序</w:t>
            </w:r>
          </w:p>
        </w:tc>
        <w:tc>
          <w:tcPr>
            <w:tcW w:w="1494" w:type="dxa"/>
            <w:noWrap w:val="0"/>
            <w:vAlign w:val="center"/>
          </w:tcPr>
          <w:p>
            <w:pPr>
              <w:pStyle w:val="110"/>
              <w:spacing w:line="240" w:lineRule="auto"/>
              <w:rPr>
                <w:b/>
                <w:color w:val="auto"/>
                <w:sz w:val="21"/>
                <w:szCs w:val="21"/>
              </w:rPr>
            </w:pPr>
            <w:r>
              <w:rPr>
                <w:b/>
                <w:color w:val="auto"/>
                <w:sz w:val="21"/>
                <w:szCs w:val="21"/>
              </w:rPr>
              <w:t>固废类别</w:t>
            </w:r>
          </w:p>
        </w:tc>
        <w:tc>
          <w:tcPr>
            <w:tcW w:w="2865" w:type="dxa"/>
            <w:noWrap w:val="0"/>
            <w:vAlign w:val="center"/>
          </w:tcPr>
          <w:p>
            <w:pPr>
              <w:pStyle w:val="110"/>
              <w:spacing w:line="240" w:lineRule="auto"/>
              <w:rPr>
                <w:b/>
                <w:color w:val="auto"/>
                <w:sz w:val="21"/>
                <w:szCs w:val="21"/>
              </w:rPr>
            </w:pPr>
            <w:r>
              <w:rPr>
                <w:b/>
                <w:color w:val="auto"/>
                <w:sz w:val="21"/>
                <w:szCs w:val="21"/>
              </w:rPr>
              <w:t>处置方式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rFonts w:hint="eastAsia"/>
                <w:color w:val="auto"/>
                <w:sz w:val="21"/>
                <w:szCs w:val="21"/>
                <w:lang w:val="zh-CN"/>
              </w:rPr>
              <w:t>猪粪污泥（沼渣）</w:t>
            </w:r>
          </w:p>
        </w:tc>
        <w:tc>
          <w:tcPr>
            <w:tcW w:w="1417" w:type="dxa"/>
            <w:noWrap w:val="0"/>
            <w:vAlign w:val="center"/>
          </w:tcPr>
          <w:p>
            <w:pPr>
              <w:pStyle w:val="110"/>
              <w:spacing w:line="240" w:lineRule="auto"/>
              <w:rPr>
                <w:color w:val="auto"/>
                <w:sz w:val="21"/>
                <w:szCs w:val="21"/>
              </w:rPr>
            </w:pPr>
            <w:r>
              <w:rPr>
                <w:rFonts w:hint="default"/>
                <w:b w:val="0"/>
                <w:bCs/>
                <w:color w:val="auto"/>
                <w:sz w:val="21"/>
                <w:szCs w:val="21"/>
                <w:lang w:val="zh-CN" w:eastAsia="zh-CN"/>
              </w:rPr>
              <w:t>2786.94</w:t>
            </w:r>
          </w:p>
        </w:tc>
        <w:tc>
          <w:tcPr>
            <w:tcW w:w="1275" w:type="dxa"/>
            <w:noWrap w:val="0"/>
            <w:vAlign w:val="center"/>
          </w:tcPr>
          <w:p>
            <w:pPr>
              <w:pStyle w:val="110"/>
              <w:spacing w:line="240" w:lineRule="auto"/>
              <w:rPr>
                <w:rFonts w:hint="eastAsia"/>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rFonts w:hint="eastAsia"/>
                <w:color w:val="auto"/>
                <w:sz w:val="21"/>
                <w:szCs w:val="21"/>
              </w:rPr>
              <w:t>干粪堆场临时堆存，定期运至专门的堆肥厂进行综合利用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病死猪</w:t>
            </w:r>
          </w:p>
        </w:tc>
        <w:tc>
          <w:tcPr>
            <w:tcW w:w="1417" w:type="dxa"/>
            <w:noWrap w:val="0"/>
            <w:vAlign w:val="center"/>
          </w:tcPr>
          <w:p>
            <w:pPr>
              <w:pStyle w:val="110"/>
              <w:spacing w:line="240" w:lineRule="auto"/>
              <w:rPr>
                <w:rFonts w:hint="eastAsia" w:eastAsia="宋体"/>
                <w:color w:val="auto"/>
                <w:sz w:val="21"/>
                <w:szCs w:val="21"/>
                <w:lang w:eastAsia="zh-CN"/>
              </w:rPr>
            </w:pPr>
            <w:r>
              <w:rPr>
                <w:rFonts w:hint="eastAsia"/>
                <w:color w:val="auto"/>
                <w:sz w:val="21"/>
                <w:szCs w:val="21"/>
                <w:lang w:val="en-US" w:eastAsia="zh-CN"/>
              </w:rPr>
              <w:t>7</w:t>
            </w:r>
          </w:p>
        </w:tc>
        <w:tc>
          <w:tcPr>
            <w:tcW w:w="1275" w:type="dxa"/>
            <w:noWrap w:val="0"/>
            <w:vAlign w:val="center"/>
          </w:tcPr>
          <w:p>
            <w:pPr>
              <w:pStyle w:val="110"/>
              <w:spacing w:line="240" w:lineRule="auto"/>
              <w:rPr>
                <w:color w:val="auto"/>
                <w:sz w:val="21"/>
                <w:szCs w:val="21"/>
              </w:rPr>
            </w:pPr>
            <w:r>
              <w:rPr>
                <w:rFonts w:hint="eastAsia"/>
                <w:color w:val="auto"/>
                <w:sz w:val="21"/>
                <w:szCs w:val="21"/>
              </w:rPr>
              <w:t>猪群的生长和生育</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rFonts w:hint="eastAsia"/>
                <w:color w:val="auto"/>
                <w:sz w:val="21"/>
                <w:szCs w:val="21"/>
              </w:rPr>
            </w:pPr>
            <w:r>
              <w:rPr>
                <w:rFonts w:hint="eastAsia"/>
                <w:color w:val="auto"/>
                <w:sz w:val="21"/>
                <w:szCs w:val="21"/>
              </w:rPr>
              <w:t>委托三台县盛德祥生物科技</w:t>
            </w:r>
          </w:p>
          <w:p>
            <w:pPr>
              <w:pStyle w:val="110"/>
              <w:spacing w:line="240" w:lineRule="auto"/>
              <w:rPr>
                <w:color w:val="auto"/>
                <w:sz w:val="21"/>
                <w:szCs w:val="21"/>
              </w:rPr>
            </w:pPr>
            <w:r>
              <w:rPr>
                <w:rFonts w:hint="eastAsia"/>
                <w:color w:val="auto"/>
                <w:sz w:val="21"/>
                <w:szCs w:val="21"/>
              </w:rPr>
              <w:t>有限公司处理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畜禽医疗废物</w:t>
            </w:r>
          </w:p>
        </w:tc>
        <w:tc>
          <w:tcPr>
            <w:tcW w:w="1417" w:type="dxa"/>
            <w:noWrap w:val="0"/>
            <w:vAlign w:val="center"/>
          </w:tcPr>
          <w:p>
            <w:pPr>
              <w:pStyle w:val="110"/>
              <w:spacing w:line="240" w:lineRule="auto"/>
              <w:rPr>
                <w:rFonts w:hint="eastAsia" w:eastAsia="宋体"/>
                <w:color w:val="auto"/>
                <w:sz w:val="21"/>
                <w:szCs w:val="21"/>
                <w:lang w:eastAsia="zh-CN"/>
              </w:rPr>
            </w:pPr>
            <w:r>
              <w:rPr>
                <w:rFonts w:hint="eastAsia"/>
                <w:color w:val="auto"/>
                <w:sz w:val="21"/>
                <w:szCs w:val="21"/>
              </w:rPr>
              <w:t>0</w:t>
            </w:r>
            <w:r>
              <w:rPr>
                <w:color w:val="auto"/>
                <w:sz w:val="21"/>
                <w:szCs w:val="21"/>
              </w:rPr>
              <w:t>.</w:t>
            </w:r>
            <w:r>
              <w:rPr>
                <w:rFonts w:hint="eastAsia"/>
                <w:color w:val="auto"/>
                <w:sz w:val="21"/>
                <w:szCs w:val="21"/>
                <w:lang w:val="en-US" w:eastAsia="zh-CN"/>
              </w:rPr>
              <w:t>2</w:t>
            </w:r>
          </w:p>
        </w:tc>
        <w:tc>
          <w:tcPr>
            <w:tcW w:w="1275" w:type="dxa"/>
            <w:noWrap w:val="0"/>
            <w:vAlign w:val="center"/>
          </w:tcPr>
          <w:p>
            <w:pPr>
              <w:pStyle w:val="110"/>
              <w:spacing w:line="240" w:lineRule="auto"/>
              <w:rPr>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危险废物HW01</w:t>
            </w:r>
          </w:p>
        </w:tc>
        <w:tc>
          <w:tcPr>
            <w:tcW w:w="2865" w:type="dxa"/>
            <w:noWrap w:val="0"/>
            <w:vAlign w:val="center"/>
          </w:tcPr>
          <w:p>
            <w:pPr>
              <w:pStyle w:val="110"/>
              <w:spacing w:line="240" w:lineRule="auto"/>
              <w:rPr>
                <w:color w:val="auto"/>
                <w:sz w:val="21"/>
                <w:szCs w:val="21"/>
              </w:rPr>
            </w:pPr>
            <w:r>
              <w:rPr>
                <w:color w:val="auto"/>
                <w:sz w:val="21"/>
                <w:szCs w:val="21"/>
              </w:rPr>
              <w:t>暂存于危险废物暂存间，交由危险废物处置单位进行处置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生活垃圾</w:t>
            </w:r>
          </w:p>
        </w:tc>
        <w:tc>
          <w:tcPr>
            <w:tcW w:w="1417" w:type="dxa"/>
            <w:noWrap w:val="0"/>
            <w:vAlign w:val="center"/>
          </w:tcPr>
          <w:p>
            <w:pPr>
              <w:pStyle w:val="110"/>
              <w:spacing w:line="240" w:lineRule="auto"/>
              <w:rPr>
                <w:color w:val="auto"/>
                <w:sz w:val="21"/>
                <w:szCs w:val="21"/>
              </w:rPr>
            </w:pPr>
            <w:r>
              <w:rPr>
                <w:rFonts w:hint="default" w:ascii="Times New Roman" w:hAnsi="Times New Roman" w:cs="Times New Roman"/>
                <w:color w:val="auto"/>
                <w:sz w:val="21"/>
                <w:szCs w:val="21"/>
              </w:rPr>
              <w:t>1.2775</w:t>
            </w:r>
          </w:p>
        </w:tc>
        <w:tc>
          <w:tcPr>
            <w:tcW w:w="1275" w:type="dxa"/>
            <w:noWrap w:val="0"/>
            <w:vAlign w:val="center"/>
          </w:tcPr>
          <w:p>
            <w:pPr>
              <w:pStyle w:val="110"/>
              <w:spacing w:line="240" w:lineRule="auto"/>
              <w:rPr>
                <w:color w:val="auto"/>
                <w:sz w:val="21"/>
                <w:szCs w:val="21"/>
              </w:rPr>
            </w:pPr>
            <w:r>
              <w:rPr>
                <w:rFonts w:hint="eastAsia"/>
                <w:color w:val="auto"/>
                <w:sz w:val="21"/>
                <w:szCs w:val="21"/>
              </w:rPr>
              <w:t>办公生活</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袋装收集后暂存于生活垃圾暂存间，由环卫部门统一清运处置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rFonts w:hint="eastAsia"/>
                <w:color w:val="auto"/>
                <w:sz w:val="21"/>
                <w:szCs w:val="21"/>
              </w:rPr>
              <w:t>餐厨垃圾</w:t>
            </w:r>
          </w:p>
        </w:tc>
        <w:tc>
          <w:tcPr>
            <w:tcW w:w="1417" w:type="dxa"/>
            <w:noWrap w:val="0"/>
            <w:vAlign w:val="center"/>
          </w:tcPr>
          <w:p>
            <w:pPr>
              <w:pStyle w:val="110"/>
              <w:spacing w:line="240" w:lineRule="auto"/>
              <w:rPr>
                <w:color w:val="auto"/>
                <w:sz w:val="21"/>
                <w:szCs w:val="21"/>
              </w:rPr>
            </w:pPr>
            <w:r>
              <w:rPr>
                <w:rFonts w:hint="eastAsia"/>
                <w:color w:val="auto"/>
                <w:sz w:val="21"/>
                <w:szCs w:val="21"/>
              </w:rPr>
              <w:t>0.2555</w:t>
            </w:r>
          </w:p>
        </w:tc>
        <w:tc>
          <w:tcPr>
            <w:tcW w:w="1275" w:type="dxa"/>
            <w:noWrap w:val="0"/>
            <w:vAlign w:val="center"/>
          </w:tcPr>
          <w:p>
            <w:pPr>
              <w:pStyle w:val="110"/>
              <w:spacing w:line="240" w:lineRule="auto"/>
              <w:rPr>
                <w:color w:val="auto"/>
                <w:sz w:val="21"/>
                <w:szCs w:val="21"/>
              </w:rPr>
            </w:pPr>
            <w:r>
              <w:rPr>
                <w:rFonts w:hint="eastAsia"/>
                <w:color w:val="auto"/>
                <w:sz w:val="21"/>
                <w:szCs w:val="21"/>
              </w:rPr>
              <w:t>厨房</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rFonts w:hint="eastAsia"/>
                <w:color w:val="auto"/>
                <w:sz w:val="21"/>
                <w:szCs w:val="21"/>
              </w:rPr>
              <w:t>委托餐厨垃圾收运单位收运、处理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color w:val="auto"/>
                <w:sz w:val="21"/>
                <w:szCs w:val="21"/>
              </w:rPr>
              <w:t>废脱硫剂</w:t>
            </w:r>
          </w:p>
        </w:tc>
        <w:tc>
          <w:tcPr>
            <w:tcW w:w="1417" w:type="dxa"/>
            <w:noWrap w:val="0"/>
            <w:vAlign w:val="center"/>
          </w:tcPr>
          <w:p>
            <w:pPr>
              <w:pStyle w:val="110"/>
              <w:spacing w:line="240" w:lineRule="auto"/>
              <w:rPr>
                <w:rFonts w:hint="default" w:eastAsia="宋体"/>
                <w:color w:val="auto"/>
                <w:sz w:val="21"/>
                <w:szCs w:val="21"/>
                <w:lang w:val="en-US" w:eastAsia="zh-CN"/>
              </w:rPr>
            </w:pPr>
            <w:r>
              <w:rPr>
                <w:rFonts w:hint="eastAsia"/>
                <w:color w:val="auto"/>
                <w:sz w:val="21"/>
                <w:szCs w:val="21"/>
                <w:lang w:val="en-US" w:eastAsia="zh-CN"/>
              </w:rPr>
              <w:t>1.5</w:t>
            </w:r>
          </w:p>
        </w:tc>
        <w:tc>
          <w:tcPr>
            <w:tcW w:w="1275" w:type="dxa"/>
            <w:noWrap w:val="0"/>
            <w:vAlign w:val="center"/>
          </w:tcPr>
          <w:p>
            <w:pPr>
              <w:pStyle w:val="110"/>
              <w:spacing w:line="240" w:lineRule="auto"/>
              <w:rPr>
                <w:rFonts w:hint="eastAsia"/>
                <w:color w:val="auto"/>
                <w:sz w:val="21"/>
                <w:szCs w:val="21"/>
              </w:rPr>
            </w:pPr>
            <w:r>
              <w:rPr>
                <w:color w:val="auto"/>
                <w:sz w:val="21"/>
                <w:szCs w:val="21"/>
              </w:rPr>
              <w:t>沼气净化</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集中收集后交由原厂家回收再生利用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color w:val="auto"/>
                <w:sz w:val="21"/>
                <w:szCs w:val="21"/>
              </w:rPr>
              <w:t xml:space="preserve">废包装材料 </w:t>
            </w:r>
          </w:p>
        </w:tc>
        <w:tc>
          <w:tcPr>
            <w:tcW w:w="1417" w:type="dxa"/>
            <w:noWrap w:val="0"/>
            <w:vAlign w:val="center"/>
          </w:tcPr>
          <w:p>
            <w:pPr>
              <w:pStyle w:val="110"/>
              <w:spacing w:line="240" w:lineRule="auto"/>
              <w:rPr>
                <w:color w:val="auto"/>
                <w:sz w:val="21"/>
                <w:szCs w:val="21"/>
              </w:rPr>
            </w:pPr>
            <w:r>
              <w:rPr>
                <w:rFonts w:hint="eastAsia"/>
                <w:color w:val="auto"/>
                <w:sz w:val="21"/>
                <w:szCs w:val="21"/>
                <w:lang w:val="en-US" w:eastAsia="zh-CN"/>
              </w:rPr>
              <w:t>1</w:t>
            </w:r>
            <w:r>
              <w:rPr>
                <w:color w:val="auto"/>
                <w:sz w:val="21"/>
                <w:szCs w:val="21"/>
              </w:rPr>
              <w:t>.0</w:t>
            </w:r>
          </w:p>
        </w:tc>
        <w:tc>
          <w:tcPr>
            <w:tcW w:w="1275" w:type="dxa"/>
            <w:noWrap w:val="0"/>
            <w:vAlign w:val="center"/>
          </w:tcPr>
          <w:p>
            <w:pPr>
              <w:pStyle w:val="110"/>
              <w:spacing w:line="240" w:lineRule="auto"/>
              <w:rPr>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统一收集后送至废品回收站收购</w:t>
            </w:r>
          </w:p>
        </w:tc>
      </w:tr>
    </w:tbl>
    <w:p>
      <w:pPr>
        <w:spacing w:before="120" w:beforeLines="50"/>
        <w:ind w:firstLine="480"/>
        <w:rPr>
          <w:color w:val="auto"/>
        </w:rPr>
      </w:pPr>
      <w:r>
        <w:rPr>
          <w:color w:val="auto"/>
        </w:rPr>
        <w:t>综上所述，本项目运营期产生的固体废弃物去向明确，处置措施合理可行，可有效防止固体废物的逸散和对环境的二次污染，不会对周围环境造成明显不利影响。</w:t>
      </w:r>
    </w:p>
    <w:bookmarkEnd w:id="135"/>
    <w:p>
      <w:pPr>
        <w:pStyle w:val="9"/>
        <w:numPr>
          <w:ilvl w:val="0"/>
          <w:numId w:val="0"/>
        </w:numPr>
        <w:spacing w:before="120" w:beforeLines="50"/>
        <w:ind w:leftChars="0"/>
        <w:rPr>
          <w:color w:val="auto"/>
        </w:rPr>
      </w:pPr>
      <w:r>
        <w:rPr>
          <w:rFonts w:hint="eastAsia"/>
          <w:color w:val="auto"/>
          <w:lang w:val="en-US" w:eastAsia="zh-CN"/>
        </w:rPr>
        <w:t>3.6.3.5</w:t>
      </w:r>
      <w:r>
        <w:rPr>
          <w:color w:val="auto"/>
        </w:rPr>
        <w:t>地下水保护及防渗措施</w:t>
      </w:r>
    </w:p>
    <w:p>
      <w:pPr>
        <w:numPr>
          <w:ilvl w:val="0"/>
          <w:numId w:val="12"/>
        </w:numPr>
        <w:ind w:firstLine="480"/>
        <w:rPr>
          <w:rFonts w:hint="eastAsia"/>
          <w:b/>
          <w:bCs/>
          <w:color w:val="auto"/>
          <w:lang w:val="en-US" w:eastAsia="zh-CN"/>
        </w:rPr>
      </w:pPr>
      <w:r>
        <w:rPr>
          <w:rFonts w:hint="eastAsia"/>
          <w:b/>
          <w:bCs/>
          <w:color w:val="auto"/>
          <w:lang w:val="en-US" w:eastAsia="zh-CN"/>
        </w:rPr>
        <w:t>地下水污染途径</w:t>
      </w:r>
    </w:p>
    <w:p>
      <w:pPr>
        <w:numPr>
          <w:ilvl w:val="0"/>
          <w:numId w:val="0"/>
        </w:numPr>
        <w:ind w:firstLine="480" w:firstLineChars="200"/>
        <w:rPr>
          <w:rFonts w:hint="eastAsia"/>
          <w:color w:val="auto"/>
        </w:rPr>
      </w:pPr>
      <w:r>
        <w:rPr>
          <w:rFonts w:hint="eastAsia"/>
          <w:color w:val="auto"/>
        </w:rPr>
        <w:t>营运期污染物进入地下水环境的途径主要是废水排放或物料泄漏等通过垂直渗</w:t>
      </w:r>
    </w:p>
    <w:p>
      <w:pPr>
        <w:numPr>
          <w:ilvl w:val="0"/>
          <w:numId w:val="0"/>
        </w:numPr>
        <w:rPr>
          <w:rFonts w:hint="eastAsia"/>
          <w:color w:val="auto"/>
        </w:rPr>
      </w:pPr>
      <w:r>
        <w:rPr>
          <w:rFonts w:hint="eastAsia"/>
          <w:color w:val="auto"/>
        </w:rPr>
        <w:t>透进入包气带，进入包气带的污染物在物理、化学和生物作用下经吸附、转化、迁</w:t>
      </w:r>
    </w:p>
    <w:p>
      <w:pPr>
        <w:numPr>
          <w:ilvl w:val="0"/>
          <w:numId w:val="0"/>
        </w:numPr>
        <w:rPr>
          <w:rFonts w:hint="eastAsia"/>
          <w:color w:val="auto"/>
        </w:rPr>
      </w:pPr>
      <w:r>
        <w:rPr>
          <w:rFonts w:hint="eastAsia"/>
          <w:color w:val="auto"/>
        </w:rPr>
        <w:t>移和分解后输入地下水。根据本项目特点，营运期因渗漏可能产生的污染地下水环</w:t>
      </w:r>
    </w:p>
    <w:p>
      <w:pPr>
        <w:numPr>
          <w:ilvl w:val="0"/>
          <w:numId w:val="0"/>
        </w:numPr>
        <w:rPr>
          <w:rFonts w:hint="eastAsia"/>
          <w:color w:val="auto"/>
        </w:rPr>
      </w:pPr>
      <w:r>
        <w:rPr>
          <w:rFonts w:hint="eastAsia"/>
          <w:color w:val="auto"/>
        </w:rPr>
        <w:t>节有：</w:t>
      </w:r>
    </w:p>
    <w:p>
      <w:pPr>
        <w:numPr>
          <w:ilvl w:val="0"/>
          <w:numId w:val="0"/>
        </w:numPr>
        <w:ind w:firstLine="480" w:firstLineChars="200"/>
        <w:rPr>
          <w:rFonts w:hint="eastAsia"/>
          <w:color w:val="auto"/>
        </w:rPr>
      </w:pPr>
      <w:r>
        <w:rPr>
          <w:rFonts w:hint="eastAsia"/>
          <w:color w:val="auto"/>
        </w:rPr>
        <w:t>①污水管网、污水处理站、</w:t>
      </w:r>
      <w:r>
        <w:rPr>
          <w:rFonts w:hint="eastAsia"/>
          <w:color w:val="auto"/>
          <w:lang w:val="en-US" w:eastAsia="zh-CN"/>
        </w:rPr>
        <w:t>干粪堆场</w:t>
      </w:r>
      <w:r>
        <w:rPr>
          <w:rFonts w:hint="eastAsia"/>
          <w:color w:val="auto"/>
        </w:rPr>
        <w:t>、危废暂存间、猪舍等区域发生“跑、冒、滴、漏”使污染物进入地下水环境。</w:t>
      </w:r>
    </w:p>
    <w:p>
      <w:pPr>
        <w:numPr>
          <w:ilvl w:val="0"/>
          <w:numId w:val="0"/>
        </w:numPr>
        <w:ind w:firstLine="480" w:firstLineChars="200"/>
        <w:rPr>
          <w:rFonts w:hint="eastAsia"/>
          <w:color w:val="auto"/>
        </w:rPr>
      </w:pPr>
      <w:r>
        <w:rPr>
          <w:rFonts w:hint="eastAsia"/>
          <w:color w:val="auto"/>
        </w:rPr>
        <w:t>②突发环境风险事故导致消毒剂（或药剂）、粪污外溢，进入地下水环境。</w:t>
      </w:r>
    </w:p>
    <w:p>
      <w:pPr>
        <w:numPr>
          <w:ilvl w:val="0"/>
          <w:numId w:val="0"/>
        </w:numPr>
        <w:ind w:firstLine="480" w:firstLineChars="200"/>
        <w:rPr>
          <w:rFonts w:hint="eastAsia"/>
          <w:color w:val="auto"/>
        </w:rPr>
      </w:pPr>
      <w:r>
        <w:rPr>
          <w:rFonts w:hint="eastAsia"/>
          <w:color w:val="auto"/>
        </w:rPr>
        <w:t>③项目排放的大气污染物在地表形成富集并随雨水入渗，污染地下水。</w:t>
      </w:r>
    </w:p>
    <w:p>
      <w:pPr>
        <w:numPr>
          <w:ilvl w:val="0"/>
          <w:numId w:val="0"/>
        </w:numPr>
        <w:ind w:firstLine="480" w:firstLineChars="200"/>
        <w:rPr>
          <w:color w:val="auto"/>
        </w:rPr>
      </w:pPr>
      <w:r>
        <w:rPr>
          <w:rFonts w:hint="eastAsia"/>
          <w:color w:val="auto"/>
        </w:rPr>
        <w:t>④废水回用存在不合理浇灌，造成浇灌水下渗或形成地表径流，进而污染地表水及地下水。</w:t>
      </w:r>
    </w:p>
    <w:p>
      <w:pPr>
        <w:numPr>
          <w:ilvl w:val="0"/>
          <w:numId w:val="12"/>
        </w:numPr>
        <w:ind w:left="0" w:leftChars="0" w:firstLine="482" w:firstLineChars="200"/>
        <w:rPr>
          <w:color w:val="auto"/>
        </w:rPr>
      </w:pPr>
      <w:r>
        <w:rPr>
          <w:rFonts w:hint="eastAsia"/>
          <w:b/>
          <w:bCs/>
          <w:color w:val="auto"/>
          <w:lang w:val="en-US" w:eastAsia="zh-CN"/>
        </w:rPr>
        <w:t>防治措施</w:t>
      </w:r>
    </w:p>
    <w:p>
      <w:pPr>
        <w:numPr>
          <w:ilvl w:val="0"/>
          <w:numId w:val="0"/>
        </w:numPr>
        <w:ind w:firstLine="480" w:firstLineChars="200"/>
        <w:rPr>
          <w:color w:val="auto"/>
        </w:rPr>
      </w:pPr>
      <w:r>
        <w:rPr>
          <w:color w:val="auto"/>
        </w:rPr>
        <w:t>本项目为养殖业，采用干清粪工艺，本评价依据《环境影响评价技术导则  地下水环境》（HJ610-2016）中</w:t>
      </w:r>
      <w:r>
        <w:rPr>
          <w:rFonts w:hint="eastAsia"/>
          <w:color w:val="auto"/>
        </w:rPr>
        <w:t>“</w:t>
      </w:r>
      <w:r>
        <w:rPr>
          <w:color w:val="auto"/>
        </w:rPr>
        <w:t>建设项目污染防控对策</w:t>
      </w:r>
      <w:r>
        <w:rPr>
          <w:rFonts w:hint="eastAsia"/>
          <w:color w:val="auto"/>
        </w:rPr>
        <w:t>”</w:t>
      </w:r>
      <w:r>
        <w:rPr>
          <w:color w:val="auto"/>
        </w:rPr>
        <w:t>的相关要求，针对本项目提出以下地下水保护措施：</w:t>
      </w:r>
    </w:p>
    <w:p>
      <w:pPr>
        <w:ind w:firstLine="482"/>
        <w:rPr>
          <w:b/>
          <w:color w:val="auto"/>
        </w:rPr>
      </w:pPr>
      <w:r>
        <w:rPr>
          <w:b/>
          <w:color w:val="auto"/>
        </w:rPr>
        <w:t>1</w:t>
      </w:r>
      <w:r>
        <w:rPr>
          <w:rFonts w:hint="eastAsia"/>
          <w:b/>
          <w:color w:val="auto"/>
          <w:lang w:eastAsia="zh-CN"/>
        </w:rPr>
        <w:t>）</w:t>
      </w:r>
      <w:r>
        <w:rPr>
          <w:b/>
          <w:color w:val="auto"/>
        </w:rPr>
        <w:t>、源头控制措施</w:t>
      </w:r>
    </w:p>
    <w:p>
      <w:pPr>
        <w:ind w:firstLine="480"/>
        <w:rPr>
          <w:rFonts w:hint="eastAsia"/>
          <w:color w:val="auto"/>
        </w:rPr>
      </w:pPr>
      <w:r>
        <w:rPr>
          <w:color w:val="auto"/>
        </w:rPr>
        <w:t>本</w:t>
      </w:r>
      <w:r>
        <w:rPr>
          <w:rFonts w:hint="eastAsia"/>
          <w:color w:val="auto"/>
        </w:rPr>
        <w:t>项目应根据国家现行相关规范加强环境管理，采取防止和降低污染物跑、冒、</w:t>
      </w:r>
    </w:p>
    <w:p>
      <w:pPr>
        <w:ind w:left="0" w:leftChars="0" w:firstLine="0" w:firstLineChars="0"/>
        <w:rPr>
          <w:color w:val="auto"/>
        </w:rPr>
      </w:pPr>
      <w:r>
        <w:rPr>
          <w:rFonts w:hint="eastAsia"/>
          <w:color w:val="auto"/>
        </w:rPr>
        <w:t>滴、漏的措施。正常运营过程中应加强控制，同时加强对防渗工程的检查，若发现防渗密封材料老化或损坏，应及时维修更换</w:t>
      </w:r>
      <w:r>
        <w:rPr>
          <w:color w:val="auto"/>
        </w:rPr>
        <w:t>。</w:t>
      </w:r>
    </w:p>
    <w:p>
      <w:pPr>
        <w:ind w:firstLine="482"/>
        <w:rPr>
          <w:b/>
          <w:color w:val="auto"/>
        </w:rPr>
      </w:pPr>
      <w:r>
        <w:rPr>
          <w:b/>
          <w:color w:val="auto"/>
        </w:rPr>
        <w:t>2</w:t>
      </w:r>
      <w:r>
        <w:rPr>
          <w:rFonts w:hint="eastAsia"/>
          <w:b/>
          <w:color w:val="auto"/>
          <w:lang w:eastAsia="zh-CN"/>
        </w:rPr>
        <w:t>）</w:t>
      </w:r>
      <w:r>
        <w:rPr>
          <w:b/>
          <w:color w:val="auto"/>
        </w:rPr>
        <w:t>、分区防</w:t>
      </w:r>
      <w:r>
        <w:rPr>
          <w:rFonts w:hint="eastAsia"/>
          <w:b/>
          <w:color w:val="auto"/>
        </w:rPr>
        <w:t>控</w:t>
      </w:r>
      <w:r>
        <w:rPr>
          <w:b/>
          <w:color w:val="auto"/>
        </w:rPr>
        <w:t>措施</w:t>
      </w:r>
    </w:p>
    <w:p>
      <w:pPr>
        <w:ind w:firstLine="480"/>
        <w:rPr>
          <w:color w:val="auto"/>
        </w:rPr>
      </w:pPr>
      <w:r>
        <w:rPr>
          <w:rFonts w:hint="eastAsia"/>
          <w:color w:val="auto"/>
        </w:rPr>
        <w:t>根据《环境影响评价技术导则 地下水环境》（HJ610-2016）防渗分区原则，将本项目分划为重点防渗区、一般防渗区和简单防渗区，划分区域如下：</w:t>
      </w:r>
    </w:p>
    <w:p>
      <w:pPr>
        <w:ind w:firstLine="480"/>
        <w:rPr>
          <w:rFonts w:hint="eastAsia"/>
          <w:color w:val="auto"/>
        </w:rPr>
      </w:pPr>
      <w:r>
        <w:rPr>
          <w:rFonts w:hint="eastAsia"/>
          <w:color w:val="auto"/>
        </w:rPr>
        <w:t>①重点防渗区：包括</w:t>
      </w:r>
      <w:r>
        <w:rPr>
          <w:rFonts w:hint="eastAsia"/>
          <w:color w:val="auto"/>
          <w:lang w:val="en-US" w:eastAsia="zh-CN"/>
        </w:rPr>
        <w:t>干粪堆场</w:t>
      </w:r>
      <w:r>
        <w:rPr>
          <w:rFonts w:hint="eastAsia"/>
          <w:color w:val="auto"/>
        </w:rPr>
        <w:t>、危废暂存间、污水处理系统</w:t>
      </w:r>
      <w:r>
        <w:rPr>
          <w:rFonts w:hint="eastAsia"/>
          <w:color w:val="auto"/>
          <w:lang w:eastAsia="zh-CN"/>
        </w:rPr>
        <w:t>（</w:t>
      </w:r>
      <w:r>
        <w:rPr>
          <w:rFonts w:hint="eastAsia"/>
          <w:color w:val="auto"/>
          <w:lang w:val="en-US" w:eastAsia="zh-CN"/>
        </w:rPr>
        <w:t>收集池、沼气池、沼液暂存池、田间暂存池、污水管</w:t>
      </w:r>
      <w:r>
        <w:rPr>
          <w:rFonts w:hint="eastAsia"/>
          <w:color w:val="auto"/>
          <w:lang w:eastAsia="zh-CN"/>
        </w:rPr>
        <w:t>）</w:t>
      </w:r>
      <w:r>
        <w:rPr>
          <w:rFonts w:hint="eastAsia"/>
          <w:color w:val="auto"/>
        </w:rPr>
        <w:t>、发电机房（含储油间）</w:t>
      </w:r>
      <w:r>
        <w:rPr>
          <w:rFonts w:hint="eastAsia"/>
          <w:color w:val="auto"/>
          <w:lang w:eastAsia="zh-CN"/>
        </w:rPr>
        <w:t>、防疫室</w:t>
      </w:r>
      <w:r>
        <w:rPr>
          <w:rFonts w:hint="eastAsia"/>
          <w:color w:val="auto"/>
        </w:rPr>
        <w:t>。</w:t>
      </w:r>
    </w:p>
    <w:p>
      <w:pPr>
        <w:ind w:firstLine="480"/>
        <w:rPr>
          <w:rFonts w:hint="eastAsia" w:eastAsia="宋体"/>
          <w:color w:val="auto"/>
          <w:lang w:eastAsia="zh-CN"/>
        </w:rPr>
      </w:pPr>
      <w:r>
        <w:rPr>
          <w:rFonts w:hint="eastAsia"/>
          <w:color w:val="auto"/>
          <w:lang w:eastAsia="zh-CN"/>
        </w:rPr>
        <w:t>危废暂存间：危废暂存间按照《危险废物贮存污染控制标准》（GB18597-2001）要求，确保等效黏土防渗层 Mb≥6.0m，防渗系数 K≤10</w:t>
      </w:r>
      <w:r>
        <w:rPr>
          <w:rFonts w:hint="eastAsia"/>
          <w:color w:val="auto"/>
          <w:vertAlign w:val="superscript"/>
          <w:lang w:eastAsia="zh-CN"/>
        </w:rPr>
        <w:t xml:space="preserve"> -10</w:t>
      </w:r>
      <w:r>
        <w:rPr>
          <w:rFonts w:hint="eastAsia"/>
          <w:color w:val="auto"/>
          <w:lang w:eastAsia="zh-CN"/>
        </w:rPr>
        <w:t xml:space="preserve"> cm/s，或参照 GB18597 执行；危废暂存间四周设1m高防渗墙裙，地面</w:t>
      </w:r>
      <w:r>
        <w:rPr>
          <w:rFonts w:hint="eastAsia"/>
          <w:color w:val="auto"/>
          <w:lang w:val="en-US" w:eastAsia="zh-CN"/>
        </w:rPr>
        <w:t>采取1</w:t>
      </w:r>
      <w:r>
        <w:rPr>
          <w:rFonts w:hint="eastAsia"/>
          <w:color w:val="auto"/>
          <w:lang w:eastAsia="zh-CN"/>
        </w:rPr>
        <w:t>00mm P8抗渗混凝土+2mm环氧树脂的方式；</w:t>
      </w:r>
    </w:p>
    <w:p>
      <w:pPr>
        <w:ind w:firstLine="480"/>
        <w:rPr>
          <w:rFonts w:hint="eastAsia"/>
          <w:color w:val="auto"/>
          <w:lang w:eastAsia="zh-CN"/>
        </w:rPr>
      </w:pPr>
      <w:r>
        <w:rPr>
          <w:rFonts w:hint="eastAsia"/>
          <w:color w:val="auto"/>
          <w:lang w:val="en-US" w:eastAsia="zh-CN"/>
        </w:rPr>
        <w:t>干粪堆场、</w:t>
      </w:r>
      <w:r>
        <w:rPr>
          <w:rFonts w:hint="eastAsia"/>
          <w:color w:val="auto"/>
        </w:rPr>
        <w:t>发电机房（含储油间）、防疫室</w:t>
      </w:r>
      <w:r>
        <w:rPr>
          <w:rFonts w:hint="eastAsia"/>
          <w:color w:val="auto"/>
          <w:lang w:eastAsia="zh-CN"/>
        </w:rPr>
        <w:t>、</w:t>
      </w:r>
      <w:r>
        <w:rPr>
          <w:rFonts w:hint="eastAsia"/>
          <w:color w:val="auto"/>
        </w:rPr>
        <w:t>污水处理系统（</w:t>
      </w:r>
      <w:r>
        <w:rPr>
          <w:rFonts w:hint="eastAsia"/>
          <w:color w:val="auto"/>
          <w:lang w:val="en-US" w:eastAsia="zh-CN"/>
        </w:rPr>
        <w:t>收集池、沼气池、沼液暂存池、田间暂存池、事故应急池、污水管</w:t>
      </w:r>
      <w:r>
        <w:rPr>
          <w:rFonts w:hint="eastAsia"/>
          <w:color w:val="auto"/>
        </w:rPr>
        <w:t>）</w:t>
      </w:r>
      <w:r>
        <w:rPr>
          <w:rFonts w:hint="eastAsia"/>
          <w:color w:val="auto"/>
          <w:lang w:eastAsia="zh-CN"/>
        </w:rPr>
        <w:t>：确保等效黏土防渗层 Mb≥6.0m，K≤10</w:t>
      </w:r>
      <w:r>
        <w:rPr>
          <w:rFonts w:hint="eastAsia"/>
          <w:color w:val="auto"/>
          <w:vertAlign w:val="superscript"/>
          <w:lang w:eastAsia="zh-CN"/>
        </w:rPr>
        <w:t xml:space="preserve"> -7</w:t>
      </w:r>
      <w:r>
        <w:rPr>
          <w:rFonts w:hint="eastAsia"/>
          <w:color w:val="auto"/>
          <w:lang w:eastAsia="zh-CN"/>
        </w:rPr>
        <w:t xml:space="preserve"> cm/s，</w:t>
      </w:r>
      <w:r>
        <w:rPr>
          <w:color w:val="auto"/>
        </w:rPr>
        <w:t>或参考</w:t>
      </w:r>
      <w:r>
        <w:rPr>
          <w:rFonts w:hint="eastAsia"/>
          <w:color w:val="auto"/>
        </w:rPr>
        <w:t>（GB18598）</w:t>
      </w:r>
      <w:r>
        <w:rPr>
          <w:rFonts w:hint="eastAsia"/>
          <w:color w:val="auto"/>
          <w:lang w:eastAsia="zh-CN"/>
        </w:rPr>
        <w:t>执行。</w:t>
      </w:r>
      <w:r>
        <w:rPr>
          <w:rFonts w:hint="eastAsia"/>
          <w:color w:val="auto"/>
          <w:lang w:val="en-US" w:eastAsia="zh-CN"/>
        </w:rPr>
        <w:t>可采取钢筋混凝土加防渗剂的防渗地坪+人工材料（HDPE）防渗层</w:t>
      </w:r>
      <w:r>
        <w:rPr>
          <w:rFonts w:hint="eastAsia"/>
          <w:color w:val="auto"/>
          <w:lang w:eastAsia="zh-CN"/>
        </w:rPr>
        <w:t>；管道材料应视输送介质的不同选择合适材质并做表面的防腐、防锈蚀处理，减轻管道腐蚀造成的渗漏，并进行定期检查，防止跑冒漏滴的现象发生。</w:t>
      </w:r>
    </w:p>
    <w:p>
      <w:pPr>
        <w:pStyle w:val="2"/>
        <w:spacing w:line="360" w:lineRule="auto"/>
        <w:ind w:firstLine="480" w:firstLineChars="200"/>
        <w:rPr>
          <w:rFonts w:hint="eastAsia"/>
          <w:color w:val="auto"/>
          <w:lang w:eastAsia="zh-CN"/>
        </w:rPr>
      </w:pPr>
      <w:r>
        <w:rPr>
          <w:rFonts w:hint="eastAsia"/>
          <w:color w:val="auto"/>
          <w:lang w:eastAsia="zh-CN"/>
        </w:rPr>
        <w:t>② 一般防渗区：</w:t>
      </w:r>
      <w:r>
        <w:rPr>
          <w:rFonts w:hint="eastAsia"/>
          <w:color w:val="auto"/>
          <w:lang w:val="en-US" w:eastAsia="zh-CN"/>
        </w:rPr>
        <w:t>包括猪舍、</w:t>
      </w:r>
      <w:r>
        <w:rPr>
          <w:rFonts w:hint="eastAsia"/>
          <w:color w:val="auto"/>
          <w:lang w:eastAsia="zh-CN"/>
        </w:rPr>
        <w:t xml:space="preserve">消毒区、卫生间等。等效粘土防渗层 Mb≧1.5m，渗透系数≤1.0×10 </w:t>
      </w:r>
      <w:r>
        <w:rPr>
          <w:rFonts w:hint="eastAsia"/>
          <w:color w:val="auto"/>
          <w:vertAlign w:val="superscript"/>
          <w:lang w:eastAsia="zh-CN"/>
        </w:rPr>
        <w:t>-7</w:t>
      </w:r>
      <w:r>
        <w:rPr>
          <w:rFonts w:hint="eastAsia"/>
          <w:color w:val="auto"/>
          <w:lang w:eastAsia="zh-CN"/>
        </w:rPr>
        <w:t xml:space="preserve"> cm/s，</w:t>
      </w:r>
      <w:r>
        <w:rPr>
          <w:color w:val="auto"/>
        </w:rPr>
        <w:t>或参考</w:t>
      </w:r>
      <w:r>
        <w:rPr>
          <w:rFonts w:hint="eastAsia"/>
          <w:color w:val="auto"/>
        </w:rPr>
        <w:t>（</w:t>
      </w:r>
      <w:r>
        <w:rPr>
          <w:color w:val="auto"/>
        </w:rPr>
        <w:t>GB 16889</w:t>
      </w:r>
      <w:r>
        <w:rPr>
          <w:rFonts w:hint="eastAsia"/>
          <w:color w:val="auto"/>
        </w:rPr>
        <w:t>）</w:t>
      </w:r>
      <w:r>
        <w:rPr>
          <w:rFonts w:hint="eastAsia"/>
          <w:color w:val="auto"/>
          <w:lang w:eastAsia="zh-CN"/>
        </w:rPr>
        <w:t>。</w:t>
      </w:r>
      <w:r>
        <w:rPr>
          <w:rFonts w:hint="eastAsia"/>
          <w:color w:val="auto"/>
          <w:lang w:val="en-US" w:eastAsia="zh-CN"/>
        </w:rPr>
        <w:t>可</w:t>
      </w:r>
      <w:r>
        <w:rPr>
          <w:rFonts w:hint="eastAsia"/>
          <w:color w:val="auto"/>
          <w:lang w:eastAsia="zh-CN"/>
        </w:rPr>
        <w:t>采用现浇防渗钢纤维混凝土面层作为基础防渗措施（防渗等级不低于 P6），表层采用 20mm 防渗水泥进行地面硬化。</w:t>
      </w:r>
    </w:p>
    <w:p>
      <w:pPr>
        <w:ind w:firstLine="480"/>
        <w:rPr>
          <w:rFonts w:hint="eastAsia"/>
          <w:color w:val="auto"/>
        </w:rPr>
      </w:pPr>
      <w:r>
        <w:rPr>
          <w:rFonts w:hint="eastAsia"/>
          <w:color w:val="auto"/>
        </w:rPr>
        <w:t>③ 简单防渗区：办公生活区、场内道路地面等除绿化以外的其他区域。防渗技术要求为一般水泥地面硬化。</w:t>
      </w:r>
    </w:p>
    <w:p>
      <w:pPr>
        <w:ind w:firstLine="480"/>
        <w:rPr>
          <w:rFonts w:hint="eastAsia"/>
          <w:color w:val="auto"/>
        </w:rPr>
      </w:pPr>
      <w:r>
        <w:rPr>
          <w:color w:val="auto"/>
        </w:rPr>
        <w:t>项目分区防渗情况一览表见表3.</w:t>
      </w:r>
      <w:r>
        <w:rPr>
          <w:rFonts w:hint="eastAsia"/>
          <w:color w:val="auto"/>
          <w:lang w:val="en-US" w:eastAsia="zh-CN"/>
        </w:rPr>
        <w:t>6</w:t>
      </w:r>
      <w:r>
        <w:rPr>
          <w:color w:val="auto"/>
        </w:rPr>
        <w:t>-</w:t>
      </w:r>
      <w:r>
        <w:rPr>
          <w:rFonts w:hint="eastAsia"/>
          <w:color w:val="auto"/>
          <w:lang w:val="en-US" w:eastAsia="zh-CN"/>
        </w:rPr>
        <w:t>19</w:t>
      </w:r>
      <w:r>
        <w:rPr>
          <w:color w:val="auto"/>
        </w:rPr>
        <w:t>。</w:t>
      </w:r>
    </w:p>
    <w:p>
      <w:pPr>
        <w:pStyle w:val="166"/>
        <w:spacing w:before="120" w:beforeLines="0"/>
        <w:rPr>
          <w:color w:val="auto"/>
        </w:rPr>
      </w:pPr>
      <w:r>
        <w:rPr>
          <w:color w:val="auto"/>
        </w:rPr>
        <w:t>表3.</w:t>
      </w:r>
      <w:r>
        <w:rPr>
          <w:rFonts w:hint="eastAsia"/>
          <w:color w:val="auto"/>
          <w:lang w:val="en-US" w:eastAsia="zh-CN"/>
        </w:rPr>
        <w:t>6</w:t>
      </w:r>
      <w:r>
        <w:rPr>
          <w:color w:val="auto"/>
        </w:rPr>
        <w:t>-</w:t>
      </w:r>
      <w:r>
        <w:rPr>
          <w:rFonts w:hint="eastAsia"/>
          <w:color w:val="auto"/>
          <w:lang w:val="en-US" w:eastAsia="zh-CN"/>
        </w:rPr>
        <w:t xml:space="preserve">19 </w:t>
      </w:r>
      <w:r>
        <w:rPr>
          <w:color w:val="auto"/>
        </w:rPr>
        <w:t>分区防渗情况一览表</w:t>
      </w:r>
    </w:p>
    <w:tbl>
      <w:tblPr>
        <w:tblStyle w:val="51"/>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2837"/>
        <w:gridCol w:w="52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99" w:type="pct"/>
            <w:noWrap w:val="0"/>
            <w:vAlign w:val="center"/>
          </w:tcPr>
          <w:p>
            <w:pPr>
              <w:adjustRightInd w:val="0"/>
              <w:snapToGrid w:val="0"/>
              <w:spacing w:line="240" w:lineRule="auto"/>
              <w:ind w:firstLine="0" w:firstLineChars="0"/>
              <w:jc w:val="center"/>
              <w:rPr>
                <w:rStyle w:val="178"/>
                <w:rFonts w:hint="default" w:ascii="Times New Roman" w:hAnsi="Times New Roman"/>
                <w:b/>
                <w:bCs/>
                <w:color w:val="auto"/>
                <w:sz w:val="20"/>
                <w:szCs w:val="20"/>
              </w:rPr>
            </w:pPr>
            <w:bookmarkStart w:id="137" w:name="_Hlk51143573"/>
            <w:r>
              <w:rPr>
                <w:rStyle w:val="178"/>
                <w:rFonts w:hint="default" w:ascii="Times New Roman" w:hAnsi="Times New Roman"/>
                <w:b/>
                <w:bCs/>
                <w:color w:val="auto"/>
                <w:sz w:val="20"/>
                <w:szCs w:val="20"/>
              </w:rPr>
              <w:t>分区</w:t>
            </w:r>
          </w:p>
        </w:tc>
        <w:tc>
          <w:tcPr>
            <w:tcW w:w="1575" w:type="pct"/>
            <w:noWrap w:val="0"/>
            <w:vAlign w:val="center"/>
          </w:tcPr>
          <w:p>
            <w:pPr>
              <w:adjustRightInd w:val="0"/>
              <w:snapToGrid w:val="0"/>
              <w:spacing w:line="240" w:lineRule="auto"/>
              <w:ind w:firstLine="0" w:firstLineChars="0"/>
              <w:jc w:val="center"/>
              <w:rPr>
                <w:rStyle w:val="178"/>
                <w:rFonts w:hint="default" w:ascii="Times New Roman" w:hAnsi="Times New Roman"/>
                <w:b/>
                <w:bCs/>
                <w:color w:val="auto"/>
                <w:sz w:val="20"/>
                <w:szCs w:val="20"/>
              </w:rPr>
            </w:pPr>
            <w:r>
              <w:rPr>
                <w:rStyle w:val="178"/>
                <w:rFonts w:hint="default" w:ascii="Times New Roman" w:hAnsi="Times New Roman"/>
                <w:b/>
                <w:bCs/>
                <w:color w:val="auto"/>
                <w:sz w:val="20"/>
                <w:szCs w:val="20"/>
              </w:rPr>
              <w:t>项目</w:t>
            </w:r>
          </w:p>
        </w:tc>
        <w:tc>
          <w:tcPr>
            <w:tcW w:w="2924" w:type="pct"/>
            <w:noWrap w:val="0"/>
            <w:vAlign w:val="center"/>
          </w:tcPr>
          <w:p>
            <w:pPr>
              <w:adjustRightInd w:val="0"/>
              <w:snapToGrid w:val="0"/>
              <w:spacing w:line="240" w:lineRule="auto"/>
              <w:ind w:firstLine="0" w:firstLineChars="0"/>
              <w:jc w:val="center"/>
              <w:rPr>
                <w:rStyle w:val="178"/>
                <w:rFonts w:hint="default" w:ascii="Times New Roman" w:hAnsi="Times New Roman"/>
                <w:b/>
                <w:bCs/>
                <w:color w:val="auto"/>
                <w:sz w:val="20"/>
                <w:szCs w:val="20"/>
              </w:rPr>
            </w:pPr>
            <w:r>
              <w:rPr>
                <w:rStyle w:val="178"/>
                <w:rFonts w:hint="default" w:ascii="Times New Roman" w:hAnsi="Times New Roman"/>
                <w:b/>
                <w:bCs/>
                <w:color w:val="auto"/>
                <w:sz w:val="20"/>
                <w:szCs w:val="20"/>
              </w:rPr>
              <w:t>防渗措施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9" w:type="pct"/>
            <w:vMerge w:val="restar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重点防渗</w:t>
            </w:r>
          </w:p>
        </w:tc>
        <w:tc>
          <w:tcPr>
            <w:tcW w:w="1575"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危废暂存间</w:t>
            </w:r>
          </w:p>
        </w:tc>
        <w:tc>
          <w:tcPr>
            <w:tcW w:w="2924"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防渗层采用100mm P8抗渗混凝土+2mm环氧树脂的方式，确保重点防渗区等效黏土防渗层 Mb≥6.0m，K≤1×10</w:t>
            </w:r>
            <w:r>
              <w:rPr>
                <w:rStyle w:val="178"/>
                <w:rFonts w:hint="default" w:ascii="Times New Roman" w:hAnsi="Times New Roman"/>
                <w:color w:val="auto"/>
                <w:sz w:val="20"/>
                <w:szCs w:val="20"/>
                <w:vertAlign w:val="superscript"/>
              </w:rPr>
              <w:t xml:space="preserve"> -10</w:t>
            </w:r>
            <w:r>
              <w:rPr>
                <w:rStyle w:val="178"/>
                <w:rFonts w:hint="default" w:ascii="Times New Roman" w:hAnsi="Times New Roman"/>
                <w:color w:val="auto"/>
                <w:sz w:val="20"/>
                <w:szCs w:val="20"/>
              </w:rPr>
              <w:t xml:space="preserve"> cm/s，或参照 GB18597 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9" w:type="pct"/>
            <w:vMerge w:val="continue"/>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p>
        </w:tc>
        <w:tc>
          <w:tcPr>
            <w:tcW w:w="1575"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lang w:val="en-US" w:eastAsia="zh-CN"/>
              </w:rPr>
              <w:t>干粪堆场、</w:t>
            </w:r>
            <w:r>
              <w:rPr>
                <w:rStyle w:val="178"/>
                <w:rFonts w:hint="default" w:ascii="Times New Roman" w:hAnsi="Times New Roman"/>
                <w:color w:val="auto"/>
                <w:sz w:val="20"/>
                <w:szCs w:val="20"/>
              </w:rPr>
              <w:t>发电机房（含储油间）、防疫室</w:t>
            </w:r>
            <w:r>
              <w:rPr>
                <w:rStyle w:val="178"/>
                <w:rFonts w:hint="default" w:ascii="Times New Roman" w:hAnsi="Times New Roman"/>
                <w:color w:val="auto"/>
                <w:sz w:val="20"/>
                <w:szCs w:val="20"/>
                <w:lang w:eastAsia="zh-CN"/>
              </w:rPr>
              <w:t>、</w:t>
            </w:r>
            <w:r>
              <w:rPr>
                <w:rStyle w:val="178"/>
                <w:rFonts w:hint="default" w:ascii="Times New Roman" w:hAnsi="Times New Roman"/>
                <w:color w:val="auto"/>
                <w:sz w:val="20"/>
                <w:szCs w:val="20"/>
              </w:rPr>
              <w:t>污水处理系统（</w:t>
            </w:r>
            <w:r>
              <w:rPr>
                <w:rStyle w:val="178"/>
                <w:rFonts w:hint="default" w:ascii="Times New Roman" w:hAnsi="Times New Roman"/>
                <w:color w:val="auto"/>
                <w:sz w:val="20"/>
                <w:szCs w:val="20"/>
                <w:lang w:val="en-US" w:eastAsia="zh-CN"/>
              </w:rPr>
              <w:t>收集池、沼气池、沼液暂存池、田间暂存池、事故应急池</w:t>
            </w:r>
            <w:r>
              <w:rPr>
                <w:rStyle w:val="178"/>
                <w:rFonts w:hint="eastAsia" w:ascii="Times New Roman" w:hAnsi="Times New Roman"/>
                <w:color w:val="auto"/>
                <w:sz w:val="20"/>
                <w:szCs w:val="20"/>
                <w:lang w:val="en-US" w:eastAsia="zh-CN"/>
              </w:rPr>
              <w:t>、</w:t>
            </w:r>
            <w:r>
              <w:rPr>
                <w:rStyle w:val="178"/>
                <w:rFonts w:hint="default" w:ascii="Times New Roman" w:hAnsi="Times New Roman"/>
                <w:color w:val="auto"/>
                <w:sz w:val="20"/>
                <w:szCs w:val="20"/>
                <w:lang w:val="en-US" w:eastAsia="zh-CN"/>
              </w:rPr>
              <w:t>污水管</w:t>
            </w:r>
            <w:r>
              <w:rPr>
                <w:rStyle w:val="178"/>
                <w:rFonts w:hint="default" w:ascii="Times New Roman" w:hAnsi="Times New Roman"/>
                <w:color w:val="auto"/>
                <w:sz w:val="20"/>
                <w:szCs w:val="20"/>
              </w:rPr>
              <w:t>）</w:t>
            </w:r>
          </w:p>
        </w:tc>
        <w:tc>
          <w:tcPr>
            <w:tcW w:w="2924"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lang w:eastAsia="zh-CN"/>
              </w:rPr>
            </w:pPr>
            <w:r>
              <w:rPr>
                <w:rStyle w:val="178"/>
                <w:rFonts w:hint="default" w:ascii="Times New Roman" w:hAnsi="Times New Roman"/>
                <w:color w:val="auto"/>
                <w:sz w:val="20"/>
                <w:szCs w:val="20"/>
                <w:lang w:val="en-US" w:eastAsia="zh-CN"/>
              </w:rPr>
              <w:t>采取钢筋混凝土加防渗剂的防渗地坪+人工材料（HDPE）防渗层</w:t>
            </w:r>
            <w:r>
              <w:rPr>
                <w:rStyle w:val="178"/>
                <w:rFonts w:hint="default" w:ascii="Times New Roman" w:hAnsi="Times New Roman"/>
                <w:color w:val="auto"/>
                <w:sz w:val="20"/>
                <w:szCs w:val="20"/>
                <w:lang w:eastAsia="zh-CN"/>
              </w:rPr>
              <w:t>；管道材料应视输送介质的不同选择合适材质并做表面的防腐、防锈蚀处理，减轻管道腐蚀造成的渗漏，并进行定期检查，防止跑冒漏滴的现象发生。</w:t>
            </w:r>
          </w:p>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确保重点防渗区等等效黏土防渗Mb≥6.0m，K≤1×10</w:t>
            </w:r>
            <w:r>
              <w:rPr>
                <w:rStyle w:val="178"/>
                <w:rFonts w:hint="default" w:ascii="Times New Roman" w:hAnsi="Times New Roman"/>
                <w:color w:val="auto"/>
                <w:sz w:val="20"/>
                <w:szCs w:val="20"/>
                <w:vertAlign w:val="superscript"/>
              </w:rPr>
              <w:t xml:space="preserve"> -7 </w:t>
            </w:r>
            <w:r>
              <w:rPr>
                <w:rStyle w:val="178"/>
                <w:rFonts w:hint="default" w:ascii="Times New Roman" w:hAnsi="Times New Roman"/>
                <w:color w:val="auto"/>
                <w:sz w:val="20"/>
                <w:szCs w:val="20"/>
              </w:rPr>
              <w:t>cm/s，或参照 GB18598 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9"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一般防渗</w:t>
            </w:r>
          </w:p>
        </w:tc>
        <w:tc>
          <w:tcPr>
            <w:tcW w:w="1575"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lang w:val="en-US" w:eastAsia="zh-CN"/>
              </w:rPr>
              <w:t>猪舍、</w:t>
            </w:r>
            <w:r>
              <w:rPr>
                <w:rStyle w:val="178"/>
                <w:rFonts w:hint="default" w:ascii="Times New Roman" w:hAnsi="Times New Roman"/>
                <w:color w:val="auto"/>
                <w:sz w:val="20"/>
                <w:szCs w:val="20"/>
                <w:lang w:eastAsia="zh-CN"/>
              </w:rPr>
              <w:t>消毒区、卫生间</w:t>
            </w:r>
          </w:p>
        </w:tc>
        <w:tc>
          <w:tcPr>
            <w:tcW w:w="2924" w:type="pct"/>
            <w:noWrap w:val="0"/>
            <w:vAlign w:val="center"/>
          </w:tcPr>
          <w:p>
            <w:pPr>
              <w:adjustRightInd w:val="0"/>
              <w:snapToGrid w:val="0"/>
              <w:spacing w:line="240" w:lineRule="auto"/>
              <w:ind w:firstLine="0" w:firstLineChars="0"/>
              <w:jc w:val="center"/>
              <w:rPr>
                <w:rStyle w:val="178"/>
                <w:rFonts w:hint="eastAsia" w:ascii="Times New Roman" w:hAnsi="Times New Roman" w:eastAsia="宋体"/>
                <w:color w:val="auto"/>
                <w:sz w:val="20"/>
                <w:szCs w:val="20"/>
                <w:lang w:eastAsia="zh-CN"/>
              </w:rPr>
            </w:pPr>
            <w:r>
              <w:rPr>
                <w:rStyle w:val="178"/>
                <w:rFonts w:hint="default" w:ascii="Times New Roman" w:hAnsi="Times New Roman"/>
                <w:color w:val="auto"/>
                <w:sz w:val="20"/>
                <w:szCs w:val="20"/>
              </w:rPr>
              <w:t>采用现浇防渗钢纤维混凝土面层作为基础防渗措施（防渗等级</w:t>
            </w:r>
            <w:r>
              <w:rPr>
                <w:rStyle w:val="178"/>
                <w:rFonts w:hint="eastAsia" w:ascii="Times New Roman" w:hAnsi="Times New Roman" w:eastAsia="宋体"/>
                <w:color w:val="auto"/>
                <w:sz w:val="20"/>
                <w:szCs w:val="20"/>
                <w:lang w:eastAsia="zh-CN"/>
              </w:rPr>
              <w:t>，</w:t>
            </w:r>
            <w:r>
              <w:rPr>
                <w:rStyle w:val="178"/>
                <w:rFonts w:hint="default" w:ascii="Times New Roman" w:hAnsi="Times New Roman"/>
                <w:color w:val="auto"/>
                <w:sz w:val="20"/>
                <w:szCs w:val="20"/>
              </w:rPr>
              <w:t>不低于 P6），表层采用 20mm 防渗水泥进行地面硬化</w:t>
            </w:r>
            <w:r>
              <w:rPr>
                <w:rStyle w:val="178"/>
                <w:rFonts w:hint="eastAsia" w:ascii="Times New Roman" w:hAnsi="Times New Roman" w:eastAsia="宋体"/>
                <w:color w:val="auto"/>
                <w:sz w:val="20"/>
                <w:szCs w:val="20"/>
                <w:lang w:eastAsia="zh-CN"/>
              </w:rPr>
              <w:t>。</w:t>
            </w:r>
            <w:r>
              <w:rPr>
                <w:rStyle w:val="178"/>
                <w:rFonts w:hint="default" w:ascii="Times New Roman" w:hAnsi="Times New Roman"/>
                <w:color w:val="auto"/>
                <w:sz w:val="20"/>
                <w:szCs w:val="20"/>
              </w:rPr>
              <w:t>等效黏土防渗层Mb≥1.5m，K≤1×10</w:t>
            </w:r>
            <w:r>
              <w:rPr>
                <w:rStyle w:val="178"/>
                <w:rFonts w:hint="default" w:ascii="Times New Roman" w:hAnsi="Times New Roman"/>
                <w:color w:val="auto"/>
                <w:sz w:val="20"/>
                <w:szCs w:val="20"/>
                <w:vertAlign w:val="superscript"/>
              </w:rPr>
              <w:t>-7</w:t>
            </w:r>
            <w:r>
              <w:rPr>
                <w:rStyle w:val="178"/>
                <w:rFonts w:hint="default" w:ascii="Times New Roman" w:hAnsi="Times New Roman"/>
                <w:color w:val="auto"/>
                <w:sz w:val="20"/>
                <w:szCs w:val="20"/>
              </w:rPr>
              <w:t>cm/s；或参考(GB16889 )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9"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简单防渗</w:t>
            </w:r>
          </w:p>
        </w:tc>
        <w:tc>
          <w:tcPr>
            <w:tcW w:w="1575"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办公生活区、场内道路地面等除绿化以外的其他区域</w:t>
            </w:r>
          </w:p>
        </w:tc>
        <w:tc>
          <w:tcPr>
            <w:tcW w:w="2924" w:type="pct"/>
            <w:noWrap w:val="0"/>
            <w:vAlign w:val="center"/>
          </w:tcPr>
          <w:p>
            <w:pPr>
              <w:adjustRightInd w:val="0"/>
              <w:snapToGrid w:val="0"/>
              <w:spacing w:line="240" w:lineRule="auto"/>
              <w:ind w:firstLine="0" w:firstLineChars="0"/>
              <w:jc w:val="center"/>
              <w:rPr>
                <w:rStyle w:val="178"/>
                <w:rFonts w:hint="default" w:ascii="Times New Roman" w:hAnsi="Times New Roman"/>
                <w:color w:val="auto"/>
                <w:sz w:val="20"/>
                <w:szCs w:val="20"/>
              </w:rPr>
            </w:pPr>
            <w:r>
              <w:rPr>
                <w:rStyle w:val="178"/>
                <w:rFonts w:hint="default" w:ascii="Times New Roman" w:hAnsi="Times New Roman"/>
                <w:color w:val="auto"/>
                <w:sz w:val="20"/>
                <w:szCs w:val="20"/>
              </w:rPr>
              <w:t>一般地面硬化</w:t>
            </w:r>
          </w:p>
        </w:tc>
      </w:tr>
      <w:bookmarkEnd w:id="137"/>
    </w:tbl>
    <w:p>
      <w:pPr>
        <w:spacing w:before="120" w:beforeLines="50"/>
        <w:ind w:firstLine="482"/>
        <w:rPr>
          <w:b/>
          <w:color w:val="auto"/>
        </w:rPr>
      </w:pPr>
      <w:r>
        <w:rPr>
          <w:b/>
          <w:color w:val="auto"/>
        </w:rPr>
        <w:t>综上，本项目拟采取的各项地下水防护措施合理，不会对周围地下水产生污染性影响。</w:t>
      </w:r>
    </w:p>
    <w:p>
      <w:pPr>
        <w:pStyle w:val="8"/>
        <w:numPr>
          <w:ilvl w:val="0"/>
          <w:numId w:val="0"/>
        </w:numPr>
        <w:tabs>
          <w:tab w:val="clear" w:pos="0"/>
        </w:tabs>
        <w:ind w:leftChars="0"/>
        <w:rPr>
          <w:rFonts w:eastAsia="黑体"/>
          <w:color w:val="auto"/>
          <w:sz w:val="28"/>
          <w:szCs w:val="28"/>
        </w:rPr>
      </w:pPr>
      <w:r>
        <w:rPr>
          <w:rFonts w:hint="eastAsia"/>
          <w:color w:val="auto"/>
          <w:sz w:val="28"/>
          <w:szCs w:val="28"/>
          <w:lang w:val="en-US" w:eastAsia="zh-CN"/>
        </w:rPr>
        <w:t>3.6.4</w:t>
      </w:r>
      <w:r>
        <w:rPr>
          <w:rFonts w:eastAsia="黑体"/>
          <w:color w:val="auto"/>
          <w:sz w:val="28"/>
          <w:szCs w:val="28"/>
        </w:rPr>
        <w:t>非正常排放及防范措施</w:t>
      </w:r>
    </w:p>
    <w:p>
      <w:pPr>
        <w:ind w:firstLine="482"/>
        <w:rPr>
          <w:b/>
          <w:color w:val="auto"/>
        </w:rPr>
      </w:pPr>
      <w:r>
        <w:rPr>
          <w:b/>
          <w:color w:val="auto"/>
        </w:rPr>
        <w:t>1、废水事故排放</w:t>
      </w:r>
    </w:p>
    <w:p>
      <w:pPr>
        <w:ind w:firstLine="480"/>
        <w:rPr>
          <w:color w:val="auto"/>
        </w:rPr>
      </w:pPr>
      <w:r>
        <w:rPr>
          <w:color w:val="auto"/>
        </w:rPr>
        <w:t>由于猪场废水含有大量的有机物、氨氮、病原体细菌等，若出现项目废水未经处理直接排入沟渠，会造成水体发臭，大量滋生细菌、臭虫等，近而影响周围家畜、家禽和人群健康。若遇雨水冲刷，污染地表水体。另一方面，若废水不经处理而排入项目附近的水塘，长此以往，水塘污水通过渗透会污染地下水环境，可能会污染猪场区域内地下井水和周边地下水。</w:t>
      </w:r>
    </w:p>
    <w:p>
      <w:pPr>
        <w:ind w:firstLine="480"/>
        <w:rPr>
          <w:color w:val="auto"/>
        </w:rPr>
      </w:pPr>
      <w:r>
        <w:rPr>
          <w:color w:val="auto"/>
        </w:rPr>
        <w:t>为杜绝污水排入厂外周边水体，建议应采取以下措施来确保废水不排放：</w:t>
      </w:r>
    </w:p>
    <w:p>
      <w:pPr>
        <w:ind w:firstLine="480"/>
        <w:rPr>
          <w:color w:val="auto"/>
        </w:rPr>
      </w:pPr>
      <w:r>
        <w:rPr>
          <w:rFonts w:hint="eastAsia" w:ascii="宋体" w:hAnsi="宋体" w:cs="宋体"/>
          <w:color w:val="auto"/>
        </w:rPr>
        <w:t>①</w:t>
      </w:r>
      <w:r>
        <w:rPr>
          <w:color w:val="auto"/>
        </w:rPr>
        <w:t>派专人对废水处理设施进行维护，及时发现处理设备的隐患，确保处理系统正常运行；开、停、检修要有预案，有严密周全的计划，确保不发生非正常排放，或使影响最小；</w:t>
      </w:r>
    </w:p>
    <w:p>
      <w:pPr>
        <w:ind w:firstLine="480"/>
        <w:rPr>
          <w:color w:val="auto"/>
        </w:rPr>
      </w:pPr>
      <w:r>
        <w:rPr>
          <w:rFonts w:hint="eastAsia" w:ascii="宋体" w:hAnsi="宋体" w:cs="宋体"/>
          <w:color w:val="auto"/>
        </w:rPr>
        <w:t>②</w:t>
      </w:r>
      <w:r>
        <w:rPr>
          <w:color w:val="auto"/>
        </w:rPr>
        <w:t>应设有备用电源和备用处理设备和零件，以备停电或设备出现故障时保障及时更换使废水全部做到达标排放；</w:t>
      </w:r>
    </w:p>
    <w:p>
      <w:pPr>
        <w:ind w:firstLine="480"/>
        <w:rPr>
          <w:color w:val="auto"/>
        </w:rPr>
      </w:pPr>
      <w:r>
        <w:rPr>
          <w:rFonts w:hint="eastAsia" w:ascii="宋体" w:hAnsi="宋体" w:cs="宋体"/>
          <w:color w:val="auto"/>
        </w:rPr>
        <w:t>③</w:t>
      </w:r>
      <w:r>
        <w:rPr>
          <w:color w:val="auto"/>
        </w:rPr>
        <w:t>对员工进行岗位培训，持证上岗。经常性监测并做好值班记录，实行岗位责任制；</w:t>
      </w:r>
    </w:p>
    <w:p>
      <w:pPr>
        <w:ind w:firstLine="480"/>
        <w:rPr>
          <w:color w:val="auto"/>
        </w:rPr>
      </w:pPr>
      <w:r>
        <w:rPr>
          <w:rFonts w:hint="eastAsia" w:ascii="宋体" w:hAnsi="宋体" w:cs="宋体"/>
          <w:color w:val="auto"/>
        </w:rPr>
        <w:t>④</w:t>
      </w:r>
      <w:r>
        <w:rPr>
          <w:color w:val="auto"/>
        </w:rPr>
        <w:t>保持猪场内管网的畅通，防止各污水池内污水泄漏。</w:t>
      </w:r>
    </w:p>
    <w:p>
      <w:pPr>
        <w:ind w:firstLine="480"/>
        <w:rPr>
          <w:color w:val="auto"/>
        </w:rPr>
      </w:pPr>
      <w:r>
        <w:rPr>
          <w:rFonts w:hint="eastAsia" w:ascii="宋体" w:hAnsi="宋体" w:cs="宋体"/>
          <w:color w:val="auto"/>
        </w:rPr>
        <w:t>⑤</w:t>
      </w:r>
      <w:r>
        <w:rPr>
          <w:color w:val="auto"/>
        </w:rPr>
        <w:t>本次环评要求场址内设</w:t>
      </w:r>
      <w:r>
        <w:rPr>
          <w:rFonts w:hint="eastAsia"/>
          <w:color w:val="auto"/>
          <w:lang w:val="en-US" w:eastAsia="zh-CN"/>
        </w:rPr>
        <w:t>事故应急池</w:t>
      </w:r>
      <w:r>
        <w:rPr>
          <w:color w:val="auto"/>
        </w:rPr>
        <w:t>1座，</w:t>
      </w:r>
      <w:r>
        <w:rPr>
          <w:b/>
          <w:color w:val="auto"/>
        </w:rPr>
        <w:t>本项目拟建一座有效容积</w:t>
      </w:r>
      <w:r>
        <w:rPr>
          <w:rFonts w:hint="eastAsia"/>
          <w:b/>
          <w:color w:val="auto"/>
          <w:lang w:val="en-US" w:eastAsia="zh-CN"/>
        </w:rPr>
        <w:t>3</w:t>
      </w:r>
      <w:r>
        <w:rPr>
          <w:rFonts w:hint="eastAsia"/>
          <w:b/>
          <w:color w:val="auto"/>
          <w:lang w:val="en-US" w:eastAsia="zh-CN"/>
        </w:rPr>
        <w:t>5</w:t>
      </w:r>
      <w:r>
        <w:rPr>
          <w:b/>
          <w:color w:val="auto"/>
        </w:rPr>
        <w:t>0m</w:t>
      </w:r>
      <w:r>
        <w:rPr>
          <w:b/>
          <w:color w:val="auto"/>
          <w:vertAlign w:val="superscript"/>
        </w:rPr>
        <w:t>3</w:t>
      </w:r>
      <w:r>
        <w:rPr>
          <w:b/>
          <w:color w:val="auto"/>
        </w:rPr>
        <w:t>的事故应急池位于污水处理区，</w:t>
      </w:r>
      <w:r>
        <w:rPr>
          <w:color w:val="auto"/>
        </w:rPr>
        <w:t>在污水处理设施发生事故时，将废水导入并暂存，不得直接排放。</w:t>
      </w:r>
    </w:p>
    <w:p>
      <w:pPr>
        <w:ind w:firstLine="482"/>
        <w:rPr>
          <w:b/>
          <w:color w:val="auto"/>
        </w:rPr>
      </w:pPr>
      <w:r>
        <w:rPr>
          <w:b/>
          <w:color w:val="auto"/>
        </w:rPr>
        <w:t>2、恶臭非正常排放</w:t>
      </w:r>
    </w:p>
    <w:p>
      <w:pPr>
        <w:ind w:firstLine="480"/>
        <w:rPr>
          <w:color w:val="auto"/>
        </w:rPr>
      </w:pPr>
      <w:r>
        <w:rPr>
          <w:rFonts w:hint="eastAsia"/>
          <w:color w:val="auto"/>
        </w:rPr>
        <w:t>本场主要的特征污染物为恶臭，因此主要考虑可能引起恶臭的环节的非正常情景。</w:t>
      </w:r>
    </w:p>
    <w:p>
      <w:pPr>
        <w:ind w:firstLine="480"/>
        <w:rPr>
          <w:color w:val="auto"/>
        </w:rPr>
      </w:pPr>
      <w:r>
        <w:rPr>
          <w:rFonts w:hint="eastAsia"/>
          <w:color w:val="auto"/>
        </w:rPr>
        <w:t>猪舍为封闭环境，设有换风系统，若猪舍风机故障，将导致猪舍臭气浓度显著增加，影响到猪只的生长和健康，使</w:t>
      </w:r>
      <w:r>
        <w:rPr>
          <w:rFonts w:hint="eastAsia"/>
          <w:color w:val="auto"/>
          <w:lang w:val="en-US" w:eastAsia="zh-CN"/>
        </w:rPr>
        <w:t>养</w:t>
      </w:r>
      <w:r>
        <w:rPr>
          <w:rFonts w:hint="eastAsia"/>
          <w:color w:val="auto"/>
        </w:rPr>
        <w:t>猪场生产率严重下降；若猪舍猪粪便做不到日产日清，将导致</w:t>
      </w:r>
      <w:r>
        <w:rPr>
          <w:rFonts w:hint="eastAsia"/>
          <w:color w:val="auto"/>
          <w:lang w:val="en-US" w:eastAsia="zh-CN"/>
        </w:rPr>
        <w:t>养</w:t>
      </w:r>
      <w:r>
        <w:rPr>
          <w:rFonts w:hint="eastAsia"/>
          <w:color w:val="auto"/>
        </w:rPr>
        <w:t>猪场臭气浓度显著增加，并影响到周边区域，影响周围人群感受，影响到猪只和人群的生长和健康，使</w:t>
      </w:r>
      <w:r>
        <w:rPr>
          <w:rFonts w:hint="eastAsia"/>
          <w:color w:val="auto"/>
          <w:lang w:val="en-US" w:eastAsia="zh-CN"/>
        </w:rPr>
        <w:t>养</w:t>
      </w:r>
      <w:r>
        <w:rPr>
          <w:rFonts w:hint="eastAsia"/>
          <w:color w:val="auto"/>
        </w:rPr>
        <w:t>猪场生产率严重下降。</w:t>
      </w:r>
    </w:p>
    <w:p>
      <w:pPr>
        <w:ind w:firstLine="480"/>
        <w:rPr>
          <w:rFonts w:hint="eastAsia"/>
          <w:color w:val="auto"/>
        </w:rPr>
      </w:pPr>
      <w:r>
        <w:rPr>
          <w:rFonts w:hint="eastAsia"/>
          <w:color w:val="auto"/>
        </w:rPr>
        <w:t>预防这一影响最有效的措施是猪只粪便必须日产日清。此外，建设单位应定期检查风机的运行情况。定期保养和维护设备，确保设备稳定运行。一旦发生非正常工况，立即组织人员对设备进行排查，并及时有效处置，采取上述措施后能有效杜绝长时间非正常排放，有效降低非正常排放对周边环境的影响。</w:t>
      </w:r>
    </w:p>
    <w:p>
      <w:pPr>
        <w:ind w:firstLine="480"/>
        <w:rPr>
          <w:color w:val="auto"/>
        </w:rPr>
      </w:pPr>
    </w:p>
    <w:p>
      <w:pPr>
        <w:ind w:firstLine="480"/>
        <w:rPr>
          <w:color w:val="auto"/>
        </w:rPr>
      </w:pPr>
    </w:p>
    <w:p>
      <w:pPr>
        <w:ind w:firstLine="480"/>
        <w:rPr>
          <w:rFonts w:hint="eastAsia"/>
          <w:color w:val="auto"/>
        </w:rPr>
        <w:sectPr>
          <w:headerReference r:id="rId15" w:type="default"/>
          <w:pgSz w:w="11906" w:h="16838"/>
          <w:pgMar w:top="1418" w:right="1418" w:bottom="1418" w:left="1701" w:header="851" w:footer="992" w:gutter="0"/>
          <w:cols w:space="720" w:num="1"/>
          <w:docGrid w:linePitch="312" w:charSpace="0"/>
        </w:sectPr>
      </w:pPr>
    </w:p>
    <w:p>
      <w:pPr>
        <w:pStyle w:val="8"/>
        <w:numPr>
          <w:ilvl w:val="0"/>
          <w:numId w:val="0"/>
        </w:numPr>
        <w:tabs>
          <w:tab w:val="clear" w:pos="0"/>
        </w:tabs>
        <w:ind w:leftChars="0"/>
        <w:rPr>
          <w:rFonts w:hint="eastAsia" w:ascii="Times New Roman" w:hAnsi="Times New Roman" w:cs="Times New Roman"/>
          <w:b/>
          <w:bCs/>
          <w:color w:val="auto"/>
          <w:sz w:val="28"/>
          <w:szCs w:val="28"/>
          <w:lang w:val="en-US" w:eastAsia="zh-CN"/>
        </w:rPr>
      </w:pPr>
      <w:bookmarkStart w:id="138" w:name="_Hlk529970031"/>
      <w:r>
        <w:rPr>
          <w:rFonts w:hint="eastAsia" w:ascii="Times New Roman" w:hAnsi="Times New Roman" w:cs="Times New Roman"/>
          <w:b/>
          <w:bCs/>
          <w:color w:val="auto"/>
          <w:sz w:val="28"/>
          <w:szCs w:val="28"/>
          <w:lang w:val="en-US" w:eastAsia="zh-CN"/>
        </w:rPr>
        <w:t>3.6.5项目主要污染物排放量汇总</w:t>
      </w:r>
    </w:p>
    <w:p>
      <w:pPr>
        <w:ind w:firstLine="480"/>
        <w:rPr>
          <w:color w:val="auto"/>
        </w:rPr>
      </w:pPr>
      <w:r>
        <w:rPr>
          <w:color w:val="auto"/>
        </w:rPr>
        <w:t>本项目主要污染物产生及排放情况统计见表3.</w:t>
      </w:r>
      <w:r>
        <w:rPr>
          <w:rFonts w:hint="eastAsia"/>
          <w:color w:val="auto"/>
          <w:lang w:val="en-US" w:eastAsia="zh-CN"/>
        </w:rPr>
        <w:t>6</w:t>
      </w:r>
      <w:r>
        <w:rPr>
          <w:color w:val="auto"/>
        </w:rPr>
        <w:t>-2</w:t>
      </w:r>
      <w:r>
        <w:rPr>
          <w:rFonts w:hint="eastAsia"/>
          <w:color w:val="auto"/>
          <w:lang w:val="en-US" w:eastAsia="zh-CN"/>
        </w:rPr>
        <w:t>0</w:t>
      </w:r>
      <w:r>
        <w:rPr>
          <w:color w:val="auto"/>
        </w:rPr>
        <w:t>。</w:t>
      </w:r>
    </w:p>
    <w:p>
      <w:pPr>
        <w:pStyle w:val="166"/>
        <w:spacing w:before="0" w:beforeLines="0" w:line="240" w:lineRule="auto"/>
        <w:rPr>
          <w:color w:val="auto"/>
        </w:rPr>
      </w:pPr>
      <w:r>
        <w:rPr>
          <w:color w:val="auto"/>
        </w:rPr>
        <w:t>表3.</w:t>
      </w:r>
      <w:r>
        <w:rPr>
          <w:rFonts w:hint="eastAsia"/>
          <w:color w:val="auto"/>
          <w:lang w:val="en-US" w:eastAsia="zh-CN"/>
        </w:rPr>
        <w:t>6</w:t>
      </w:r>
      <w:r>
        <w:rPr>
          <w:color w:val="auto"/>
        </w:rPr>
        <w:t>-2</w:t>
      </w:r>
      <w:r>
        <w:rPr>
          <w:rFonts w:hint="eastAsia"/>
          <w:color w:val="auto"/>
          <w:lang w:val="en-US" w:eastAsia="zh-CN"/>
        </w:rPr>
        <w:t xml:space="preserve">0 </w:t>
      </w:r>
      <w:r>
        <w:rPr>
          <w:color w:val="auto"/>
        </w:rPr>
        <w:t>工程“三废”排放量统计表</w:t>
      </w:r>
    </w:p>
    <w:tbl>
      <w:tblPr>
        <w:tblStyle w:val="51"/>
        <w:tblW w:w="13724" w:type="dxa"/>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37"/>
        <w:gridCol w:w="500"/>
        <w:gridCol w:w="1564"/>
        <w:gridCol w:w="2405"/>
        <w:gridCol w:w="3787"/>
        <w:gridCol w:w="2720"/>
        <w:gridCol w:w="2111"/>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637" w:type="dxa"/>
            <w:noWrap w:val="0"/>
            <w:vAlign w:val="center"/>
          </w:tcPr>
          <w:p>
            <w:pPr>
              <w:pStyle w:val="332"/>
              <w:snapToGrid w:val="0"/>
              <w:jc w:val="center"/>
              <w:rPr>
                <w:b/>
                <w:color w:val="auto"/>
                <w:sz w:val="21"/>
                <w:szCs w:val="21"/>
              </w:rPr>
            </w:pPr>
            <w:r>
              <w:rPr>
                <w:b/>
                <w:color w:val="auto"/>
                <w:sz w:val="21"/>
                <w:szCs w:val="21"/>
              </w:rPr>
              <w:t>种类</w:t>
            </w:r>
          </w:p>
        </w:tc>
        <w:tc>
          <w:tcPr>
            <w:tcW w:w="2064" w:type="dxa"/>
            <w:gridSpan w:val="2"/>
            <w:noWrap w:val="0"/>
            <w:vAlign w:val="center"/>
          </w:tcPr>
          <w:p>
            <w:pPr>
              <w:pStyle w:val="332"/>
              <w:snapToGrid w:val="0"/>
              <w:jc w:val="center"/>
              <w:rPr>
                <w:b/>
                <w:color w:val="auto"/>
                <w:sz w:val="21"/>
                <w:szCs w:val="21"/>
              </w:rPr>
            </w:pPr>
            <w:r>
              <w:rPr>
                <w:b/>
                <w:color w:val="auto"/>
                <w:sz w:val="21"/>
                <w:szCs w:val="21"/>
              </w:rPr>
              <w:t>污</w:t>
            </w:r>
            <w:r>
              <w:rPr>
                <w:rFonts w:hint="eastAsia"/>
                <w:b/>
                <w:color w:val="auto"/>
                <w:sz w:val="21"/>
                <w:szCs w:val="21"/>
              </w:rPr>
              <w:t>染</w:t>
            </w:r>
            <w:r>
              <w:rPr>
                <w:b/>
                <w:color w:val="auto"/>
                <w:sz w:val="21"/>
                <w:szCs w:val="21"/>
              </w:rPr>
              <w:t>源</w:t>
            </w:r>
          </w:p>
        </w:tc>
        <w:tc>
          <w:tcPr>
            <w:tcW w:w="2405" w:type="dxa"/>
            <w:noWrap w:val="0"/>
            <w:vAlign w:val="center"/>
          </w:tcPr>
          <w:p>
            <w:pPr>
              <w:pStyle w:val="332"/>
              <w:snapToGrid w:val="0"/>
              <w:jc w:val="center"/>
              <w:rPr>
                <w:b/>
                <w:color w:val="auto"/>
                <w:sz w:val="21"/>
                <w:szCs w:val="21"/>
              </w:rPr>
            </w:pPr>
            <w:r>
              <w:rPr>
                <w:b/>
                <w:color w:val="auto"/>
                <w:sz w:val="21"/>
                <w:szCs w:val="21"/>
              </w:rPr>
              <w:t>处理前产生量及浓度</w:t>
            </w:r>
          </w:p>
        </w:tc>
        <w:tc>
          <w:tcPr>
            <w:tcW w:w="3787" w:type="dxa"/>
            <w:noWrap w:val="0"/>
            <w:vAlign w:val="center"/>
          </w:tcPr>
          <w:p>
            <w:pPr>
              <w:pStyle w:val="332"/>
              <w:snapToGrid w:val="0"/>
              <w:jc w:val="center"/>
              <w:rPr>
                <w:b/>
                <w:color w:val="auto"/>
                <w:sz w:val="21"/>
                <w:szCs w:val="21"/>
              </w:rPr>
            </w:pPr>
            <w:r>
              <w:rPr>
                <w:b/>
                <w:color w:val="auto"/>
                <w:sz w:val="21"/>
                <w:szCs w:val="21"/>
              </w:rPr>
              <w:t>处置方式</w:t>
            </w:r>
          </w:p>
        </w:tc>
        <w:tc>
          <w:tcPr>
            <w:tcW w:w="2720" w:type="dxa"/>
            <w:noWrap w:val="0"/>
            <w:vAlign w:val="center"/>
          </w:tcPr>
          <w:p>
            <w:pPr>
              <w:pStyle w:val="332"/>
              <w:snapToGrid w:val="0"/>
              <w:jc w:val="center"/>
              <w:rPr>
                <w:b/>
                <w:color w:val="auto"/>
                <w:sz w:val="21"/>
                <w:szCs w:val="21"/>
              </w:rPr>
            </w:pPr>
            <w:r>
              <w:rPr>
                <w:b/>
                <w:color w:val="auto"/>
                <w:sz w:val="21"/>
                <w:szCs w:val="21"/>
              </w:rPr>
              <w:t>处理后排放量及浓度</w:t>
            </w:r>
          </w:p>
        </w:tc>
        <w:tc>
          <w:tcPr>
            <w:tcW w:w="2111" w:type="dxa"/>
            <w:noWrap w:val="0"/>
            <w:vAlign w:val="center"/>
          </w:tcPr>
          <w:p>
            <w:pPr>
              <w:pStyle w:val="332"/>
              <w:snapToGrid w:val="0"/>
              <w:jc w:val="center"/>
              <w:rPr>
                <w:b/>
                <w:color w:val="auto"/>
                <w:sz w:val="21"/>
                <w:szCs w:val="21"/>
              </w:rPr>
            </w:pPr>
            <w:r>
              <w:rPr>
                <w:b/>
                <w:color w:val="auto"/>
                <w:sz w:val="21"/>
                <w:szCs w:val="21"/>
              </w:rPr>
              <w:t>处理效率及排放去向</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restart"/>
            <w:noWrap w:val="0"/>
            <w:vAlign w:val="center"/>
          </w:tcPr>
          <w:p>
            <w:pPr>
              <w:pStyle w:val="332"/>
              <w:snapToGrid w:val="0"/>
              <w:jc w:val="center"/>
              <w:rPr>
                <w:color w:val="auto"/>
                <w:sz w:val="21"/>
                <w:szCs w:val="21"/>
              </w:rPr>
            </w:pPr>
            <w:r>
              <w:rPr>
                <w:color w:val="auto"/>
                <w:sz w:val="21"/>
                <w:szCs w:val="21"/>
              </w:rPr>
              <w:t>废水</w:t>
            </w:r>
          </w:p>
        </w:tc>
        <w:tc>
          <w:tcPr>
            <w:tcW w:w="500" w:type="dxa"/>
            <w:vMerge w:val="restart"/>
            <w:noWrap w:val="0"/>
            <w:vAlign w:val="center"/>
          </w:tcPr>
          <w:p>
            <w:pPr>
              <w:pStyle w:val="332"/>
              <w:snapToGrid w:val="0"/>
              <w:jc w:val="center"/>
              <w:rPr>
                <w:color w:val="auto"/>
                <w:sz w:val="21"/>
                <w:szCs w:val="21"/>
              </w:rPr>
            </w:pPr>
            <w:r>
              <w:rPr>
                <w:color w:val="auto"/>
                <w:sz w:val="21"/>
                <w:szCs w:val="21"/>
              </w:rPr>
              <w:t>施工期</w:t>
            </w:r>
          </w:p>
        </w:tc>
        <w:tc>
          <w:tcPr>
            <w:tcW w:w="1564" w:type="dxa"/>
            <w:noWrap w:val="0"/>
            <w:vAlign w:val="center"/>
          </w:tcPr>
          <w:p>
            <w:pPr>
              <w:pStyle w:val="332"/>
              <w:snapToGrid w:val="0"/>
              <w:jc w:val="center"/>
              <w:rPr>
                <w:color w:val="auto"/>
                <w:sz w:val="21"/>
                <w:szCs w:val="21"/>
              </w:rPr>
            </w:pPr>
            <w:r>
              <w:rPr>
                <w:color w:val="auto"/>
                <w:sz w:val="21"/>
                <w:szCs w:val="21"/>
              </w:rPr>
              <w:t>施工作业废水</w:t>
            </w:r>
          </w:p>
        </w:tc>
        <w:tc>
          <w:tcPr>
            <w:tcW w:w="2405" w:type="dxa"/>
            <w:noWrap w:val="0"/>
            <w:vAlign w:val="center"/>
          </w:tcPr>
          <w:p>
            <w:pPr>
              <w:pStyle w:val="332"/>
              <w:snapToGrid w:val="0"/>
              <w:jc w:val="center"/>
              <w:rPr>
                <w:color w:val="auto"/>
                <w:sz w:val="21"/>
                <w:szCs w:val="21"/>
              </w:rPr>
            </w:pPr>
            <w:r>
              <w:rPr>
                <w:color w:val="auto"/>
                <w:sz w:val="21"/>
                <w:szCs w:val="21"/>
              </w:rPr>
              <w:t>3m</w:t>
            </w:r>
            <w:r>
              <w:rPr>
                <w:color w:val="auto"/>
                <w:sz w:val="21"/>
                <w:szCs w:val="21"/>
                <w:vertAlign w:val="superscript"/>
              </w:rPr>
              <w:t>3</w:t>
            </w:r>
            <w:r>
              <w:rPr>
                <w:color w:val="auto"/>
                <w:sz w:val="21"/>
                <w:szCs w:val="21"/>
              </w:rPr>
              <w:t>/d</w:t>
            </w:r>
          </w:p>
        </w:tc>
        <w:tc>
          <w:tcPr>
            <w:tcW w:w="3787" w:type="dxa"/>
            <w:noWrap w:val="0"/>
            <w:vAlign w:val="center"/>
          </w:tcPr>
          <w:p>
            <w:pPr>
              <w:pStyle w:val="332"/>
              <w:snapToGrid w:val="0"/>
              <w:jc w:val="center"/>
              <w:rPr>
                <w:color w:val="auto"/>
                <w:sz w:val="21"/>
                <w:szCs w:val="21"/>
              </w:rPr>
            </w:pPr>
            <w:r>
              <w:rPr>
                <w:color w:val="auto"/>
                <w:sz w:val="21"/>
                <w:szCs w:val="21"/>
              </w:rPr>
              <w:t>经沉淀后回用</w:t>
            </w:r>
          </w:p>
        </w:tc>
        <w:tc>
          <w:tcPr>
            <w:tcW w:w="2720" w:type="dxa"/>
            <w:noWrap w:val="0"/>
            <w:vAlign w:val="center"/>
          </w:tcPr>
          <w:p>
            <w:pPr>
              <w:pStyle w:val="332"/>
              <w:snapToGrid w:val="0"/>
              <w:jc w:val="center"/>
              <w:rPr>
                <w:color w:val="auto"/>
                <w:sz w:val="21"/>
                <w:szCs w:val="21"/>
              </w:rPr>
            </w:pPr>
            <w:r>
              <w:rPr>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沉淀后回用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color w:val="auto"/>
                <w:sz w:val="21"/>
                <w:szCs w:val="21"/>
              </w:rPr>
              <w:t>施工人员生活污水</w:t>
            </w:r>
          </w:p>
        </w:tc>
        <w:tc>
          <w:tcPr>
            <w:tcW w:w="2405" w:type="dxa"/>
            <w:noWrap w:val="0"/>
            <w:vAlign w:val="center"/>
          </w:tcPr>
          <w:p>
            <w:pPr>
              <w:pStyle w:val="332"/>
              <w:snapToGrid w:val="0"/>
              <w:jc w:val="center"/>
              <w:rPr>
                <w:color w:val="auto"/>
                <w:sz w:val="21"/>
                <w:szCs w:val="21"/>
              </w:rPr>
            </w:pPr>
            <w:r>
              <w:rPr>
                <w:color w:val="auto"/>
                <w:sz w:val="21"/>
                <w:szCs w:val="21"/>
              </w:rPr>
              <w:t>4.0m</w:t>
            </w:r>
            <w:r>
              <w:rPr>
                <w:color w:val="auto"/>
                <w:sz w:val="21"/>
                <w:szCs w:val="21"/>
                <w:vertAlign w:val="superscript"/>
              </w:rPr>
              <w:t>3</w:t>
            </w:r>
            <w:r>
              <w:rPr>
                <w:color w:val="auto"/>
                <w:sz w:val="21"/>
                <w:szCs w:val="21"/>
              </w:rPr>
              <w:t>/d</w:t>
            </w:r>
          </w:p>
        </w:tc>
        <w:tc>
          <w:tcPr>
            <w:tcW w:w="3787" w:type="dxa"/>
            <w:noWrap w:val="0"/>
            <w:vAlign w:val="center"/>
          </w:tcPr>
          <w:p>
            <w:pPr>
              <w:pStyle w:val="332"/>
              <w:snapToGrid w:val="0"/>
              <w:jc w:val="center"/>
              <w:rPr>
                <w:color w:val="auto"/>
                <w:sz w:val="21"/>
                <w:szCs w:val="21"/>
              </w:rPr>
            </w:pPr>
            <w:r>
              <w:rPr>
                <w:color w:val="auto"/>
                <w:sz w:val="21"/>
                <w:szCs w:val="21"/>
              </w:rPr>
              <w:t>经</w:t>
            </w:r>
            <w:r>
              <w:rPr>
                <w:rFonts w:hint="eastAsia"/>
                <w:color w:val="auto"/>
                <w:sz w:val="21"/>
                <w:szCs w:val="21"/>
                <w:lang w:val="en-US" w:eastAsia="zh-CN"/>
              </w:rPr>
              <w:t>厂区污水处理站</w:t>
            </w:r>
            <w:r>
              <w:rPr>
                <w:color w:val="auto"/>
                <w:sz w:val="21"/>
                <w:szCs w:val="21"/>
              </w:rPr>
              <w:t>收集处理后</w:t>
            </w:r>
            <w:r>
              <w:rPr>
                <w:rFonts w:hint="eastAsia"/>
                <w:color w:val="auto"/>
                <w:sz w:val="21"/>
                <w:szCs w:val="21"/>
                <w:lang w:eastAsia="zh-CN"/>
              </w:rPr>
              <w:t>回用于农田</w:t>
            </w:r>
            <w:r>
              <w:rPr>
                <w:rFonts w:hint="eastAsia"/>
                <w:color w:val="auto"/>
                <w:sz w:val="21"/>
                <w:szCs w:val="21"/>
                <w:lang w:val="en-US" w:eastAsia="zh-CN"/>
              </w:rPr>
              <w:t>施肥</w:t>
            </w:r>
          </w:p>
        </w:tc>
        <w:tc>
          <w:tcPr>
            <w:tcW w:w="2720" w:type="dxa"/>
            <w:noWrap w:val="0"/>
            <w:vAlign w:val="center"/>
          </w:tcPr>
          <w:p>
            <w:pPr>
              <w:pStyle w:val="332"/>
              <w:snapToGrid w:val="0"/>
              <w:jc w:val="center"/>
              <w:rPr>
                <w:color w:val="auto"/>
                <w:sz w:val="21"/>
                <w:szCs w:val="21"/>
              </w:rPr>
            </w:pPr>
            <w:r>
              <w:rPr>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用作</w:t>
            </w:r>
            <w:r>
              <w:rPr>
                <w:rFonts w:hint="eastAsia"/>
                <w:color w:val="auto"/>
                <w:sz w:val="21"/>
                <w:szCs w:val="21"/>
                <w:lang w:val="en-US" w:eastAsia="zh-CN"/>
              </w:rPr>
              <w:t>农田施肥</w:t>
            </w:r>
            <w:r>
              <w:rPr>
                <w:color w:val="auto"/>
                <w:sz w:val="21"/>
                <w:szCs w:val="21"/>
              </w:rPr>
              <w:t>，不外排</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noWrap w:val="0"/>
            <w:vAlign w:val="center"/>
          </w:tcPr>
          <w:p>
            <w:pPr>
              <w:pStyle w:val="332"/>
              <w:snapToGrid w:val="0"/>
              <w:jc w:val="center"/>
              <w:rPr>
                <w:color w:val="auto"/>
                <w:sz w:val="21"/>
                <w:szCs w:val="21"/>
              </w:rPr>
            </w:pPr>
            <w:r>
              <w:rPr>
                <w:color w:val="auto"/>
                <w:sz w:val="21"/>
                <w:szCs w:val="21"/>
              </w:rPr>
              <w:t>营运期</w:t>
            </w:r>
          </w:p>
        </w:tc>
        <w:tc>
          <w:tcPr>
            <w:tcW w:w="1564" w:type="dxa"/>
            <w:noWrap w:val="0"/>
            <w:vAlign w:val="center"/>
          </w:tcPr>
          <w:p>
            <w:pPr>
              <w:pStyle w:val="332"/>
              <w:snapToGrid w:val="0"/>
              <w:jc w:val="center"/>
              <w:rPr>
                <w:color w:val="auto"/>
                <w:sz w:val="21"/>
                <w:szCs w:val="21"/>
              </w:rPr>
            </w:pPr>
            <w:r>
              <w:rPr>
                <w:color w:val="auto"/>
                <w:sz w:val="21"/>
                <w:szCs w:val="21"/>
              </w:rPr>
              <w:t>生活污水</w:t>
            </w:r>
          </w:p>
          <w:p>
            <w:pPr>
              <w:pStyle w:val="332"/>
              <w:snapToGrid w:val="0"/>
              <w:jc w:val="center"/>
              <w:rPr>
                <w:color w:val="auto"/>
                <w:sz w:val="21"/>
                <w:szCs w:val="21"/>
              </w:rPr>
            </w:pPr>
            <w:r>
              <w:rPr>
                <w:color w:val="auto"/>
                <w:sz w:val="21"/>
                <w:szCs w:val="21"/>
              </w:rPr>
              <w:t>养殖废水</w:t>
            </w:r>
          </w:p>
        </w:tc>
        <w:tc>
          <w:tcPr>
            <w:tcW w:w="2405" w:type="dxa"/>
            <w:noWrap w:val="0"/>
            <w:vAlign w:val="center"/>
          </w:tcPr>
          <w:p>
            <w:pPr>
              <w:pStyle w:val="332"/>
              <w:snapToGrid w:val="0"/>
              <w:jc w:val="center"/>
              <w:rPr>
                <w:color w:val="auto"/>
                <w:sz w:val="21"/>
                <w:szCs w:val="21"/>
              </w:rPr>
            </w:pPr>
            <w:r>
              <w:rPr>
                <w:rFonts w:hint="eastAsia"/>
                <w:color w:val="auto"/>
                <w:sz w:val="21"/>
                <w:szCs w:val="21"/>
                <w:lang w:eastAsia="zh-CN"/>
              </w:rPr>
              <w:t>10827.58</w:t>
            </w:r>
            <w:r>
              <w:rPr>
                <w:color w:val="auto"/>
                <w:sz w:val="21"/>
                <w:szCs w:val="21"/>
              </w:rPr>
              <w:t>m</w:t>
            </w:r>
            <w:r>
              <w:rPr>
                <w:color w:val="auto"/>
                <w:sz w:val="21"/>
                <w:szCs w:val="21"/>
                <w:vertAlign w:val="superscript"/>
              </w:rPr>
              <w:t>3</w:t>
            </w:r>
            <w:r>
              <w:rPr>
                <w:color w:val="auto"/>
                <w:sz w:val="21"/>
                <w:szCs w:val="21"/>
              </w:rPr>
              <w:t>/a</w:t>
            </w:r>
          </w:p>
          <w:p>
            <w:pPr>
              <w:pStyle w:val="332"/>
              <w:snapToGrid w:val="0"/>
              <w:jc w:val="center"/>
              <w:rPr>
                <w:color w:val="auto"/>
                <w:sz w:val="21"/>
                <w:szCs w:val="21"/>
              </w:rPr>
            </w:pPr>
            <w:r>
              <w:rPr>
                <w:color w:val="auto"/>
                <w:sz w:val="21"/>
                <w:szCs w:val="21"/>
              </w:rPr>
              <w:t>COD:</w:t>
            </w:r>
            <w:r>
              <w:rPr>
                <w:rFonts w:hint="eastAsia"/>
                <w:color w:val="auto"/>
                <w:sz w:val="21"/>
                <w:szCs w:val="21"/>
                <w:lang w:val="en-US" w:eastAsia="zh-CN"/>
              </w:rPr>
              <w:t>2570</w:t>
            </w:r>
            <w:r>
              <w:rPr>
                <w:color w:val="auto"/>
                <w:sz w:val="21"/>
                <w:szCs w:val="21"/>
              </w:rPr>
              <w:t>mg/L;</w:t>
            </w:r>
            <w:r>
              <w:rPr>
                <w:rFonts w:hint="eastAsia"/>
                <w:color w:val="auto"/>
                <w:sz w:val="21"/>
                <w:szCs w:val="21"/>
                <w:lang w:val="en-US" w:eastAsia="zh-CN"/>
              </w:rPr>
              <w:t>27.830</w:t>
            </w:r>
            <w:r>
              <w:rPr>
                <w:color w:val="auto"/>
                <w:sz w:val="21"/>
                <w:szCs w:val="21"/>
              </w:rPr>
              <w:t xml:space="preserve">t/a </w:t>
            </w:r>
          </w:p>
          <w:p>
            <w:pPr>
              <w:pStyle w:val="332"/>
              <w:snapToGrid w:val="0"/>
              <w:jc w:val="center"/>
              <w:rPr>
                <w:color w:val="auto"/>
                <w:sz w:val="21"/>
                <w:szCs w:val="21"/>
              </w:rPr>
            </w:pPr>
            <w:r>
              <w:rPr>
                <w:color w:val="auto"/>
                <w:sz w:val="21"/>
                <w:szCs w:val="21"/>
              </w:rPr>
              <w:t>BOD:</w:t>
            </w:r>
            <w:r>
              <w:rPr>
                <w:rFonts w:hint="eastAsia"/>
                <w:color w:val="auto"/>
                <w:sz w:val="21"/>
                <w:szCs w:val="21"/>
                <w:lang w:val="en-US" w:eastAsia="zh-CN"/>
              </w:rPr>
              <w:t>977</w:t>
            </w:r>
            <w:r>
              <w:rPr>
                <w:color w:val="auto"/>
                <w:sz w:val="21"/>
                <w:szCs w:val="21"/>
              </w:rPr>
              <w:t>mg/L;</w:t>
            </w:r>
            <w:r>
              <w:rPr>
                <w:rFonts w:hint="eastAsia"/>
                <w:color w:val="auto"/>
                <w:sz w:val="21"/>
                <w:szCs w:val="21"/>
                <w:lang w:val="en-US" w:eastAsia="zh-CN"/>
              </w:rPr>
              <w:t>10.577</w:t>
            </w:r>
            <w:r>
              <w:rPr>
                <w:color w:val="auto"/>
                <w:sz w:val="21"/>
                <w:szCs w:val="21"/>
              </w:rPr>
              <w:t>t/a</w:t>
            </w:r>
          </w:p>
          <w:p>
            <w:pPr>
              <w:pStyle w:val="332"/>
              <w:snapToGrid w:val="0"/>
              <w:jc w:val="center"/>
              <w:rPr>
                <w:color w:val="auto"/>
                <w:sz w:val="21"/>
                <w:szCs w:val="21"/>
              </w:rPr>
            </w:pPr>
            <w:r>
              <w:rPr>
                <w:color w:val="auto"/>
                <w:sz w:val="21"/>
                <w:szCs w:val="21"/>
              </w:rPr>
              <w:t xml:space="preserve">SS: </w:t>
            </w:r>
            <w:r>
              <w:rPr>
                <w:rFonts w:hint="eastAsia"/>
                <w:color w:val="auto"/>
                <w:sz w:val="21"/>
                <w:szCs w:val="21"/>
                <w:lang w:val="en-US" w:eastAsia="zh-CN"/>
              </w:rPr>
              <w:t>782</w:t>
            </w:r>
            <w:r>
              <w:rPr>
                <w:color w:val="auto"/>
                <w:sz w:val="21"/>
                <w:szCs w:val="21"/>
              </w:rPr>
              <w:t>mg/L;</w:t>
            </w:r>
            <w:r>
              <w:rPr>
                <w:rFonts w:hint="default"/>
                <w:color w:val="auto"/>
                <w:sz w:val="21"/>
                <w:szCs w:val="21"/>
                <w:lang w:val="en-US" w:eastAsia="zh-CN"/>
              </w:rPr>
              <w:t>8.465</w:t>
            </w:r>
            <w:r>
              <w:rPr>
                <w:color w:val="auto"/>
                <w:sz w:val="21"/>
                <w:szCs w:val="21"/>
              </w:rPr>
              <w:t>t/a</w:t>
            </w:r>
          </w:p>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r>
              <w:rPr>
                <w:rFonts w:hint="eastAsia"/>
                <w:color w:val="auto"/>
                <w:sz w:val="21"/>
                <w:szCs w:val="21"/>
                <w:lang w:val="en-US" w:eastAsia="zh-CN"/>
              </w:rPr>
              <w:t>253</w:t>
            </w:r>
            <w:r>
              <w:rPr>
                <w:color w:val="auto"/>
                <w:sz w:val="21"/>
                <w:szCs w:val="21"/>
              </w:rPr>
              <w:t>mg/L;</w:t>
            </w:r>
            <w:r>
              <w:rPr>
                <w:rFonts w:hint="default"/>
                <w:color w:val="auto"/>
                <w:sz w:val="21"/>
                <w:szCs w:val="21"/>
                <w:lang w:val="en-US" w:eastAsia="zh-CN"/>
              </w:rPr>
              <w:t>2.738</w:t>
            </w:r>
            <w:r>
              <w:rPr>
                <w:color w:val="auto"/>
                <w:sz w:val="21"/>
                <w:szCs w:val="21"/>
              </w:rPr>
              <w:t>t/a</w:t>
            </w:r>
          </w:p>
          <w:p>
            <w:pPr>
              <w:pStyle w:val="332"/>
              <w:snapToGrid w:val="0"/>
              <w:jc w:val="center"/>
              <w:rPr>
                <w:color w:val="auto"/>
                <w:sz w:val="21"/>
                <w:szCs w:val="21"/>
              </w:rPr>
            </w:pPr>
            <w:r>
              <w:rPr>
                <w:color w:val="auto"/>
                <w:sz w:val="21"/>
                <w:szCs w:val="21"/>
              </w:rPr>
              <w:t>TP:</w:t>
            </w:r>
            <w:r>
              <w:rPr>
                <w:rFonts w:hint="eastAsia"/>
                <w:color w:val="auto"/>
                <w:sz w:val="21"/>
                <w:szCs w:val="21"/>
                <w:lang w:val="en-US" w:eastAsia="zh-CN"/>
              </w:rPr>
              <w:t>41</w:t>
            </w:r>
            <w:r>
              <w:rPr>
                <w:color w:val="auto"/>
                <w:sz w:val="21"/>
                <w:szCs w:val="21"/>
              </w:rPr>
              <w:t>mg/L;</w:t>
            </w:r>
            <w:r>
              <w:rPr>
                <w:rFonts w:hint="default"/>
                <w:color w:val="auto"/>
                <w:sz w:val="21"/>
                <w:szCs w:val="21"/>
                <w:lang w:val="en-US" w:eastAsia="zh-CN"/>
              </w:rPr>
              <w:t>0.441</w:t>
            </w:r>
            <w:r>
              <w:rPr>
                <w:color w:val="auto"/>
                <w:sz w:val="21"/>
                <w:szCs w:val="21"/>
              </w:rPr>
              <w:t>t/a</w:t>
            </w:r>
          </w:p>
          <w:p>
            <w:pPr>
              <w:pStyle w:val="332"/>
              <w:snapToGrid w:val="0"/>
              <w:jc w:val="center"/>
              <w:rPr>
                <w:color w:val="auto"/>
                <w:sz w:val="21"/>
                <w:szCs w:val="21"/>
              </w:rPr>
            </w:pPr>
            <w:r>
              <w:rPr>
                <w:color w:val="auto"/>
                <w:sz w:val="21"/>
                <w:szCs w:val="21"/>
              </w:rPr>
              <w:t>粪大肠菌群:22000个/</w:t>
            </w:r>
            <w:r>
              <w:rPr>
                <w:rFonts w:hint="eastAsia"/>
                <w:color w:val="auto"/>
                <w:sz w:val="21"/>
                <w:szCs w:val="21"/>
                <w:lang w:val="en-US" w:eastAsia="zh-CN"/>
              </w:rPr>
              <w:t>100</w:t>
            </w:r>
            <w:r>
              <w:rPr>
                <w:color w:val="auto"/>
                <w:sz w:val="21"/>
                <w:szCs w:val="21"/>
              </w:rPr>
              <w:t>mL</w:t>
            </w:r>
          </w:p>
          <w:p>
            <w:pPr>
              <w:pStyle w:val="332"/>
              <w:snapToGrid w:val="0"/>
              <w:jc w:val="center"/>
              <w:rPr>
                <w:color w:val="auto"/>
                <w:sz w:val="21"/>
                <w:szCs w:val="21"/>
              </w:rPr>
            </w:pPr>
            <w:r>
              <w:rPr>
                <w:color w:val="auto"/>
                <w:sz w:val="21"/>
                <w:szCs w:val="21"/>
              </w:rPr>
              <w:t>蛔虫卵:10个/L</w:t>
            </w:r>
          </w:p>
        </w:tc>
        <w:tc>
          <w:tcPr>
            <w:tcW w:w="3787" w:type="dxa"/>
            <w:noWrap w:val="0"/>
            <w:vAlign w:val="center"/>
          </w:tcPr>
          <w:p>
            <w:pPr>
              <w:pStyle w:val="332"/>
              <w:snapToGrid w:val="0"/>
              <w:jc w:val="center"/>
              <w:rPr>
                <w:color w:val="auto"/>
                <w:sz w:val="21"/>
                <w:szCs w:val="21"/>
              </w:rPr>
            </w:pPr>
            <w:r>
              <w:rPr>
                <w:color w:val="auto"/>
                <w:sz w:val="21"/>
                <w:szCs w:val="21"/>
              </w:rPr>
              <w:t>经项目自建的污水处理设施“固液分离+厌氧发酵”</w:t>
            </w:r>
            <w:r>
              <w:rPr>
                <w:rFonts w:hint="eastAsia"/>
                <w:color w:val="auto"/>
                <w:sz w:val="21"/>
                <w:szCs w:val="21"/>
              </w:rPr>
              <w:t>处理后用于周边农田施肥</w:t>
            </w:r>
            <w:r>
              <w:rPr>
                <w:color w:val="auto"/>
                <w:sz w:val="21"/>
                <w:szCs w:val="21"/>
              </w:rPr>
              <w:t>。</w:t>
            </w:r>
          </w:p>
        </w:tc>
        <w:tc>
          <w:tcPr>
            <w:tcW w:w="2720" w:type="dxa"/>
            <w:noWrap w:val="0"/>
            <w:vAlign w:val="center"/>
          </w:tcPr>
          <w:p>
            <w:pPr>
              <w:pStyle w:val="332"/>
              <w:snapToGrid w:val="0"/>
              <w:jc w:val="center"/>
              <w:rPr>
                <w:color w:val="auto"/>
                <w:sz w:val="21"/>
                <w:szCs w:val="21"/>
              </w:rPr>
            </w:pPr>
            <w:r>
              <w:rPr>
                <w:rFonts w:hint="eastAsia"/>
                <w:color w:val="auto"/>
                <w:sz w:val="21"/>
                <w:szCs w:val="21"/>
                <w:lang w:eastAsia="zh-CN"/>
              </w:rPr>
              <w:t>10827.58</w:t>
            </w:r>
            <w:r>
              <w:rPr>
                <w:color w:val="auto"/>
                <w:sz w:val="21"/>
                <w:szCs w:val="21"/>
              </w:rPr>
              <w:t>m</w:t>
            </w:r>
            <w:r>
              <w:rPr>
                <w:color w:val="auto"/>
                <w:sz w:val="21"/>
                <w:szCs w:val="21"/>
                <w:vertAlign w:val="superscript"/>
              </w:rPr>
              <w:t>3</w:t>
            </w:r>
            <w:r>
              <w:rPr>
                <w:color w:val="auto"/>
                <w:sz w:val="21"/>
                <w:szCs w:val="21"/>
              </w:rPr>
              <w:t>/a</w:t>
            </w:r>
          </w:p>
          <w:p>
            <w:pPr>
              <w:pStyle w:val="332"/>
              <w:snapToGrid w:val="0"/>
              <w:jc w:val="center"/>
              <w:rPr>
                <w:color w:val="auto"/>
                <w:sz w:val="21"/>
                <w:szCs w:val="21"/>
              </w:rPr>
            </w:pPr>
            <w:r>
              <w:rPr>
                <w:color w:val="auto"/>
                <w:sz w:val="21"/>
                <w:szCs w:val="21"/>
              </w:rPr>
              <w:t>COD:</w:t>
            </w:r>
            <w:r>
              <w:rPr>
                <w:rFonts w:hint="eastAsia"/>
                <w:color w:val="auto"/>
                <w:sz w:val="21"/>
                <w:szCs w:val="21"/>
              </w:rPr>
              <w:t>4</w:t>
            </w:r>
            <w:r>
              <w:rPr>
                <w:color w:val="auto"/>
                <w:sz w:val="21"/>
                <w:szCs w:val="21"/>
              </w:rPr>
              <w:t>00mg/L;</w:t>
            </w:r>
            <w:r>
              <w:rPr>
                <w:rFonts w:hint="eastAsia"/>
                <w:color w:val="auto"/>
                <w:sz w:val="21"/>
                <w:szCs w:val="21"/>
                <w:lang w:val="en-US" w:eastAsia="zh-CN"/>
              </w:rPr>
              <w:t>4.331</w:t>
            </w:r>
            <w:r>
              <w:rPr>
                <w:color w:val="auto"/>
                <w:sz w:val="21"/>
                <w:szCs w:val="21"/>
              </w:rPr>
              <w:t>t/a</w:t>
            </w:r>
          </w:p>
          <w:p>
            <w:pPr>
              <w:pStyle w:val="332"/>
              <w:snapToGrid w:val="0"/>
              <w:jc w:val="center"/>
              <w:rPr>
                <w:color w:val="auto"/>
                <w:sz w:val="21"/>
                <w:szCs w:val="21"/>
              </w:rPr>
            </w:pPr>
            <w:r>
              <w:rPr>
                <w:color w:val="auto"/>
                <w:sz w:val="21"/>
                <w:szCs w:val="21"/>
              </w:rPr>
              <w:t>BOD:</w:t>
            </w:r>
            <w:r>
              <w:rPr>
                <w:rFonts w:hint="eastAsia"/>
                <w:color w:val="auto"/>
                <w:sz w:val="21"/>
                <w:szCs w:val="21"/>
                <w:lang w:val="en-US" w:eastAsia="zh-CN"/>
              </w:rPr>
              <w:t>150</w:t>
            </w:r>
            <w:r>
              <w:rPr>
                <w:color w:val="auto"/>
                <w:sz w:val="21"/>
                <w:szCs w:val="21"/>
              </w:rPr>
              <w:t xml:space="preserve">mg/L; </w:t>
            </w:r>
            <w:r>
              <w:rPr>
                <w:rFonts w:hint="eastAsia"/>
                <w:color w:val="auto"/>
                <w:sz w:val="21"/>
                <w:szCs w:val="21"/>
                <w:lang w:val="en-US" w:eastAsia="zh-CN"/>
              </w:rPr>
              <w:t>1.624</w:t>
            </w:r>
            <w:r>
              <w:rPr>
                <w:color w:val="auto"/>
                <w:sz w:val="21"/>
                <w:szCs w:val="21"/>
              </w:rPr>
              <w:t>t/a</w:t>
            </w:r>
          </w:p>
          <w:p>
            <w:pPr>
              <w:pStyle w:val="332"/>
              <w:snapToGrid w:val="0"/>
              <w:jc w:val="center"/>
              <w:rPr>
                <w:color w:val="auto"/>
                <w:sz w:val="21"/>
                <w:szCs w:val="21"/>
              </w:rPr>
            </w:pPr>
            <w:r>
              <w:rPr>
                <w:color w:val="auto"/>
                <w:sz w:val="21"/>
                <w:szCs w:val="21"/>
              </w:rPr>
              <w:t>SS:</w:t>
            </w:r>
            <w:r>
              <w:rPr>
                <w:rFonts w:hint="eastAsia"/>
                <w:color w:val="auto"/>
                <w:sz w:val="21"/>
                <w:szCs w:val="21"/>
              </w:rPr>
              <w:t>2</w:t>
            </w:r>
            <w:r>
              <w:rPr>
                <w:color w:val="auto"/>
                <w:sz w:val="21"/>
                <w:szCs w:val="21"/>
              </w:rPr>
              <w:t xml:space="preserve">00mg/L; </w:t>
            </w:r>
            <w:r>
              <w:rPr>
                <w:rFonts w:hint="eastAsia"/>
                <w:color w:val="auto"/>
                <w:sz w:val="21"/>
                <w:szCs w:val="21"/>
                <w:lang w:val="en-US" w:eastAsia="zh-CN"/>
              </w:rPr>
              <w:t>2.166</w:t>
            </w:r>
            <w:r>
              <w:rPr>
                <w:color w:val="auto"/>
                <w:sz w:val="21"/>
                <w:szCs w:val="21"/>
              </w:rPr>
              <w:t>t/a</w:t>
            </w:r>
          </w:p>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r>
              <w:rPr>
                <w:rFonts w:hint="eastAsia"/>
                <w:color w:val="auto"/>
                <w:sz w:val="21"/>
                <w:szCs w:val="21"/>
              </w:rPr>
              <w:t>8</w:t>
            </w:r>
            <w:r>
              <w:rPr>
                <w:color w:val="auto"/>
                <w:sz w:val="21"/>
                <w:szCs w:val="21"/>
              </w:rPr>
              <w:t xml:space="preserve">0mg/L; </w:t>
            </w:r>
            <w:r>
              <w:rPr>
                <w:rFonts w:hint="eastAsia"/>
                <w:color w:val="auto"/>
                <w:sz w:val="21"/>
                <w:szCs w:val="21"/>
                <w:lang w:val="en-US" w:eastAsia="zh-CN"/>
              </w:rPr>
              <w:t>0.866</w:t>
            </w:r>
            <w:r>
              <w:rPr>
                <w:color w:val="auto"/>
                <w:sz w:val="21"/>
                <w:szCs w:val="21"/>
              </w:rPr>
              <w:t>t/a</w:t>
            </w:r>
          </w:p>
          <w:p>
            <w:pPr>
              <w:pStyle w:val="332"/>
              <w:snapToGrid w:val="0"/>
              <w:jc w:val="center"/>
              <w:rPr>
                <w:color w:val="auto"/>
                <w:sz w:val="21"/>
                <w:szCs w:val="21"/>
              </w:rPr>
            </w:pPr>
            <w:r>
              <w:rPr>
                <w:color w:val="auto"/>
                <w:sz w:val="21"/>
                <w:szCs w:val="21"/>
              </w:rPr>
              <w:t>TP:</w:t>
            </w:r>
            <w:r>
              <w:rPr>
                <w:rFonts w:hint="eastAsia"/>
                <w:color w:val="auto"/>
                <w:sz w:val="21"/>
                <w:szCs w:val="21"/>
              </w:rPr>
              <w:t>8</w:t>
            </w:r>
            <w:r>
              <w:rPr>
                <w:color w:val="auto"/>
                <w:sz w:val="21"/>
                <w:szCs w:val="21"/>
              </w:rPr>
              <w:t>mg/L;</w:t>
            </w:r>
            <w:r>
              <w:rPr>
                <w:rFonts w:hint="eastAsia"/>
                <w:color w:val="auto"/>
                <w:sz w:val="21"/>
                <w:szCs w:val="21"/>
                <w:lang w:val="en-US" w:eastAsia="zh-CN"/>
              </w:rPr>
              <w:t>0.087</w:t>
            </w:r>
            <w:r>
              <w:rPr>
                <w:color w:val="auto"/>
                <w:sz w:val="21"/>
                <w:szCs w:val="21"/>
              </w:rPr>
              <w:t>t/a</w:t>
            </w:r>
          </w:p>
          <w:p>
            <w:pPr>
              <w:pStyle w:val="332"/>
              <w:snapToGrid w:val="0"/>
              <w:jc w:val="center"/>
              <w:rPr>
                <w:color w:val="auto"/>
                <w:sz w:val="21"/>
                <w:szCs w:val="21"/>
              </w:rPr>
            </w:pPr>
            <w:r>
              <w:rPr>
                <w:color w:val="auto"/>
                <w:sz w:val="21"/>
                <w:szCs w:val="21"/>
              </w:rPr>
              <w:t>粪大肠菌群:</w:t>
            </w:r>
            <w:r>
              <w:rPr>
                <w:rFonts w:hint="eastAsia"/>
                <w:color w:val="auto"/>
                <w:sz w:val="21"/>
                <w:szCs w:val="21"/>
                <w:lang w:val="en-US" w:eastAsia="zh-CN"/>
              </w:rPr>
              <w:t>1</w:t>
            </w:r>
            <w:r>
              <w:rPr>
                <w:color w:val="auto"/>
                <w:sz w:val="21"/>
                <w:szCs w:val="21"/>
              </w:rPr>
              <w:t>000个/mL</w:t>
            </w:r>
          </w:p>
          <w:p>
            <w:pPr>
              <w:pStyle w:val="332"/>
              <w:snapToGrid w:val="0"/>
              <w:jc w:val="center"/>
              <w:rPr>
                <w:color w:val="auto"/>
                <w:sz w:val="21"/>
                <w:szCs w:val="21"/>
              </w:rPr>
            </w:pPr>
            <w:r>
              <w:rPr>
                <w:color w:val="auto"/>
                <w:sz w:val="21"/>
                <w:szCs w:val="21"/>
              </w:rPr>
              <w:t>蛔虫卵:2.0个/L</w:t>
            </w:r>
          </w:p>
        </w:tc>
        <w:tc>
          <w:tcPr>
            <w:tcW w:w="2111" w:type="dxa"/>
            <w:noWrap w:val="0"/>
            <w:vAlign w:val="center"/>
          </w:tcPr>
          <w:p>
            <w:pPr>
              <w:pStyle w:val="332"/>
              <w:snapToGrid w:val="0"/>
              <w:jc w:val="center"/>
              <w:rPr>
                <w:rFonts w:hint="eastAsia"/>
                <w:color w:val="auto"/>
                <w:sz w:val="21"/>
                <w:szCs w:val="21"/>
              </w:rPr>
            </w:pPr>
            <w:r>
              <w:rPr>
                <w:rFonts w:hint="eastAsia"/>
                <w:color w:val="auto"/>
                <w:sz w:val="21"/>
                <w:szCs w:val="21"/>
              </w:rPr>
              <w:t>周边土地消纳，综合利</w:t>
            </w:r>
          </w:p>
          <w:p>
            <w:pPr>
              <w:pStyle w:val="332"/>
              <w:snapToGrid w:val="0"/>
              <w:jc w:val="center"/>
              <w:rPr>
                <w:color w:val="auto"/>
                <w:sz w:val="21"/>
                <w:szCs w:val="21"/>
              </w:rPr>
            </w:pPr>
            <w:r>
              <w:rPr>
                <w:rFonts w:hint="eastAsia"/>
                <w:color w:val="auto"/>
                <w:sz w:val="21"/>
                <w:szCs w:val="21"/>
              </w:rPr>
              <w:t>用，不外排</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restart"/>
            <w:noWrap w:val="0"/>
            <w:vAlign w:val="center"/>
          </w:tcPr>
          <w:p>
            <w:pPr>
              <w:pStyle w:val="332"/>
              <w:snapToGrid w:val="0"/>
              <w:jc w:val="center"/>
              <w:rPr>
                <w:color w:val="auto"/>
                <w:sz w:val="21"/>
                <w:szCs w:val="21"/>
              </w:rPr>
            </w:pPr>
            <w:r>
              <w:rPr>
                <w:color w:val="auto"/>
                <w:sz w:val="21"/>
                <w:szCs w:val="21"/>
              </w:rPr>
              <w:t>废气</w:t>
            </w:r>
          </w:p>
        </w:tc>
        <w:tc>
          <w:tcPr>
            <w:tcW w:w="500" w:type="dxa"/>
            <w:vMerge w:val="restart"/>
            <w:noWrap w:val="0"/>
            <w:vAlign w:val="center"/>
          </w:tcPr>
          <w:p>
            <w:pPr>
              <w:pStyle w:val="332"/>
              <w:snapToGrid w:val="0"/>
              <w:jc w:val="center"/>
              <w:rPr>
                <w:color w:val="auto"/>
                <w:sz w:val="21"/>
                <w:szCs w:val="21"/>
              </w:rPr>
            </w:pPr>
            <w:r>
              <w:rPr>
                <w:color w:val="auto"/>
                <w:sz w:val="21"/>
                <w:szCs w:val="21"/>
              </w:rPr>
              <w:t>施工期</w:t>
            </w:r>
          </w:p>
        </w:tc>
        <w:tc>
          <w:tcPr>
            <w:tcW w:w="1564" w:type="dxa"/>
            <w:noWrap w:val="0"/>
            <w:vAlign w:val="center"/>
          </w:tcPr>
          <w:p>
            <w:pPr>
              <w:pStyle w:val="332"/>
              <w:snapToGrid w:val="0"/>
              <w:jc w:val="center"/>
              <w:rPr>
                <w:color w:val="auto"/>
                <w:sz w:val="21"/>
                <w:szCs w:val="21"/>
              </w:rPr>
            </w:pPr>
            <w:r>
              <w:rPr>
                <w:color w:val="auto"/>
                <w:sz w:val="21"/>
                <w:szCs w:val="21"/>
              </w:rPr>
              <w:t>扬尘</w:t>
            </w:r>
          </w:p>
        </w:tc>
        <w:tc>
          <w:tcPr>
            <w:tcW w:w="2405" w:type="dxa"/>
            <w:noWrap w:val="0"/>
            <w:vAlign w:val="center"/>
          </w:tcPr>
          <w:p>
            <w:pPr>
              <w:pStyle w:val="332"/>
              <w:snapToGrid w:val="0"/>
              <w:jc w:val="center"/>
              <w:rPr>
                <w:color w:val="auto"/>
                <w:sz w:val="21"/>
                <w:szCs w:val="21"/>
              </w:rPr>
            </w:pPr>
            <w:r>
              <w:rPr>
                <w:color w:val="auto"/>
                <w:sz w:val="21"/>
                <w:szCs w:val="21"/>
              </w:rPr>
              <w:t>3.5mg/m</w:t>
            </w:r>
            <w:r>
              <w:rPr>
                <w:color w:val="auto"/>
                <w:sz w:val="21"/>
                <w:szCs w:val="21"/>
                <w:vertAlign w:val="superscript"/>
              </w:rPr>
              <w:t>3</w:t>
            </w:r>
            <w:r>
              <w:rPr>
                <w:color w:val="auto"/>
                <w:sz w:val="21"/>
                <w:szCs w:val="21"/>
              </w:rPr>
              <w:t>(平均浓度)</w:t>
            </w:r>
          </w:p>
        </w:tc>
        <w:tc>
          <w:tcPr>
            <w:tcW w:w="3787" w:type="dxa"/>
            <w:noWrap w:val="0"/>
            <w:vAlign w:val="center"/>
          </w:tcPr>
          <w:p>
            <w:pPr>
              <w:pStyle w:val="332"/>
              <w:snapToGrid w:val="0"/>
              <w:jc w:val="center"/>
              <w:rPr>
                <w:color w:val="auto"/>
                <w:sz w:val="21"/>
                <w:szCs w:val="21"/>
              </w:rPr>
            </w:pPr>
            <w:r>
              <w:rPr>
                <w:color w:val="auto"/>
                <w:sz w:val="21"/>
                <w:szCs w:val="21"/>
              </w:rPr>
              <w:t>洒水降尘、设置围挡、加强管理</w:t>
            </w:r>
          </w:p>
        </w:tc>
        <w:tc>
          <w:tcPr>
            <w:tcW w:w="2720" w:type="dxa"/>
            <w:noWrap w:val="0"/>
            <w:vAlign w:val="center"/>
          </w:tcPr>
          <w:p>
            <w:pPr>
              <w:pStyle w:val="332"/>
              <w:snapToGrid w:val="0"/>
              <w:jc w:val="center"/>
              <w:rPr>
                <w:color w:val="auto"/>
                <w:sz w:val="21"/>
                <w:szCs w:val="21"/>
              </w:rPr>
            </w:pPr>
            <w:r>
              <w:rPr>
                <w:color w:val="auto"/>
                <w:sz w:val="21"/>
                <w:szCs w:val="21"/>
              </w:rPr>
              <w:t>&lt;1.0mg/m</w:t>
            </w:r>
            <w:r>
              <w:rPr>
                <w:color w:val="auto"/>
                <w:sz w:val="21"/>
                <w:szCs w:val="21"/>
                <w:vertAlign w:val="superscript"/>
              </w:rPr>
              <w:t>3</w:t>
            </w:r>
          </w:p>
        </w:tc>
        <w:tc>
          <w:tcPr>
            <w:tcW w:w="2111" w:type="dxa"/>
            <w:noWrap w:val="0"/>
            <w:vAlign w:val="center"/>
          </w:tcPr>
          <w:p>
            <w:pPr>
              <w:pStyle w:val="332"/>
              <w:snapToGrid w:val="0"/>
              <w:jc w:val="center"/>
              <w:rPr>
                <w:color w:val="auto"/>
                <w:sz w:val="21"/>
                <w:szCs w:val="21"/>
              </w:rPr>
            </w:pPr>
            <w:r>
              <w:rPr>
                <w:color w:val="auto"/>
                <w:sz w:val="21"/>
                <w:szCs w:val="21"/>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rFonts w:hint="eastAsia"/>
                <w:color w:val="auto"/>
                <w:sz w:val="21"/>
                <w:szCs w:val="21"/>
              </w:rPr>
              <w:t>机械废气</w:t>
            </w:r>
          </w:p>
        </w:tc>
        <w:tc>
          <w:tcPr>
            <w:tcW w:w="2405" w:type="dxa"/>
            <w:noWrap w:val="0"/>
            <w:vAlign w:val="center"/>
          </w:tcPr>
          <w:p>
            <w:pPr>
              <w:pStyle w:val="332"/>
              <w:snapToGrid w:val="0"/>
              <w:jc w:val="center"/>
              <w:rPr>
                <w:color w:val="auto"/>
                <w:sz w:val="21"/>
                <w:szCs w:val="21"/>
              </w:rPr>
            </w:pPr>
            <w:r>
              <w:rPr>
                <w:rFonts w:hint="eastAsia"/>
                <w:color w:val="auto"/>
                <w:sz w:val="21"/>
                <w:szCs w:val="21"/>
              </w:rPr>
              <w:t>少量</w:t>
            </w:r>
          </w:p>
        </w:tc>
        <w:tc>
          <w:tcPr>
            <w:tcW w:w="3787" w:type="dxa"/>
            <w:noWrap w:val="0"/>
            <w:vAlign w:val="center"/>
          </w:tcPr>
          <w:p>
            <w:pPr>
              <w:pStyle w:val="332"/>
              <w:snapToGrid w:val="0"/>
              <w:jc w:val="center"/>
              <w:rPr>
                <w:color w:val="auto"/>
                <w:sz w:val="21"/>
                <w:szCs w:val="21"/>
              </w:rPr>
            </w:pPr>
            <w:r>
              <w:rPr>
                <w:rFonts w:hint="eastAsia"/>
                <w:color w:val="auto"/>
                <w:sz w:val="21"/>
                <w:szCs w:val="21"/>
              </w:rPr>
              <w:t>施工场地开阔，扩散条件良好</w:t>
            </w:r>
          </w:p>
        </w:tc>
        <w:tc>
          <w:tcPr>
            <w:tcW w:w="2720" w:type="dxa"/>
            <w:noWrap w:val="0"/>
            <w:vAlign w:val="center"/>
          </w:tcPr>
          <w:p>
            <w:pPr>
              <w:pStyle w:val="332"/>
              <w:snapToGrid w:val="0"/>
              <w:jc w:val="center"/>
              <w:rPr>
                <w:color w:val="auto"/>
                <w:sz w:val="21"/>
                <w:szCs w:val="21"/>
              </w:rPr>
            </w:pPr>
            <w:r>
              <w:rPr>
                <w:rFonts w:hint="eastAsia"/>
                <w:color w:val="auto"/>
                <w:sz w:val="21"/>
                <w:szCs w:val="21"/>
              </w:rPr>
              <w:t>少量</w:t>
            </w:r>
          </w:p>
        </w:tc>
        <w:tc>
          <w:tcPr>
            <w:tcW w:w="2111" w:type="dxa"/>
            <w:noWrap w:val="0"/>
            <w:vAlign w:val="center"/>
          </w:tcPr>
          <w:p>
            <w:pPr>
              <w:pStyle w:val="332"/>
              <w:snapToGrid w:val="0"/>
              <w:jc w:val="center"/>
              <w:rPr>
                <w:color w:val="auto"/>
                <w:sz w:val="21"/>
                <w:szCs w:val="21"/>
              </w:rPr>
            </w:pPr>
            <w:r>
              <w:rPr>
                <w:color w:val="auto"/>
                <w:sz w:val="21"/>
                <w:szCs w:val="21"/>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rFonts w:hint="eastAsia"/>
                <w:color w:val="auto"/>
                <w:sz w:val="21"/>
                <w:szCs w:val="21"/>
              </w:rPr>
              <w:t>装修废气</w:t>
            </w:r>
          </w:p>
        </w:tc>
        <w:tc>
          <w:tcPr>
            <w:tcW w:w="2405" w:type="dxa"/>
            <w:noWrap w:val="0"/>
            <w:vAlign w:val="center"/>
          </w:tcPr>
          <w:p>
            <w:pPr>
              <w:pStyle w:val="332"/>
              <w:snapToGrid w:val="0"/>
              <w:jc w:val="center"/>
              <w:rPr>
                <w:color w:val="auto"/>
                <w:sz w:val="21"/>
                <w:szCs w:val="21"/>
              </w:rPr>
            </w:pPr>
            <w:r>
              <w:rPr>
                <w:rFonts w:hint="eastAsia"/>
                <w:color w:val="auto"/>
                <w:sz w:val="21"/>
                <w:szCs w:val="21"/>
              </w:rPr>
              <w:t>少量</w:t>
            </w:r>
          </w:p>
        </w:tc>
        <w:tc>
          <w:tcPr>
            <w:tcW w:w="3787" w:type="dxa"/>
            <w:noWrap w:val="0"/>
            <w:vAlign w:val="center"/>
          </w:tcPr>
          <w:p>
            <w:pPr>
              <w:pStyle w:val="332"/>
              <w:snapToGrid w:val="0"/>
              <w:jc w:val="center"/>
              <w:rPr>
                <w:color w:val="auto"/>
                <w:sz w:val="21"/>
                <w:szCs w:val="21"/>
              </w:rPr>
            </w:pPr>
            <w:r>
              <w:rPr>
                <w:rFonts w:hint="eastAsia"/>
                <w:color w:val="auto"/>
                <w:sz w:val="21"/>
                <w:szCs w:val="21"/>
              </w:rPr>
              <w:t xml:space="preserve">选用环保型装修材料，加强通风换气 </w:t>
            </w:r>
          </w:p>
        </w:tc>
        <w:tc>
          <w:tcPr>
            <w:tcW w:w="2720" w:type="dxa"/>
            <w:noWrap w:val="0"/>
            <w:vAlign w:val="center"/>
          </w:tcPr>
          <w:p>
            <w:pPr>
              <w:pStyle w:val="332"/>
              <w:snapToGrid w:val="0"/>
              <w:jc w:val="center"/>
              <w:rPr>
                <w:color w:val="auto"/>
                <w:sz w:val="21"/>
                <w:szCs w:val="21"/>
              </w:rPr>
            </w:pPr>
            <w:r>
              <w:rPr>
                <w:rFonts w:hint="eastAsia"/>
                <w:color w:val="auto"/>
                <w:sz w:val="21"/>
                <w:szCs w:val="21"/>
              </w:rPr>
              <w:t>少量</w:t>
            </w:r>
          </w:p>
        </w:tc>
        <w:tc>
          <w:tcPr>
            <w:tcW w:w="2111" w:type="dxa"/>
            <w:noWrap w:val="0"/>
            <w:vAlign w:val="center"/>
          </w:tcPr>
          <w:p>
            <w:pPr>
              <w:pStyle w:val="332"/>
              <w:snapToGrid w:val="0"/>
              <w:jc w:val="center"/>
              <w:rPr>
                <w:color w:val="auto"/>
                <w:sz w:val="21"/>
                <w:szCs w:val="21"/>
              </w:rPr>
            </w:pPr>
            <w:r>
              <w:rPr>
                <w:color w:val="auto"/>
                <w:sz w:val="21"/>
                <w:szCs w:val="21"/>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restart"/>
            <w:noWrap w:val="0"/>
            <w:vAlign w:val="center"/>
          </w:tcPr>
          <w:p>
            <w:pPr>
              <w:pStyle w:val="332"/>
              <w:snapToGrid w:val="0"/>
              <w:jc w:val="center"/>
              <w:rPr>
                <w:color w:val="auto"/>
                <w:sz w:val="21"/>
                <w:szCs w:val="21"/>
              </w:rPr>
            </w:pPr>
            <w:r>
              <w:rPr>
                <w:color w:val="auto"/>
                <w:sz w:val="21"/>
                <w:szCs w:val="21"/>
              </w:rPr>
              <w:t>营运期</w:t>
            </w:r>
          </w:p>
        </w:tc>
        <w:tc>
          <w:tcPr>
            <w:tcW w:w="1564" w:type="dxa"/>
            <w:tcBorders>
              <w:bottom w:val="single" w:color="auto" w:sz="4" w:space="0"/>
            </w:tcBorders>
            <w:noWrap w:val="0"/>
            <w:vAlign w:val="center"/>
          </w:tcPr>
          <w:p>
            <w:pPr>
              <w:pStyle w:val="332"/>
              <w:snapToGrid w:val="0"/>
              <w:jc w:val="center"/>
              <w:rPr>
                <w:color w:val="auto"/>
                <w:sz w:val="21"/>
                <w:szCs w:val="21"/>
              </w:rPr>
            </w:pPr>
            <w:r>
              <w:rPr>
                <w:color w:val="auto"/>
                <w:sz w:val="21"/>
                <w:szCs w:val="21"/>
              </w:rPr>
              <w:t>猪舍</w:t>
            </w:r>
            <w:r>
              <w:rPr>
                <w:rFonts w:hint="eastAsia"/>
                <w:color w:val="auto"/>
                <w:sz w:val="21"/>
                <w:szCs w:val="21"/>
                <w:lang w:eastAsia="zh-CN"/>
              </w:rPr>
              <w:t>、</w:t>
            </w:r>
            <w:r>
              <w:rPr>
                <w:rFonts w:hint="eastAsia"/>
                <w:color w:val="auto"/>
                <w:sz w:val="21"/>
                <w:szCs w:val="21"/>
                <w:lang w:val="en-US" w:eastAsia="zh-CN"/>
              </w:rPr>
              <w:t>干粪堆场</w:t>
            </w:r>
            <w:r>
              <w:rPr>
                <w:rFonts w:hint="eastAsia"/>
                <w:color w:val="auto"/>
                <w:sz w:val="21"/>
                <w:szCs w:val="21"/>
                <w:lang w:eastAsia="zh-CN"/>
              </w:rPr>
              <w:t>恶臭</w:t>
            </w:r>
          </w:p>
        </w:tc>
        <w:tc>
          <w:tcPr>
            <w:tcW w:w="2405" w:type="dxa"/>
            <w:tcBorders>
              <w:bottom w:val="single" w:color="auto" w:sz="4" w:space="0"/>
            </w:tcBorders>
            <w:noWrap w:val="0"/>
            <w:vAlign w:val="center"/>
          </w:tcPr>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w:t>
            </w:r>
            <w:r>
              <w:rPr>
                <w:rFonts w:hint="eastAsia"/>
                <w:color w:val="auto"/>
                <w:sz w:val="21"/>
                <w:szCs w:val="21"/>
                <w:lang w:eastAsia="zh-CN"/>
              </w:rPr>
              <w:t>1.7237</w:t>
            </w:r>
            <w:r>
              <w:rPr>
                <w:color w:val="auto"/>
                <w:sz w:val="21"/>
                <w:szCs w:val="21"/>
              </w:rPr>
              <w:t>t/a</w:t>
            </w:r>
          </w:p>
          <w:p>
            <w:pPr>
              <w:pStyle w:val="332"/>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lang w:eastAsia="zh-CN"/>
              </w:rPr>
              <w:t>0.1172</w:t>
            </w:r>
            <w:r>
              <w:rPr>
                <w:color w:val="auto"/>
                <w:sz w:val="21"/>
                <w:szCs w:val="21"/>
              </w:rPr>
              <w:t>t/a</w:t>
            </w:r>
          </w:p>
        </w:tc>
        <w:tc>
          <w:tcPr>
            <w:tcW w:w="3787" w:type="dxa"/>
            <w:tcBorders>
              <w:bottom w:val="single" w:color="auto" w:sz="4" w:space="0"/>
            </w:tcBorders>
            <w:noWrap w:val="0"/>
            <w:vAlign w:val="center"/>
          </w:tcPr>
          <w:p>
            <w:pPr>
              <w:pStyle w:val="332"/>
              <w:snapToGrid w:val="0"/>
              <w:jc w:val="center"/>
              <w:rPr>
                <w:color w:val="auto"/>
                <w:sz w:val="21"/>
                <w:szCs w:val="21"/>
              </w:rPr>
            </w:pPr>
            <w:r>
              <w:rPr>
                <w:rFonts w:hint="eastAsia"/>
                <w:color w:val="auto"/>
                <w:sz w:val="21"/>
                <w:szCs w:val="21"/>
                <w:lang w:val="en-US" w:eastAsia="zh-CN"/>
              </w:rPr>
              <w:t>科学设计日粮，</w:t>
            </w:r>
            <w:r>
              <w:rPr>
                <w:rFonts w:hint="eastAsia"/>
                <w:color w:val="auto"/>
                <w:sz w:val="21"/>
                <w:szCs w:val="21"/>
              </w:rPr>
              <w:t>选用益生菌配方饲料</w:t>
            </w:r>
            <w:r>
              <w:rPr>
                <w:rFonts w:hint="eastAsia"/>
                <w:color w:val="auto"/>
                <w:sz w:val="21"/>
                <w:szCs w:val="21"/>
                <w:lang w:eastAsia="zh-CN"/>
              </w:rPr>
              <w:t>；</w:t>
            </w:r>
            <w:r>
              <w:rPr>
                <w:rFonts w:hint="eastAsia"/>
                <w:color w:val="auto"/>
                <w:sz w:val="21"/>
                <w:szCs w:val="21"/>
                <w:lang w:val="en-US" w:eastAsia="zh-CN"/>
              </w:rPr>
              <w:t>采用干清粪工艺，</w:t>
            </w:r>
            <w:r>
              <w:rPr>
                <w:rFonts w:hint="eastAsia"/>
                <w:color w:val="auto"/>
                <w:sz w:val="21"/>
                <w:szCs w:val="21"/>
                <w:lang w:eastAsia="zh-CN"/>
              </w:rPr>
              <w:t>猪舍、</w:t>
            </w:r>
            <w:r>
              <w:rPr>
                <w:rFonts w:hint="eastAsia"/>
                <w:color w:val="auto"/>
                <w:sz w:val="21"/>
                <w:szCs w:val="21"/>
                <w:lang w:val="en-US" w:eastAsia="zh-CN"/>
              </w:rPr>
              <w:t>干粪堆场及时清运粪污并喷洒除臭剂；加强绿化；污水管道地埋式；猪舍密闭，安装负压通风机，加强舍内通风；保持圈舍清洁卫生</w:t>
            </w:r>
          </w:p>
        </w:tc>
        <w:tc>
          <w:tcPr>
            <w:tcW w:w="2720" w:type="dxa"/>
            <w:tcBorders>
              <w:bottom w:val="single" w:color="auto" w:sz="4" w:space="0"/>
            </w:tcBorders>
            <w:noWrap w:val="0"/>
            <w:vAlign w:val="center"/>
          </w:tcPr>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：0.0</w:t>
            </w:r>
            <w:r>
              <w:rPr>
                <w:rFonts w:hint="eastAsia"/>
                <w:color w:val="auto"/>
                <w:sz w:val="21"/>
                <w:szCs w:val="21"/>
                <w:lang w:val="en-US" w:eastAsia="zh-CN"/>
              </w:rPr>
              <w:t>097</w:t>
            </w:r>
            <w:r>
              <w:rPr>
                <w:color w:val="auto"/>
                <w:sz w:val="21"/>
                <w:szCs w:val="21"/>
              </w:rPr>
              <w:t>t/a</w:t>
            </w:r>
          </w:p>
          <w:p>
            <w:pPr>
              <w:pStyle w:val="332"/>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0.</w:t>
            </w:r>
            <w:r>
              <w:rPr>
                <w:rFonts w:hint="eastAsia"/>
                <w:color w:val="auto"/>
                <w:sz w:val="21"/>
                <w:szCs w:val="21"/>
                <w:lang w:val="en-US" w:eastAsia="zh-CN"/>
              </w:rPr>
              <w:t>0</w:t>
            </w:r>
            <w:r>
              <w:rPr>
                <w:rFonts w:hint="eastAsia"/>
                <w:color w:val="auto"/>
                <w:sz w:val="21"/>
                <w:szCs w:val="21"/>
              </w:rPr>
              <w:t>117</w:t>
            </w:r>
            <w:r>
              <w:rPr>
                <w:color w:val="auto"/>
                <w:sz w:val="21"/>
                <w:szCs w:val="21"/>
              </w:rPr>
              <w:t>t/a</w:t>
            </w:r>
          </w:p>
        </w:tc>
        <w:tc>
          <w:tcPr>
            <w:tcW w:w="2111" w:type="dxa"/>
            <w:vMerge w:val="restart"/>
            <w:noWrap w:val="0"/>
            <w:vAlign w:val="center"/>
          </w:tcPr>
          <w:p>
            <w:pPr>
              <w:pStyle w:val="332"/>
              <w:snapToGrid w:val="0"/>
              <w:jc w:val="center"/>
              <w:rPr>
                <w:color w:val="auto"/>
                <w:sz w:val="21"/>
                <w:szCs w:val="21"/>
              </w:rPr>
            </w:pPr>
            <w:r>
              <w:rPr>
                <w:color w:val="auto"/>
                <w:sz w:val="21"/>
                <w:szCs w:val="21"/>
              </w:rPr>
              <w:t>厂界臭气浓度均能够满足《畜禽养殖业污染物排放标准》中的规定值，对厂界外空气质量影响很小</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tcBorders>
              <w:top w:val="single" w:color="auto" w:sz="4" w:space="0"/>
            </w:tcBorders>
            <w:noWrap w:val="0"/>
            <w:vAlign w:val="center"/>
          </w:tcPr>
          <w:p>
            <w:pPr>
              <w:pStyle w:val="332"/>
              <w:snapToGrid w:val="0"/>
              <w:jc w:val="center"/>
              <w:rPr>
                <w:rFonts w:hint="eastAsia"/>
                <w:color w:val="auto"/>
                <w:sz w:val="21"/>
                <w:szCs w:val="21"/>
              </w:rPr>
            </w:pPr>
            <w:r>
              <w:rPr>
                <w:rFonts w:hint="eastAsia"/>
                <w:color w:val="auto"/>
                <w:sz w:val="21"/>
                <w:szCs w:val="21"/>
              </w:rPr>
              <w:t>污水处理区恶臭</w:t>
            </w:r>
          </w:p>
        </w:tc>
        <w:tc>
          <w:tcPr>
            <w:tcW w:w="2405" w:type="dxa"/>
            <w:tcBorders>
              <w:top w:val="single" w:color="auto" w:sz="4" w:space="0"/>
            </w:tcBorders>
            <w:noWrap w:val="0"/>
            <w:vAlign w:val="center"/>
          </w:tcPr>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：0.0</w:t>
            </w:r>
            <w:r>
              <w:rPr>
                <w:rFonts w:hint="eastAsia"/>
                <w:color w:val="auto"/>
                <w:sz w:val="21"/>
                <w:szCs w:val="21"/>
                <w:lang w:val="en-US" w:eastAsia="zh-CN"/>
              </w:rPr>
              <w:t>278</w:t>
            </w:r>
            <w:r>
              <w:rPr>
                <w:color w:val="auto"/>
                <w:sz w:val="21"/>
                <w:szCs w:val="21"/>
              </w:rPr>
              <w:t>t/a</w:t>
            </w:r>
          </w:p>
          <w:p>
            <w:pPr>
              <w:pStyle w:val="332"/>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S：0.001</w:t>
            </w:r>
            <w:r>
              <w:rPr>
                <w:rFonts w:hint="eastAsia"/>
                <w:color w:val="auto"/>
                <w:sz w:val="21"/>
                <w:szCs w:val="21"/>
                <w:lang w:val="en-US" w:eastAsia="zh-CN"/>
              </w:rPr>
              <w:t>1</w:t>
            </w:r>
            <w:r>
              <w:rPr>
                <w:color w:val="auto"/>
                <w:sz w:val="21"/>
                <w:szCs w:val="21"/>
              </w:rPr>
              <w:t>t/a</w:t>
            </w:r>
          </w:p>
        </w:tc>
        <w:tc>
          <w:tcPr>
            <w:tcW w:w="3787" w:type="dxa"/>
            <w:tcBorders>
              <w:top w:val="single" w:color="auto" w:sz="4" w:space="0"/>
            </w:tcBorders>
            <w:noWrap w:val="0"/>
            <w:vAlign w:val="center"/>
          </w:tcPr>
          <w:p>
            <w:pPr>
              <w:pStyle w:val="332"/>
              <w:snapToGrid w:val="0"/>
              <w:jc w:val="center"/>
              <w:rPr>
                <w:color w:val="auto"/>
                <w:sz w:val="21"/>
                <w:szCs w:val="21"/>
              </w:rPr>
            </w:pPr>
            <w:r>
              <w:rPr>
                <w:rFonts w:hint="eastAsia"/>
                <w:color w:val="auto"/>
                <w:sz w:val="21"/>
                <w:szCs w:val="21"/>
              </w:rPr>
              <w:t>收集池加盖；黑膜沼气池采取黑膜加盖封闭；</w:t>
            </w:r>
            <w:r>
              <w:rPr>
                <w:rFonts w:hint="eastAsia"/>
                <w:color w:val="auto"/>
                <w:sz w:val="21"/>
                <w:szCs w:val="21"/>
                <w:lang w:eastAsia="zh-CN"/>
              </w:rPr>
              <w:t>沼液暂存池</w:t>
            </w:r>
            <w:r>
              <w:rPr>
                <w:rFonts w:hint="eastAsia"/>
                <w:color w:val="auto"/>
                <w:sz w:val="21"/>
                <w:szCs w:val="21"/>
              </w:rPr>
              <w:t>加盖；恶臭产气区域喷洒除臭剂</w:t>
            </w:r>
          </w:p>
        </w:tc>
        <w:tc>
          <w:tcPr>
            <w:tcW w:w="2720" w:type="dxa"/>
            <w:tcBorders>
              <w:top w:val="single" w:color="auto" w:sz="4" w:space="0"/>
            </w:tcBorders>
            <w:noWrap w:val="0"/>
            <w:vAlign w:val="center"/>
          </w:tcPr>
          <w:p>
            <w:pPr>
              <w:pStyle w:val="332"/>
              <w:snapToGrid w:val="0"/>
              <w:jc w:val="center"/>
              <w:rPr>
                <w:color w:val="auto"/>
                <w:sz w:val="21"/>
                <w:szCs w:val="21"/>
              </w:rPr>
            </w:pPr>
            <w:r>
              <w:rPr>
                <w:color w:val="auto"/>
                <w:sz w:val="21"/>
                <w:szCs w:val="21"/>
              </w:rPr>
              <w:t>NH</w:t>
            </w:r>
            <w:r>
              <w:rPr>
                <w:color w:val="auto"/>
                <w:sz w:val="21"/>
                <w:szCs w:val="21"/>
                <w:vertAlign w:val="subscript"/>
              </w:rPr>
              <w:t>3</w:t>
            </w:r>
            <w:r>
              <w:rPr>
                <w:color w:val="auto"/>
                <w:sz w:val="21"/>
                <w:szCs w:val="21"/>
              </w:rPr>
              <w:t>：</w:t>
            </w:r>
            <w:r>
              <w:rPr>
                <w:rFonts w:hint="eastAsia"/>
                <w:color w:val="auto"/>
                <w:sz w:val="21"/>
                <w:szCs w:val="21"/>
                <w:lang w:val="en-US" w:eastAsia="zh-CN"/>
              </w:rPr>
              <w:t>0</w:t>
            </w:r>
            <w:r>
              <w:rPr>
                <w:color w:val="auto"/>
                <w:sz w:val="21"/>
                <w:szCs w:val="21"/>
              </w:rPr>
              <w:t>.0</w:t>
            </w:r>
            <w:r>
              <w:rPr>
                <w:rFonts w:hint="eastAsia"/>
                <w:color w:val="auto"/>
                <w:sz w:val="21"/>
                <w:szCs w:val="21"/>
                <w:lang w:val="en-US" w:eastAsia="zh-CN"/>
              </w:rPr>
              <w:t>097</w:t>
            </w:r>
            <w:r>
              <w:rPr>
                <w:color w:val="auto"/>
                <w:sz w:val="21"/>
                <w:szCs w:val="21"/>
              </w:rPr>
              <w:t>t/a</w:t>
            </w:r>
          </w:p>
          <w:p>
            <w:pPr>
              <w:pStyle w:val="332"/>
              <w:snapToGrid w:val="0"/>
              <w:jc w:val="center"/>
              <w:rPr>
                <w:color w:val="auto"/>
                <w:sz w:val="21"/>
                <w:szCs w:val="21"/>
              </w:rPr>
            </w:pPr>
            <w:r>
              <w:rPr>
                <w:color w:val="auto"/>
                <w:sz w:val="21"/>
                <w:szCs w:val="21"/>
              </w:rPr>
              <w:t>H</w:t>
            </w:r>
            <w:r>
              <w:rPr>
                <w:color w:val="auto"/>
                <w:sz w:val="21"/>
                <w:szCs w:val="21"/>
                <w:vertAlign w:val="subscript"/>
              </w:rPr>
              <w:t>2</w:t>
            </w:r>
            <w:r>
              <w:rPr>
                <w:color w:val="auto"/>
                <w:sz w:val="21"/>
                <w:szCs w:val="21"/>
              </w:rPr>
              <w:t>S：0.0004t/a</w:t>
            </w:r>
          </w:p>
        </w:tc>
        <w:tc>
          <w:tcPr>
            <w:tcW w:w="2111" w:type="dxa"/>
            <w:vMerge w:val="continue"/>
            <w:noWrap w:val="0"/>
            <w:vAlign w:val="center"/>
          </w:tcPr>
          <w:p>
            <w:pPr>
              <w:pStyle w:val="332"/>
              <w:snapToGrid w:val="0"/>
              <w:jc w:val="center"/>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tcBorders>
              <w:top w:val="single" w:color="auto" w:sz="4" w:space="0"/>
            </w:tcBorders>
            <w:noWrap w:val="0"/>
            <w:vAlign w:val="center"/>
          </w:tcPr>
          <w:p>
            <w:pPr>
              <w:pStyle w:val="332"/>
              <w:snapToGrid w:val="0"/>
              <w:jc w:val="center"/>
              <w:rPr>
                <w:rFonts w:hint="eastAsia"/>
                <w:color w:val="auto"/>
                <w:sz w:val="21"/>
                <w:szCs w:val="21"/>
              </w:rPr>
            </w:pPr>
            <w:r>
              <w:rPr>
                <w:rFonts w:hint="eastAsia"/>
                <w:color w:val="auto"/>
                <w:sz w:val="21"/>
                <w:szCs w:val="21"/>
              </w:rPr>
              <w:t>运输恶臭及尾气</w:t>
            </w:r>
          </w:p>
        </w:tc>
        <w:tc>
          <w:tcPr>
            <w:tcW w:w="2405" w:type="dxa"/>
            <w:tcBorders>
              <w:top w:val="single" w:color="auto" w:sz="4" w:space="0"/>
            </w:tcBorders>
            <w:noWrap w:val="0"/>
            <w:vAlign w:val="center"/>
          </w:tcPr>
          <w:p>
            <w:pPr>
              <w:pStyle w:val="332"/>
              <w:snapToGrid w:val="0"/>
              <w:jc w:val="center"/>
              <w:rPr>
                <w:color w:val="auto"/>
                <w:sz w:val="21"/>
                <w:szCs w:val="21"/>
              </w:rPr>
            </w:pPr>
            <w:r>
              <w:rPr>
                <w:rFonts w:hint="eastAsia"/>
                <w:color w:val="auto"/>
                <w:sz w:val="21"/>
                <w:szCs w:val="21"/>
              </w:rPr>
              <w:t>少量</w:t>
            </w:r>
          </w:p>
        </w:tc>
        <w:tc>
          <w:tcPr>
            <w:tcW w:w="3787" w:type="dxa"/>
            <w:tcBorders>
              <w:top w:val="single" w:color="auto" w:sz="4" w:space="0"/>
            </w:tcBorders>
            <w:noWrap w:val="0"/>
            <w:vAlign w:val="center"/>
          </w:tcPr>
          <w:p>
            <w:pPr>
              <w:pStyle w:val="332"/>
              <w:snapToGrid w:val="0"/>
              <w:jc w:val="center"/>
              <w:rPr>
                <w:rFonts w:hint="eastAsia"/>
                <w:color w:val="auto"/>
                <w:sz w:val="21"/>
                <w:szCs w:val="21"/>
              </w:rPr>
            </w:pPr>
            <w:r>
              <w:rPr>
                <w:rFonts w:hint="eastAsia"/>
                <w:color w:val="auto"/>
                <w:sz w:val="21"/>
                <w:szCs w:val="21"/>
              </w:rPr>
              <w:t>合理安排路线，自由扩散</w:t>
            </w:r>
          </w:p>
        </w:tc>
        <w:tc>
          <w:tcPr>
            <w:tcW w:w="2720" w:type="dxa"/>
            <w:tcBorders>
              <w:top w:val="single" w:color="auto" w:sz="4" w:space="0"/>
            </w:tcBorders>
            <w:noWrap w:val="0"/>
            <w:vAlign w:val="center"/>
          </w:tcPr>
          <w:p>
            <w:pPr>
              <w:pStyle w:val="332"/>
              <w:snapToGrid w:val="0"/>
              <w:jc w:val="center"/>
              <w:rPr>
                <w:color w:val="auto"/>
                <w:sz w:val="21"/>
                <w:szCs w:val="21"/>
              </w:rPr>
            </w:pPr>
            <w:r>
              <w:rPr>
                <w:rFonts w:hint="eastAsia"/>
                <w:color w:val="auto"/>
                <w:sz w:val="21"/>
                <w:szCs w:val="21"/>
              </w:rPr>
              <w:t>少量</w:t>
            </w:r>
          </w:p>
        </w:tc>
        <w:tc>
          <w:tcPr>
            <w:tcW w:w="2111" w:type="dxa"/>
            <w:noWrap w:val="0"/>
            <w:vAlign w:val="center"/>
          </w:tcPr>
          <w:p>
            <w:pPr>
              <w:pStyle w:val="332"/>
              <w:snapToGrid w:val="0"/>
              <w:jc w:val="center"/>
              <w:rPr>
                <w:color w:val="auto"/>
                <w:sz w:val="21"/>
                <w:szCs w:val="21"/>
              </w:rPr>
            </w:pPr>
            <w:r>
              <w:rPr>
                <w:rFonts w:hint="eastAsia"/>
                <w:color w:val="auto"/>
                <w:sz w:val="21"/>
                <w:szCs w:val="21"/>
              </w:rPr>
              <w:t>无组织排放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rFonts w:hint="eastAsia"/>
                <w:color w:val="auto"/>
                <w:sz w:val="21"/>
                <w:szCs w:val="21"/>
              </w:rPr>
              <w:t>沼气燃烧废气</w:t>
            </w:r>
          </w:p>
        </w:tc>
        <w:tc>
          <w:tcPr>
            <w:tcW w:w="2405" w:type="dxa"/>
            <w:noWrap w:val="0"/>
            <w:vAlign w:val="center"/>
          </w:tcPr>
          <w:p>
            <w:pPr>
              <w:pStyle w:val="332"/>
              <w:snapToGrid w:val="0"/>
              <w:jc w:val="center"/>
              <w:rPr>
                <w:color w:val="auto"/>
                <w:sz w:val="21"/>
                <w:szCs w:val="21"/>
              </w:rPr>
            </w:pPr>
            <w:r>
              <w:rPr>
                <w:color w:val="auto"/>
                <w:position w:val="2"/>
                <w:sz w:val="21"/>
                <w:szCs w:val="21"/>
              </w:rPr>
              <w:t>SO</w:t>
            </w:r>
            <w:r>
              <w:rPr>
                <w:color w:val="auto"/>
                <w:position w:val="2"/>
                <w:sz w:val="21"/>
                <w:szCs w:val="21"/>
                <w:vertAlign w:val="subscript"/>
              </w:rPr>
              <w:t>2</w:t>
            </w:r>
            <w:r>
              <w:rPr>
                <w:color w:val="auto"/>
                <w:sz w:val="21"/>
                <w:szCs w:val="21"/>
              </w:rPr>
              <w:t>：</w:t>
            </w:r>
            <w:r>
              <w:rPr>
                <w:rFonts w:hint="eastAsia"/>
                <w:color w:val="auto"/>
                <w:sz w:val="21"/>
                <w:szCs w:val="21"/>
                <w:lang w:val="en-US" w:eastAsia="zh-CN"/>
              </w:rPr>
              <w:t>0.2930kg/a</w:t>
            </w:r>
          </w:p>
          <w:p>
            <w:pPr>
              <w:pStyle w:val="332"/>
              <w:snapToGrid w:val="0"/>
              <w:jc w:val="center"/>
              <w:rPr>
                <w:color w:val="auto"/>
                <w:sz w:val="21"/>
                <w:szCs w:val="21"/>
              </w:rPr>
            </w:pPr>
            <w:r>
              <w:rPr>
                <w:color w:val="auto"/>
                <w:sz w:val="21"/>
                <w:szCs w:val="21"/>
              </w:rPr>
              <w:t>NOx：</w:t>
            </w:r>
            <w:r>
              <w:rPr>
                <w:rFonts w:hint="eastAsia"/>
                <w:color w:val="auto"/>
                <w:sz w:val="21"/>
                <w:szCs w:val="21"/>
                <w:lang w:val="en-US" w:eastAsia="zh-CN"/>
              </w:rPr>
              <w:t>4.9042kg/a</w:t>
            </w:r>
          </w:p>
        </w:tc>
        <w:tc>
          <w:tcPr>
            <w:tcW w:w="3787" w:type="dxa"/>
            <w:noWrap w:val="0"/>
            <w:vAlign w:val="center"/>
          </w:tcPr>
          <w:p>
            <w:pPr>
              <w:pStyle w:val="332"/>
              <w:jc w:val="center"/>
              <w:rPr>
                <w:color w:val="auto"/>
                <w:sz w:val="21"/>
                <w:szCs w:val="21"/>
              </w:rPr>
            </w:pPr>
            <w:r>
              <w:rPr>
                <w:rFonts w:hint="eastAsia"/>
                <w:color w:val="auto"/>
                <w:sz w:val="21"/>
                <w:szCs w:val="21"/>
              </w:rPr>
              <w:t>沼气脱水、脱硫+食堂燃料或火炬燃烧</w:t>
            </w:r>
          </w:p>
        </w:tc>
        <w:tc>
          <w:tcPr>
            <w:tcW w:w="2720" w:type="dxa"/>
            <w:noWrap w:val="0"/>
            <w:vAlign w:val="center"/>
          </w:tcPr>
          <w:p>
            <w:pPr>
              <w:pStyle w:val="332"/>
              <w:snapToGrid w:val="0"/>
              <w:jc w:val="center"/>
              <w:rPr>
                <w:color w:val="auto"/>
                <w:sz w:val="21"/>
                <w:szCs w:val="21"/>
              </w:rPr>
            </w:pPr>
            <w:r>
              <w:rPr>
                <w:color w:val="auto"/>
                <w:position w:val="2"/>
                <w:sz w:val="21"/>
                <w:szCs w:val="21"/>
              </w:rPr>
              <w:t>SO</w:t>
            </w:r>
            <w:r>
              <w:rPr>
                <w:color w:val="auto"/>
                <w:position w:val="2"/>
                <w:sz w:val="21"/>
                <w:szCs w:val="21"/>
                <w:vertAlign w:val="subscript"/>
              </w:rPr>
              <w:t>2</w:t>
            </w:r>
            <w:r>
              <w:rPr>
                <w:color w:val="auto"/>
                <w:sz w:val="21"/>
                <w:szCs w:val="21"/>
              </w:rPr>
              <w:t>：</w:t>
            </w:r>
            <w:r>
              <w:rPr>
                <w:rFonts w:hint="eastAsia"/>
                <w:color w:val="auto"/>
                <w:sz w:val="21"/>
                <w:szCs w:val="21"/>
                <w:lang w:val="en-US" w:eastAsia="zh-CN"/>
              </w:rPr>
              <w:t>0.2930kg/a</w:t>
            </w:r>
          </w:p>
          <w:p>
            <w:pPr>
              <w:pStyle w:val="332"/>
              <w:snapToGrid w:val="0"/>
              <w:jc w:val="center"/>
              <w:rPr>
                <w:color w:val="auto"/>
                <w:sz w:val="21"/>
                <w:szCs w:val="21"/>
              </w:rPr>
            </w:pPr>
            <w:r>
              <w:rPr>
                <w:color w:val="auto"/>
                <w:sz w:val="21"/>
                <w:szCs w:val="21"/>
              </w:rPr>
              <w:t>NOx：</w:t>
            </w:r>
            <w:r>
              <w:rPr>
                <w:rFonts w:hint="eastAsia"/>
                <w:color w:val="auto"/>
                <w:sz w:val="21"/>
                <w:szCs w:val="21"/>
                <w:lang w:val="en-US" w:eastAsia="zh-CN"/>
              </w:rPr>
              <w:t>4.9042kg/a</w:t>
            </w:r>
          </w:p>
        </w:tc>
        <w:tc>
          <w:tcPr>
            <w:tcW w:w="2111" w:type="dxa"/>
            <w:noWrap w:val="0"/>
            <w:vAlign w:val="center"/>
          </w:tcPr>
          <w:p>
            <w:pPr>
              <w:pStyle w:val="332"/>
              <w:snapToGrid w:val="0"/>
              <w:jc w:val="center"/>
              <w:rPr>
                <w:color w:val="auto"/>
                <w:sz w:val="21"/>
                <w:szCs w:val="21"/>
              </w:rPr>
            </w:pPr>
            <w:r>
              <w:rPr>
                <w:color w:val="auto"/>
                <w:sz w:val="21"/>
                <w:szCs w:val="21"/>
              </w:rPr>
              <w:t>清洁能源，燃烧废气对外环境无明显影响</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color w:val="auto"/>
                <w:sz w:val="21"/>
                <w:szCs w:val="21"/>
              </w:rPr>
              <w:t>食堂油烟</w:t>
            </w:r>
          </w:p>
        </w:tc>
        <w:tc>
          <w:tcPr>
            <w:tcW w:w="2405" w:type="dxa"/>
            <w:noWrap w:val="0"/>
            <w:vAlign w:val="center"/>
          </w:tcPr>
          <w:p>
            <w:pPr>
              <w:pStyle w:val="332"/>
              <w:snapToGrid w:val="0"/>
              <w:jc w:val="center"/>
              <w:rPr>
                <w:color w:val="auto"/>
                <w:sz w:val="21"/>
                <w:szCs w:val="21"/>
              </w:rPr>
            </w:pPr>
            <w:r>
              <w:rPr>
                <w:rFonts w:hint="eastAsia"/>
                <w:color w:val="auto"/>
                <w:sz w:val="21"/>
                <w:szCs w:val="21"/>
              </w:rPr>
              <w:t>2.2995</w:t>
            </w:r>
            <w:r>
              <w:rPr>
                <w:color w:val="auto"/>
                <w:sz w:val="21"/>
                <w:szCs w:val="21"/>
              </w:rPr>
              <w:t>kg/a</w:t>
            </w:r>
          </w:p>
        </w:tc>
        <w:tc>
          <w:tcPr>
            <w:tcW w:w="3787" w:type="dxa"/>
            <w:noWrap w:val="0"/>
            <w:vAlign w:val="center"/>
          </w:tcPr>
          <w:p>
            <w:pPr>
              <w:pStyle w:val="332"/>
              <w:snapToGrid w:val="0"/>
              <w:jc w:val="center"/>
              <w:rPr>
                <w:color w:val="auto"/>
                <w:sz w:val="21"/>
                <w:szCs w:val="21"/>
              </w:rPr>
            </w:pPr>
            <w:r>
              <w:rPr>
                <w:color w:val="auto"/>
                <w:sz w:val="21"/>
                <w:szCs w:val="21"/>
              </w:rPr>
              <w:t>经油烟罩收集后，再经油烟净化器处理处 理（去除率大于</w:t>
            </w:r>
            <w:r>
              <w:rPr>
                <w:rFonts w:hint="eastAsia"/>
                <w:color w:val="auto"/>
                <w:sz w:val="21"/>
                <w:szCs w:val="21"/>
                <w:lang w:val="en-US" w:eastAsia="zh-CN"/>
              </w:rPr>
              <w:t>60</w:t>
            </w:r>
            <w:r>
              <w:rPr>
                <w:color w:val="auto"/>
                <w:sz w:val="21"/>
                <w:szCs w:val="21"/>
              </w:rPr>
              <w:t>%，风机风量约</w:t>
            </w:r>
            <w:r>
              <w:rPr>
                <w:rFonts w:hint="eastAsia"/>
                <w:color w:val="auto"/>
                <w:sz w:val="21"/>
                <w:szCs w:val="21"/>
                <w:lang w:val="en-US" w:eastAsia="zh-CN"/>
              </w:rPr>
              <w:t>3</w:t>
            </w:r>
            <w:r>
              <w:rPr>
                <w:color w:val="auto"/>
                <w:sz w:val="21"/>
                <w:szCs w:val="21"/>
              </w:rPr>
              <w:t>000m</w:t>
            </w:r>
            <w:r>
              <w:rPr>
                <w:color w:val="auto"/>
                <w:sz w:val="21"/>
                <w:szCs w:val="21"/>
                <w:vertAlign w:val="superscript"/>
              </w:rPr>
              <w:t>3</w:t>
            </w:r>
            <w:r>
              <w:rPr>
                <w:color w:val="auto"/>
                <w:sz w:val="21"/>
                <w:szCs w:val="21"/>
              </w:rPr>
              <w:t>/h）</w:t>
            </w:r>
            <w:r>
              <w:rPr>
                <w:rFonts w:hint="eastAsia"/>
                <w:color w:val="auto"/>
                <w:sz w:val="21"/>
                <w:szCs w:val="21"/>
                <w:lang w:val="en-US" w:eastAsia="zh-CN"/>
              </w:rPr>
              <w:t>,</w:t>
            </w:r>
            <w:r>
              <w:rPr>
                <w:color w:val="auto"/>
                <w:sz w:val="21"/>
                <w:szCs w:val="21"/>
              </w:rPr>
              <w:t>由专用内置强制排烟道至食堂楼顶排放</w:t>
            </w:r>
            <w:r>
              <w:rPr>
                <w:rFonts w:hint="eastAsia"/>
                <w:color w:val="auto"/>
                <w:sz w:val="21"/>
                <w:szCs w:val="21"/>
                <w:lang w:eastAsia="zh-CN"/>
              </w:rPr>
              <w:t>。</w:t>
            </w:r>
          </w:p>
        </w:tc>
        <w:tc>
          <w:tcPr>
            <w:tcW w:w="2720" w:type="dxa"/>
            <w:noWrap w:val="0"/>
            <w:vAlign w:val="center"/>
          </w:tcPr>
          <w:p>
            <w:pPr>
              <w:pStyle w:val="332"/>
              <w:snapToGrid w:val="0"/>
              <w:jc w:val="center"/>
              <w:rPr>
                <w:color w:val="auto"/>
                <w:sz w:val="21"/>
                <w:szCs w:val="21"/>
              </w:rPr>
            </w:pPr>
            <w:r>
              <w:rPr>
                <w:rFonts w:hint="eastAsia"/>
                <w:color w:val="auto"/>
                <w:sz w:val="21"/>
                <w:szCs w:val="21"/>
              </w:rPr>
              <w:t>0.9198</w:t>
            </w:r>
            <w:r>
              <w:rPr>
                <w:color w:val="auto"/>
                <w:sz w:val="21"/>
                <w:szCs w:val="21"/>
              </w:rPr>
              <w:t>kg/a</w:t>
            </w:r>
          </w:p>
          <w:p>
            <w:pPr>
              <w:pStyle w:val="332"/>
              <w:snapToGrid w:val="0"/>
              <w:jc w:val="center"/>
              <w:rPr>
                <w:color w:val="auto"/>
                <w:sz w:val="21"/>
                <w:szCs w:val="21"/>
              </w:rPr>
            </w:pPr>
            <w:r>
              <w:rPr>
                <w:color w:val="auto"/>
                <w:sz w:val="21"/>
                <w:szCs w:val="21"/>
              </w:rPr>
              <w:t>0.</w:t>
            </w:r>
            <w:r>
              <w:rPr>
                <w:rFonts w:hint="eastAsia"/>
                <w:color w:val="auto"/>
                <w:sz w:val="21"/>
                <w:szCs w:val="21"/>
                <w:lang w:val="en-US" w:eastAsia="zh-CN"/>
              </w:rPr>
              <w:t>14</w:t>
            </w:r>
            <w:r>
              <w:rPr>
                <w:color w:val="auto"/>
                <w:sz w:val="21"/>
                <w:szCs w:val="21"/>
              </w:rPr>
              <w:t>mg/m</w:t>
            </w:r>
            <w:r>
              <w:rPr>
                <w:color w:val="auto"/>
                <w:sz w:val="21"/>
                <w:szCs w:val="21"/>
                <w:vertAlign w:val="superscript"/>
              </w:rPr>
              <w:t>3</w:t>
            </w:r>
          </w:p>
        </w:tc>
        <w:tc>
          <w:tcPr>
            <w:tcW w:w="2111" w:type="dxa"/>
            <w:noWrap w:val="0"/>
            <w:vAlign w:val="center"/>
          </w:tcPr>
          <w:p>
            <w:pPr>
              <w:pStyle w:val="332"/>
              <w:snapToGrid w:val="0"/>
              <w:jc w:val="center"/>
              <w:rPr>
                <w:color w:val="auto"/>
                <w:sz w:val="21"/>
                <w:szCs w:val="21"/>
              </w:rPr>
            </w:pPr>
            <w:r>
              <w:rPr>
                <w:color w:val="auto"/>
                <w:sz w:val="21"/>
                <w:szCs w:val="21"/>
              </w:rPr>
              <w:t>排放浓度能达到《饮食业油烟排放标准》(GB18483-2001)小型规模标准</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color w:val="auto"/>
                <w:sz w:val="21"/>
                <w:szCs w:val="21"/>
              </w:rPr>
              <w:t>发电机废气</w:t>
            </w:r>
          </w:p>
        </w:tc>
        <w:tc>
          <w:tcPr>
            <w:tcW w:w="2405" w:type="dxa"/>
            <w:noWrap w:val="0"/>
            <w:vAlign w:val="center"/>
          </w:tcPr>
          <w:p>
            <w:pPr>
              <w:pStyle w:val="332"/>
              <w:snapToGrid w:val="0"/>
              <w:jc w:val="center"/>
              <w:rPr>
                <w:color w:val="auto"/>
                <w:sz w:val="21"/>
                <w:szCs w:val="21"/>
              </w:rPr>
            </w:pPr>
            <w:r>
              <w:rPr>
                <w:color w:val="auto"/>
                <w:sz w:val="21"/>
                <w:szCs w:val="21"/>
              </w:rPr>
              <w:t>少量</w:t>
            </w:r>
            <w:r>
              <w:rPr>
                <w:rFonts w:hint="eastAsia"/>
                <w:color w:val="auto"/>
                <w:sz w:val="21"/>
                <w:szCs w:val="21"/>
              </w:rPr>
              <w:t>CO、HC、NOx</w:t>
            </w:r>
          </w:p>
        </w:tc>
        <w:tc>
          <w:tcPr>
            <w:tcW w:w="3787" w:type="dxa"/>
            <w:noWrap w:val="0"/>
            <w:vAlign w:val="center"/>
          </w:tcPr>
          <w:p>
            <w:pPr>
              <w:pStyle w:val="332"/>
              <w:snapToGrid w:val="0"/>
              <w:jc w:val="center"/>
              <w:rPr>
                <w:color w:val="auto"/>
                <w:sz w:val="21"/>
                <w:szCs w:val="21"/>
              </w:rPr>
            </w:pPr>
            <w:r>
              <w:rPr>
                <w:color w:val="auto"/>
                <w:sz w:val="21"/>
                <w:szCs w:val="21"/>
              </w:rPr>
              <w:t>由自身携带的废气净化装置处理，处理后经抽排风系统抽至</w:t>
            </w:r>
            <w:r>
              <w:rPr>
                <w:rFonts w:hint="eastAsia"/>
                <w:color w:val="auto"/>
                <w:sz w:val="21"/>
                <w:szCs w:val="21"/>
              </w:rPr>
              <w:t>排风口处</w:t>
            </w:r>
            <w:r>
              <w:rPr>
                <w:color w:val="auto"/>
                <w:sz w:val="21"/>
                <w:szCs w:val="21"/>
              </w:rPr>
              <w:t>排放</w:t>
            </w:r>
          </w:p>
        </w:tc>
        <w:tc>
          <w:tcPr>
            <w:tcW w:w="2720" w:type="dxa"/>
            <w:noWrap w:val="0"/>
            <w:vAlign w:val="center"/>
          </w:tcPr>
          <w:p>
            <w:pPr>
              <w:pStyle w:val="332"/>
              <w:snapToGrid w:val="0"/>
              <w:jc w:val="center"/>
              <w:rPr>
                <w:color w:val="auto"/>
                <w:sz w:val="21"/>
                <w:szCs w:val="21"/>
              </w:rPr>
            </w:pPr>
            <w:r>
              <w:rPr>
                <w:color w:val="auto"/>
                <w:sz w:val="21"/>
                <w:szCs w:val="21"/>
              </w:rPr>
              <w:t>少量</w:t>
            </w:r>
          </w:p>
        </w:tc>
        <w:tc>
          <w:tcPr>
            <w:tcW w:w="2111" w:type="dxa"/>
            <w:noWrap w:val="0"/>
            <w:vAlign w:val="center"/>
          </w:tcPr>
          <w:p>
            <w:pPr>
              <w:pStyle w:val="332"/>
              <w:snapToGrid w:val="0"/>
              <w:jc w:val="center"/>
              <w:rPr>
                <w:color w:val="auto"/>
                <w:sz w:val="21"/>
                <w:szCs w:val="21"/>
              </w:rPr>
            </w:pPr>
            <w:r>
              <w:rPr>
                <w:color w:val="auto"/>
                <w:sz w:val="21"/>
                <w:szCs w:val="21"/>
              </w:rPr>
              <w:t>达标排放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restart"/>
            <w:noWrap w:val="0"/>
            <w:vAlign w:val="center"/>
          </w:tcPr>
          <w:p>
            <w:pPr>
              <w:pStyle w:val="332"/>
              <w:snapToGrid w:val="0"/>
              <w:jc w:val="center"/>
              <w:rPr>
                <w:color w:val="auto"/>
                <w:sz w:val="21"/>
                <w:szCs w:val="21"/>
              </w:rPr>
            </w:pPr>
            <w:r>
              <w:rPr>
                <w:color w:val="auto"/>
                <w:sz w:val="21"/>
                <w:szCs w:val="21"/>
              </w:rPr>
              <w:t>固体</w:t>
            </w:r>
          </w:p>
          <w:p>
            <w:pPr>
              <w:pStyle w:val="332"/>
              <w:snapToGrid w:val="0"/>
              <w:jc w:val="center"/>
              <w:rPr>
                <w:color w:val="auto"/>
                <w:sz w:val="21"/>
                <w:szCs w:val="21"/>
              </w:rPr>
            </w:pPr>
            <w:r>
              <w:rPr>
                <w:color w:val="auto"/>
                <w:sz w:val="21"/>
                <w:szCs w:val="21"/>
              </w:rPr>
              <w:t>废弃</w:t>
            </w:r>
          </w:p>
          <w:p>
            <w:pPr>
              <w:pStyle w:val="332"/>
              <w:snapToGrid w:val="0"/>
              <w:jc w:val="center"/>
              <w:rPr>
                <w:color w:val="auto"/>
                <w:sz w:val="21"/>
                <w:szCs w:val="21"/>
              </w:rPr>
            </w:pPr>
            <w:r>
              <w:rPr>
                <w:color w:val="auto"/>
                <w:sz w:val="21"/>
                <w:szCs w:val="21"/>
              </w:rPr>
              <w:t>物</w:t>
            </w:r>
          </w:p>
        </w:tc>
        <w:tc>
          <w:tcPr>
            <w:tcW w:w="500" w:type="dxa"/>
            <w:vMerge w:val="restart"/>
            <w:noWrap w:val="0"/>
            <w:vAlign w:val="center"/>
          </w:tcPr>
          <w:p>
            <w:pPr>
              <w:pStyle w:val="332"/>
              <w:snapToGrid w:val="0"/>
              <w:jc w:val="center"/>
              <w:rPr>
                <w:color w:val="auto"/>
                <w:sz w:val="21"/>
                <w:szCs w:val="21"/>
              </w:rPr>
            </w:pPr>
            <w:r>
              <w:rPr>
                <w:color w:val="auto"/>
                <w:sz w:val="21"/>
                <w:szCs w:val="21"/>
              </w:rPr>
              <w:t>施工期</w:t>
            </w:r>
          </w:p>
        </w:tc>
        <w:tc>
          <w:tcPr>
            <w:tcW w:w="1564" w:type="dxa"/>
            <w:noWrap w:val="0"/>
            <w:vAlign w:val="center"/>
          </w:tcPr>
          <w:p>
            <w:pPr>
              <w:pStyle w:val="332"/>
              <w:snapToGrid w:val="0"/>
              <w:jc w:val="center"/>
              <w:rPr>
                <w:color w:val="auto"/>
                <w:sz w:val="21"/>
                <w:szCs w:val="21"/>
              </w:rPr>
            </w:pPr>
            <w:r>
              <w:rPr>
                <w:color w:val="auto"/>
                <w:sz w:val="21"/>
                <w:szCs w:val="21"/>
              </w:rPr>
              <w:t>开挖弃土方</w:t>
            </w:r>
          </w:p>
        </w:tc>
        <w:tc>
          <w:tcPr>
            <w:tcW w:w="2405" w:type="dxa"/>
            <w:noWrap w:val="0"/>
            <w:vAlign w:val="center"/>
          </w:tcPr>
          <w:p>
            <w:pPr>
              <w:pStyle w:val="332"/>
              <w:snapToGrid w:val="0"/>
              <w:jc w:val="center"/>
              <w:rPr>
                <w:color w:val="auto"/>
                <w:sz w:val="21"/>
                <w:szCs w:val="21"/>
              </w:rPr>
            </w:pPr>
            <w:r>
              <w:rPr>
                <w:rFonts w:hint="eastAsia"/>
                <w:color w:val="auto"/>
                <w:sz w:val="21"/>
                <w:szCs w:val="21"/>
                <w:lang w:val="en-US" w:eastAsia="zh-CN"/>
              </w:rPr>
              <w:t>1</w:t>
            </w:r>
            <w:r>
              <w:rPr>
                <w:color w:val="auto"/>
                <w:sz w:val="21"/>
                <w:szCs w:val="21"/>
              </w:rPr>
              <w:t>000m</w:t>
            </w:r>
            <w:r>
              <w:rPr>
                <w:color w:val="auto"/>
                <w:sz w:val="21"/>
                <w:szCs w:val="21"/>
                <w:vertAlign w:val="superscript"/>
              </w:rPr>
              <w:t>3</w:t>
            </w:r>
          </w:p>
        </w:tc>
        <w:tc>
          <w:tcPr>
            <w:tcW w:w="3787" w:type="dxa"/>
            <w:noWrap w:val="0"/>
            <w:vAlign w:val="center"/>
          </w:tcPr>
          <w:p>
            <w:pPr>
              <w:pStyle w:val="332"/>
              <w:snapToGrid w:val="0"/>
              <w:jc w:val="center"/>
              <w:rPr>
                <w:color w:val="auto"/>
                <w:sz w:val="21"/>
                <w:szCs w:val="21"/>
              </w:rPr>
            </w:pPr>
            <w:r>
              <w:rPr>
                <w:color w:val="auto"/>
                <w:sz w:val="21"/>
                <w:szCs w:val="21"/>
              </w:rPr>
              <w:t>绿化覆土</w:t>
            </w:r>
          </w:p>
        </w:tc>
        <w:tc>
          <w:tcPr>
            <w:tcW w:w="2720" w:type="dxa"/>
            <w:noWrap w:val="0"/>
            <w:vAlign w:val="center"/>
          </w:tcPr>
          <w:p>
            <w:pPr>
              <w:pStyle w:val="332"/>
              <w:snapToGrid w:val="0"/>
              <w:jc w:val="center"/>
              <w:rPr>
                <w:color w:val="auto"/>
                <w:sz w:val="21"/>
                <w:szCs w:val="21"/>
              </w:rPr>
            </w:pPr>
            <w:r>
              <w:rPr>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color w:val="auto"/>
                <w:sz w:val="21"/>
                <w:szCs w:val="21"/>
              </w:rPr>
              <w:t>建筑垃圾</w:t>
            </w:r>
          </w:p>
        </w:tc>
        <w:tc>
          <w:tcPr>
            <w:tcW w:w="2405" w:type="dxa"/>
            <w:noWrap w:val="0"/>
            <w:vAlign w:val="center"/>
          </w:tcPr>
          <w:p>
            <w:pPr>
              <w:pStyle w:val="332"/>
              <w:snapToGrid w:val="0"/>
              <w:jc w:val="center"/>
              <w:rPr>
                <w:color w:val="auto"/>
                <w:sz w:val="21"/>
                <w:szCs w:val="21"/>
              </w:rPr>
            </w:pPr>
            <w:r>
              <w:rPr>
                <w:rFonts w:hint="eastAsia"/>
                <w:color w:val="auto"/>
                <w:sz w:val="21"/>
                <w:szCs w:val="21"/>
                <w:lang w:val="en-US" w:eastAsia="zh-CN"/>
              </w:rPr>
              <w:t>30</w:t>
            </w:r>
            <w:r>
              <w:rPr>
                <w:color w:val="auto"/>
                <w:sz w:val="21"/>
                <w:szCs w:val="21"/>
              </w:rPr>
              <w:t>t</w:t>
            </w:r>
          </w:p>
        </w:tc>
        <w:tc>
          <w:tcPr>
            <w:tcW w:w="3787" w:type="dxa"/>
            <w:noWrap w:val="0"/>
            <w:vAlign w:val="center"/>
          </w:tcPr>
          <w:p>
            <w:pPr>
              <w:pStyle w:val="332"/>
              <w:snapToGrid w:val="0"/>
              <w:jc w:val="center"/>
              <w:rPr>
                <w:color w:val="auto"/>
                <w:sz w:val="21"/>
                <w:szCs w:val="21"/>
              </w:rPr>
            </w:pPr>
            <w:r>
              <w:rPr>
                <w:color w:val="auto"/>
                <w:sz w:val="21"/>
                <w:szCs w:val="21"/>
              </w:rPr>
              <w:t>外运至城建部门制定地点堆放</w:t>
            </w:r>
          </w:p>
        </w:tc>
        <w:tc>
          <w:tcPr>
            <w:tcW w:w="2720" w:type="dxa"/>
            <w:noWrap w:val="0"/>
            <w:vAlign w:val="center"/>
          </w:tcPr>
          <w:p>
            <w:pPr>
              <w:pStyle w:val="332"/>
              <w:snapToGrid w:val="0"/>
              <w:jc w:val="center"/>
              <w:rPr>
                <w:color w:val="auto"/>
                <w:sz w:val="21"/>
                <w:szCs w:val="21"/>
              </w:rPr>
            </w:pPr>
            <w:r>
              <w:rPr>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外运</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332"/>
              <w:snapToGrid w:val="0"/>
              <w:jc w:val="center"/>
              <w:rPr>
                <w:color w:val="auto"/>
                <w:sz w:val="21"/>
                <w:szCs w:val="21"/>
              </w:rPr>
            </w:pPr>
            <w:r>
              <w:rPr>
                <w:color w:val="auto"/>
                <w:sz w:val="21"/>
                <w:szCs w:val="21"/>
              </w:rPr>
              <w:t>生活垃圾</w:t>
            </w:r>
          </w:p>
        </w:tc>
        <w:tc>
          <w:tcPr>
            <w:tcW w:w="2405" w:type="dxa"/>
            <w:noWrap w:val="0"/>
            <w:vAlign w:val="center"/>
          </w:tcPr>
          <w:p>
            <w:pPr>
              <w:pStyle w:val="332"/>
              <w:snapToGrid w:val="0"/>
              <w:jc w:val="center"/>
              <w:rPr>
                <w:color w:val="auto"/>
                <w:sz w:val="21"/>
                <w:szCs w:val="21"/>
              </w:rPr>
            </w:pPr>
            <w:r>
              <w:rPr>
                <w:color w:val="auto"/>
                <w:sz w:val="21"/>
                <w:szCs w:val="21"/>
              </w:rPr>
              <w:t>50kg/d</w:t>
            </w:r>
          </w:p>
        </w:tc>
        <w:tc>
          <w:tcPr>
            <w:tcW w:w="3787" w:type="dxa"/>
            <w:noWrap w:val="0"/>
            <w:vAlign w:val="center"/>
          </w:tcPr>
          <w:p>
            <w:pPr>
              <w:pStyle w:val="332"/>
              <w:snapToGrid w:val="0"/>
              <w:jc w:val="center"/>
              <w:rPr>
                <w:color w:val="auto"/>
                <w:sz w:val="21"/>
                <w:szCs w:val="21"/>
              </w:rPr>
            </w:pPr>
            <w:r>
              <w:rPr>
                <w:color w:val="auto"/>
                <w:sz w:val="21"/>
                <w:szCs w:val="21"/>
              </w:rPr>
              <w:t>交由环卫部门统一收集清运</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restart"/>
            <w:noWrap w:val="0"/>
            <w:vAlign w:val="center"/>
          </w:tcPr>
          <w:p>
            <w:pPr>
              <w:pStyle w:val="332"/>
              <w:snapToGrid w:val="0"/>
              <w:jc w:val="center"/>
              <w:rPr>
                <w:color w:val="auto"/>
                <w:sz w:val="21"/>
                <w:szCs w:val="21"/>
              </w:rPr>
            </w:pPr>
            <w:r>
              <w:rPr>
                <w:color w:val="auto"/>
                <w:sz w:val="21"/>
                <w:szCs w:val="21"/>
              </w:rPr>
              <w:t>营运期</w:t>
            </w:r>
          </w:p>
        </w:tc>
        <w:tc>
          <w:tcPr>
            <w:tcW w:w="1564" w:type="dxa"/>
            <w:noWrap w:val="0"/>
            <w:vAlign w:val="center"/>
          </w:tcPr>
          <w:p>
            <w:pPr>
              <w:pStyle w:val="110"/>
              <w:spacing w:line="240" w:lineRule="auto"/>
              <w:ind w:firstLine="0" w:firstLineChars="0"/>
              <w:rPr>
                <w:color w:val="auto"/>
                <w:sz w:val="21"/>
                <w:szCs w:val="21"/>
              </w:rPr>
            </w:pPr>
            <w:r>
              <w:rPr>
                <w:rFonts w:hint="eastAsia"/>
                <w:color w:val="auto"/>
                <w:sz w:val="21"/>
                <w:szCs w:val="21"/>
                <w:lang w:val="zh-CN"/>
              </w:rPr>
              <w:t>猪粪污泥（沼渣）</w:t>
            </w:r>
          </w:p>
        </w:tc>
        <w:tc>
          <w:tcPr>
            <w:tcW w:w="2405" w:type="dxa"/>
            <w:noWrap w:val="0"/>
            <w:vAlign w:val="center"/>
          </w:tcPr>
          <w:p>
            <w:pPr>
              <w:pStyle w:val="110"/>
              <w:spacing w:line="240" w:lineRule="auto"/>
              <w:ind w:firstLine="0" w:firstLineChars="0"/>
              <w:rPr>
                <w:color w:val="auto"/>
                <w:sz w:val="21"/>
                <w:szCs w:val="21"/>
              </w:rPr>
            </w:pPr>
            <w:r>
              <w:rPr>
                <w:rFonts w:hint="default"/>
                <w:b w:val="0"/>
                <w:bCs/>
                <w:color w:val="auto"/>
                <w:sz w:val="21"/>
                <w:szCs w:val="21"/>
                <w:lang w:val="zh-CN" w:eastAsia="zh-CN"/>
              </w:rPr>
              <w:t>2786.94</w:t>
            </w:r>
            <w:r>
              <w:rPr>
                <w:rFonts w:hint="eastAsia"/>
                <w:color w:val="auto"/>
                <w:sz w:val="21"/>
                <w:szCs w:val="21"/>
                <w:lang w:val="en-US" w:eastAsia="zh-CN"/>
              </w:rPr>
              <w:t>t/a</w:t>
            </w:r>
          </w:p>
        </w:tc>
        <w:tc>
          <w:tcPr>
            <w:tcW w:w="3787" w:type="dxa"/>
            <w:tcBorders>
              <w:bottom w:val="single" w:color="auto" w:sz="4" w:space="0"/>
            </w:tcBorders>
            <w:noWrap w:val="0"/>
            <w:vAlign w:val="center"/>
          </w:tcPr>
          <w:p>
            <w:pPr>
              <w:pStyle w:val="110"/>
              <w:spacing w:line="240" w:lineRule="auto"/>
              <w:ind w:firstLine="0" w:firstLineChars="0"/>
              <w:rPr>
                <w:color w:val="auto"/>
                <w:sz w:val="21"/>
                <w:szCs w:val="21"/>
              </w:rPr>
            </w:pPr>
            <w:r>
              <w:rPr>
                <w:rFonts w:hint="eastAsia"/>
                <w:color w:val="auto"/>
                <w:sz w:val="21"/>
                <w:szCs w:val="21"/>
              </w:rPr>
              <w:t>干粪堆场临时堆存，定期运至专门的堆肥厂进行综合利用</w:t>
            </w:r>
          </w:p>
        </w:tc>
        <w:tc>
          <w:tcPr>
            <w:tcW w:w="2720" w:type="dxa"/>
            <w:tcBorders>
              <w:bottom w:val="single" w:color="auto" w:sz="4" w:space="0"/>
            </w:tcBorders>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资源化利用</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color w:val="auto"/>
                <w:sz w:val="21"/>
                <w:szCs w:val="21"/>
              </w:rPr>
            </w:pPr>
            <w:r>
              <w:rPr>
                <w:color w:val="auto"/>
                <w:sz w:val="21"/>
                <w:szCs w:val="21"/>
              </w:rPr>
              <w:t>病死猪</w:t>
            </w:r>
          </w:p>
        </w:tc>
        <w:tc>
          <w:tcPr>
            <w:tcW w:w="2405" w:type="dxa"/>
            <w:noWrap w:val="0"/>
            <w:vAlign w:val="center"/>
          </w:tcPr>
          <w:p>
            <w:pPr>
              <w:pStyle w:val="110"/>
              <w:spacing w:line="240" w:lineRule="auto"/>
              <w:ind w:firstLine="0" w:firstLineChars="0"/>
              <w:rPr>
                <w:color w:val="auto"/>
                <w:sz w:val="21"/>
                <w:szCs w:val="21"/>
              </w:rPr>
            </w:pPr>
            <w:r>
              <w:rPr>
                <w:rFonts w:hint="eastAsia"/>
                <w:color w:val="auto"/>
                <w:sz w:val="21"/>
                <w:szCs w:val="21"/>
                <w:lang w:val="en-US" w:eastAsia="zh-CN"/>
              </w:rPr>
              <w:t>7t/a</w:t>
            </w:r>
          </w:p>
        </w:tc>
        <w:tc>
          <w:tcPr>
            <w:tcW w:w="3787" w:type="dxa"/>
            <w:tcBorders>
              <w:top w:val="single" w:color="auto" w:sz="4" w:space="0"/>
            </w:tcBorders>
            <w:noWrap w:val="0"/>
            <w:vAlign w:val="center"/>
          </w:tcPr>
          <w:p>
            <w:pPr>
              <w:pStyle w:val="110"/>
              <w:spacing w:line="240" w:lineRule="auto"/>
              <w:rPr>
                <w:color w:val="auto"/>
                <w:sz w:val="21"/>
                <w:szCs w:val="21"/>
              </w:rPr>
            </w:pPr>
            <w:r>
              <w:rPr>
                <w:rFonts w:hint="eastAsia"/>
                <w:color w:val="auto"/>
                <w:sz w:val="21"/>
                <w:szCs w:val="21"/>
              </w:rPr>
              <w:t>委托三台县盛德祥生物科技有限公司处理</w:t>
            </w:r>
          </w:p>
        </w:tc>
        <w:tc>
          <w:tcPr>
            <w:tcW w:w="2720" w:type="dxa"/>
            <w:tcBorders>
              <w:top w:val="single" w:color="auto" w:sz="4" w:space="0"/>
            </w:tcBorders>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无害化处置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rFonts w:hint="eastAsia" w:eastAsia="宋体"/>
                <w:color w:val="auto"/>
                <w:sz w:val="21"/>
                <w:szCs w:val="21"/>
                <w:lang w:eastAsia="zh-CN"/>
              </w:rPr>
            </w:pPr>
            <w:r>
              <w:rPr>
                <w:color w:val="auto"/>
                <w:sz w:val="21"/>
                <w:szCs w:val="21"/>
              </w:rPr>
              <w:t>畜禽医疗废物</w:t>
            </w:r>
          </w:p>
        </w:tc>
        <w:tc>
          <w:tcPr>
            <w:tcW w:w="2405" w:type="dxa"/>
            <w:noWrap w:val="0"/>
            <w:vAlign w:val="center"/>
          </w:tcPr>
          <w:p>
            <w:pPr>
              <w:pStyle w:val="110"/>
              <w:spacing w:line="240" w:lineRule="auto"/>
              <w:ind w:firstLine="0" w:firstLineChars="0"/>
              <w:rPr>
                <w:color w:val="auto"/>
                <w:sz w:val="21"/>
                <w:szCs w:val="21"/>
              </w:rPr>
            </w:pPr>
            <w:r>
              <w:rPr>
                <w:rFonts w:hint="eastAsia"/>
                <w:color w:val="auto"/>
                <w:sz w:val="21"/>
                <w:szCs w:val="21"/>
              </w:rPr>
              <w:t>0</w:t>
            </w:r>
            <w:r>
              <w:rPr>
                <w:color w:val="auto"/>
                <w:sz w:val="21"/>
                <w:szCs w:val="21"/>
              </w:rPr>
              <w:t>.</w:t>
            </w:r>
            <w:r>
              <w:rPr>
                <w:rFonts w:hint="eastAsia"/>
                <w:color w:val="auto"/>
                <w:sz w:val="21"/>
                <w:szCs w:val="21"/>
                <w:lang w:val="en-US" w:eastAsia="zh-CN"/>
              </w:rPr>
              <w:t>2t/a</w:t>
            </w:r>
          </w:p>
        </w:tc>
        <w:tc>
          <w:tcPr>
            <w:tcW w:w="3787" w:type="dxa"/>
            <w:noWrap w:val="0"/>
            <w:vAlign w:val="center"/>
          </w:tcPr>
          <w:p>
            <w:pPr>
              <w:pStyle w:val="110"/>
              <w:spacing w:line="240" w:lineRule="auto"/>
              <w:ind w:firstLine="0" w:firstLineChars="0"/>
              <w:rPr>
                <w:color w:val="auto"/>
                <w:sz w:val="21"/>
                <w:szCs w:val="21"/>
              </w:rPr>
            </w:pPr>
            <w:r>
              <w:rPr>
                <w:color w:val="auto"/>
                <w:sz w:val="21"/>
                <w:szCs w:val="21"/>
              </w:rPr>
              <w:t>暂存于危险废物暂存间，交由危险废物处置单位进行处置</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无害化处置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color w:val="auto"/>
                <w:sz w:val="21"/>
                <w:szCs w:val="21"/>
              </w:rPr>
            </w:pPr>
            <w:r>
              <w:rPr>
                <w:color w:val="auto"/>
                <w:sz w:val="21"/>
                <w:szCs w:val="21"/>
              </w:rPr>
              <w:t>生活垃圾</w:t>
            </w:r>
          </w:p>
        </w:tc>
        <w:tc>
          <w:tcPr>
            <w:tcW w:w="2405" w:type="dxa"/>
            <w:noWrap w:val="0"/>
            <w:vAlign w:val="center"/>
          </w:tcPr>
          <w:p>
            <w:pPr>
              <w:pStyle w:val="110"/>
              <w:spacing w:line="240" w:lineRule="auto"/>
              <w:ind w:firstLine="0" w:firstLineChars="0"/>
              <w:rPr>
                <w:color w:val="auto"/>
                <w:sz w:val="21"/>
                <w:szCs w:val="21"/>
              </w:rPr>
            </w:pPr>
            <w:r>
              <w:rPr>
                <w:rFonts w:hint="default" w:ascii="Times New Roman" w:hAnsi="Times New Roman" w:cs="Times New Roman"/>
                <w:color w:val="auto"/>
                <w:sz w:val="21"/>
                <w:szCs w:val="21"/>
              </w:rPr>
              <w:t>1.2775</w:t>
            </w:r>
            <w:r>
              <w:rPr>
                <w:rFonts w:hint="eastAsia"/>
                <w:color w:val="auto"/>
                <w:sz w:val="21"/>
                <w:szCs w:val="21"/>
                <w:lang w:val="en-US" w:eastAsia="zh-CN"/>
              </w:rPr>
              <w:t>t/a</w:t>
            </w:r>
          </w:p>
        </w:tc>
        <w:tc>
          <w:tcPr>
            <w:tcW w:w="3787" w:type="dxa"/>
            <w:noWrap w:val="0"/>
            <w:vAlign w:val="center"/>
          </w:tcPr>
          <w:p>
            <w:pPr>
              <w:pStyle w:val="110"/>
              <w:spacing w:line="240" w:lineRule="auto"/>
              <w:ind w:firstLine="0" w:firstLineChars="0"/>
              <w:rPr>
                <w:color w:val="auto"/>
                <w:sz w:val="21"/>
                <w:szCs w:val="21"/>
              </w:rPr>
            </w:pPr>
            <w:r>
              <w:rPr>
                <w:color w:val="auto"/>
                <w:sz w:val="21"/>
                <w:szCs w:val="21"/>
              </w:rPr>
              <w:t>袋装收集后暂存于生活垃圾暂存间，由环卫部门统一清运处置</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color w:val="auto"/>
                <w:sz w:val="21"/>
                <w:szCs w:val="21"/>
              </w:rPr>
            </w:pPr>
            <w:r>
              <w:rPr>
                <w:rFonts w:hint="eastAsia"/>
                <w:color w:val="auto"/>
                <w:sz w:val="21"/>
                <w:szCs w:val="21"/>
              </w:rPr>
              <w:t>餐厨垃圾</w:t>
            </w:r>
          </w:p>
        </w:tc>
        <w:tc>
          <w:tcPr>
            <w:tcW w:w="2405" w:type="dxa"/>
            <w:noWrap w:val="0"/>
            <w:vAlign w:val="center"/>
          </w:tcPr>
          <w:p>
            <w:pPr>
              <w:pStyle w:val="110"/>
              <w:spacing w:line="240" w:lineRule="auto"/>
              <w:ind w:firstLine="0" w:firstLineChars="0"/>
              <w:rPr>
                <w:color w:val="auto"/>
                <w:sz w:val="21"/>
                <w:szCs w:val="21"/>
              </w:rPr>
            </w:pPr>
            <w:r>
              <w:rPr>
                <w:rFonts w:hint="eastAsia"/>
                <w:color w:val="auto"/>
                <w:sz w:val="21"/>
                <w:szCs w:val="21"/>
              </w:rPr>
              <w:t>0.2555</w:t>
            </w:r>
            <w:r>
              <w:rPr>
                <w:rFonts w:hint="eastAsia"/>
                <w:color w:val="auto"/>
                <w:sz w:val="21"/>
                <w:szCs w:val="21"/>
                <w:lang w:val="en-US" w:eastAsia="zh-CN"/>
              </w:rPr>
              <w:t>t/a</w:t>
            </w:r>
          </w:p>
        </w:tc>
        <w:tc>
          <w:tcPr>
            <w:tcW w:w="3787" w:type="dxa"/>
            <w:noWrap w:val="0"/>
            <w:vAlign w:val="center"/>
          </w:tcPr>
          <w:p>
            <w:pPr>
              <w:pStyle w:val="110"/>
              <w:spacing w:line="240" w:lineRule="auto"/>
              <w:ind w:firstLine="0" w:firstLineChars="0"/>
              <w:rPr>
                <w:color w:val="auto"/>
                <w:sz w:val="21"/>
                <w:szCs w:val="21"/>
              </w:rPr>
            </w:pPr>
            <w:r>
              <w:rPr>
                <w:rFonts w:hint="eastAsia"/>
                <w:color w:val="auto"/>
                <w:sz w:val="21"/>
                <w:szCs w:val="21"/>
              </w:rPr>
              <w:t>委托餐厨垃圾收运单位收运、处理</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color w:val="auto"/>
                <w:sz w:val="21"/>
                <w:szCs w:val="21"/>
              </w:rPr>
            </w:pPr>
            <w:r>
              <w:rPr>
                <w:color w:val="auto"/>
                <w:sz w:val="21"/>
                <w:szCs w:val="21"/>
              </w:rPr>
              <w:t>废脱硫剂</w:t>
            </w:r>
          </w:p>
        </w:tc>
        <w:tc>
          <w:tcPr>
            <w:tcW w:w="2405" w:type="dxa"/>
            <w:noWrap w:val="0"/>
            <w:vAlign w:val="center"/>
          </w:tcPr>
          <w:p>
            <w:pPr>
              <w:pStyle w:val="110"/>
              <w:spacing w:line="240" w:lineRule="auto"/>
              <w:ind w:firstLine="0" w:firstLineChars="0"/>
              <w:rPr>
                <w:color w:val="auto"/>
                <w:sz w:val="21"/>
                <w:szCs w:val="21"/>
              </w:rPr>
            </w:pPr>
            <w:r>
              <w:rPr>
                <w:rFonts w:hint="eastAsia"/>
                <w:color w:val="auto"/>
                <w:sz w:val="21"/>
                <w:szCs w:val="21"/>
                <w:lang w:val="en-US" w:eastAsia="zh-CN"/>
              </w:rPr>
              <w:t>1.5t/a</w:t>
            </w:r>
          </w:p>
        </w:tc>
        <w:tc>
          <w:tcPr>
            <w:tcW w:w="3787" w:type="dxa"/>
            <w:noWrap w:val="0"/>
            <w:vAlign w:val="center"/>
          </w:tcPr>
          <w:p>
            <w:pPr>
              <w:pStyle w:val="110"/>
              <w:spacing w:line="240" w:lineRule="auto"/>
              <w:ind w:firstLine="0" w:firstLineChars="0"/>
              <w:rPr>
                <w:color w:val="auto"/>
                <w:sz w:val="21"/>
                <w:szCs w:val="21"/>
              </w:rPr>
            </w:pPr>
            <w:r>
              <w:rPr>
                <w:color w:val="auto"/>
                <w:sz w:val="21"/>
                <w:szCs w:val="21"/>
              </w:rPr>
              <w:t>集中收集后交由原厂家回收再生利用</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vMerge w:val="continue"/>
            <w:noWrap w:val="0"/>
            <w:vAlign w:val="center"/>
          </w:tcPr>
          <w:p>
            <w:pPr>
              <w:pStyle w:val="332"/>
              <w:snapToGrid w:val="0"/>
              <w:jc w:val="center"/>
              <w:rPr>
                <w:color w:val="auto"/>
                <w:sz w:val="21"/>
                <w:szCs w:val="21"/>
              </w:rPr>
            </w:pPr>
          </w:p>
        </w:tc>
        <w:tc>
          <w:tcPr>
            <w:tcW w:w="1564" w:type="dxa"/>
            <w:noWrap w:val="0"/>
            <w:vAlign w:val="center"/>
          </w:tcPr>
          <w:p>
            <w:pPr>
              <w:pStyle w:val="110"/>
              <w:spacing w:line="240" w:lineRule="auto"/>
              <w:ind w:firstLine="0" w:firstLineChars="0"/>
              <w:rPr>
                <w:color w:val="auto"/>
                <w:sz w:val="21"/>
                <w:szCs w:val="21"/>
              </w:rPr>
            </w:pPr>
            <w:r>
              <w:rPr>
                <w:color w:val="auto"/>
                <w:sz w:val="21"/>
                <w:szCs w:val="21"/>
              </w:rPr>
              <w:t xml:space="preserve">废包装材料 </w:t>
            </w:r>
          </w:p>
        </w:tc>
        <w:tc>
          <w:tcPr>
            <w:tcW w:w="2405" w:type="dxa"/>
            <w:noWrap w:val="0"/>
            <w:vAlign w:val="center"/>
          </w:tcPr>
          <w:p>
            <w:pPr>
              <w:pStyle w:val="110"/>
              <w:spacing w:line="240" w:lineRule="auto"/>
              <w:ind w:firstLine="0" w:firstLineChars="0"/>
              <w:rPr>
                <w:rFonts w:hint="default"/>
                <w:color w:val="auto"/>
                <w:sz w:val="21"/>
                <w:szCs w:val="21"/>
                <w:lang w:val="en-US" w:eastAsia="zh-CN"/>
              </w:rPr>
            </w:pPr>
            <w:r>
              <w:rPr>
                <w:rFonts w:hint="eastAsia"/>
                <w:color w:val="auto"/>
                <w:sz w:val="21"/>
                <w:szCs w:val="21"/>
                <w:lang w:val="en-US" w:eastAsia="zh-CN"/>
              </w:rPr>
              <w:t>1</w:t>
            </w:r>
            <w:r>
              <w:rPr>
                <w:color w:val="auto"/>
                <w:sz w:val="21"/>
                <w:szCs w:val="21"/>
              </w:rPr>
              <w:t>.0</w:t>
            </w:r>
            <w:r>
              <w:rPr>
                <w:rFonts w:hint="eastAsia"/>
                <w:color w:val="auto"/>
                <w:sz w:val="21"/>
                <w:szCs w:val="21"/>
                <w:lang w:val="en-US" w:eastAsia="zh-CN"/>
              </w:rPr>
              <w:t>t/a</w:t>
            </w:r>
          </w:p>
        </w:tc>
        <w:tc>
          <w:tcPr>
            <w:tcW w:w="3787" w:type="dxa"/>
            <w:noWrap w:val="0"/>
            <w:vAlign w:val="center"/>
          </w:tcPr>
          <w:p>
            <w:pPr>
              <w:pStyle w:val="110"/>
              <w:spacing w:line="240" w:lineRule="auto"/>
              <w:ind w:firstLine="0" w:firstLineChars="0"/>
              <w:rPr>
                <w:color w:val="auto"/>
                <w:sz w:val="21"/>
                <w:szCs w:val="21"/>
              </w:rPr>
            </w:pPr>
            <w:r>
              <w:rPr>
                <w:color w:val="auto"/>
                <w:sz w:val="21"/>
                <w:szCs w:val="21"/>
              </w:rPr>
              <w:t>统一收集后送至废品回收站收购</w:t>
            </w:r>
          </w:p>
        </w:tc>
        <w:tc>
          <w:tcPr>
            <w:tcW w:w="2720" w:type="dxa"/>
            <w:noWrap w:val="0"/>
            <w:vAlign w:val="center"/>
          </w:tcPr>
          <w:p>
            <w:pPr>
              <w:pStyle w:val="332"/>
              <w:snapToGrid w:val="0"/>
              <w:jc w:val="center"/>
              <w:rPr>
                <w:color w:val="auto"/>
                <w:sz w:val="21"/>
                <w:szCs w:val="21"/>
              </w:rPr>
            </w:pPr>
            <w:r>
              <w:rPr>
                <w:rFonts w:hint="eastAsia"/>
                <w:color w:val="auto"/>
                <w:sz w:val="21"/>
                <w:szCs w:val="21"/>
              </w:rPr>
              <w:t>/</w:t>
            </w:r>
          </w:p>
        </w:tc>
        <w:tc>
          <w:tcPr>
            <w:tcW w:w="2111" w:type="dxa"/>
            <w:noWrap w:val="0"/>
            <w:vAlign w:val="center"/>
          </w:tcPr>
          <w:p>
            <w:pPr>
              <w:pStyle w:val="332"/>
              <w:snapToGrid w:val="0"/>
              <w:jc w:val="center"/>
              <w:rPr>
                <w:color w:val="auto"/>
                <w:sz w:val="21"/>
                <w:szCs w:val="21"/>
              </w:rPr>
            </w:pPr>
            <w:r>
              <w:rPr>
                <w:color w:val="auto"/>
                <w:sz w:val="21"/>
                <w:szCs w:val="21"/>
              </w:rPr>
              <w:t>去向明确</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restart"/>
            <w:noWrap w:val="0"/>
            <w:vAlign w:val="center"/>
          </w:tcPr>
          <w:p>
            <w:pPr>
              <w:pStyle w:val="332"/>
              <w:snapToGrid w:val="0"/>
              <w:jc w:val="center"/>
              <w:rPr>
                <w:color w:val="auto"/>
                <w:sz w:val="21"/>
                <w:szCs w:val="21"/>
              </w:rPr>
            </w:pPr>
            <w:r>
              <w:rPr>
                <w:color w:val="auto"/>
                <w:sz w:val="21"/>
                <w:szCs w:val="21"/>
              </w:rPr>
              <w:t>噪声</w:t>
            </w:r>
          </w:p>
        </w:tc>
        <w:tc>
          <w:tcPr>
            <w:tcW w:w="500" w:type="dxa"/>
            <w:noWrap w:val="0"/>
            <w:vAlign w:val="center"/>
          </w:tcPr>
          <w:p>
            <w:pPr>
              <w:pStyle w:val="332"/>
              <w:snapToGrid w:val="0"/>
              <w:jc w:val="center"/>
              <w:rPr>
                <w:color w:val="auto"/>
                <w:sz w:val="21"/>
                <w:szCs w:val="21"/>
              </w:rPr>
            </w:pPr>
            <w:r>
              <w:rPr>
                <w:color w:val="auto"/>
                <w:sz w:val="21"/>
                <w:szCs w:val="21"/>
              </w:rPr>
              <w:t>施工期</w:t>
            </w:r>
          </w:p>
        </w:tc>
        <w:tc>
          <w:tcPr>
            <w:tcW w:w="1564" w:type="dxa"/>
            <w:noWrap w:val="0"/>
            <w:vAlign w:val="center"/>
          </w:tcPr>
          <w:p>
            <w:pPr>
              <w:pStyle w:val="332"/>
              <w:snapToGrid w:val="0"/>
              <w:jc w:val="center"/>
              <w:rPr>
                <w:color w:val="auto"/>
                <w:sz w:val="21"/>
                <w:szCs w:val="21"/>
              </w:rPr>
            </w:pPr>
            <w:r>
              <w:rPr>
                <w:color w:val="auto"/>
                <w:sz w:val="21"/>
                <w:szCs w:val="21"/>
              </w:rPr>
              <w:t>施工机械及运输车辆</w:t>
            </w:r>
          </w:p>
        </w:tc>
        <w:tc>
          <w:tcPr>
            <w:tcW w:w="2405" w:type="dxa"/>
            <w:noWrap w:val="0"/>
            <w:vAlign w:val="center"/>
          </w:tcPr>
          <w:p>
            <w:pPr>
              <w:pStyle w:val="332"/>
              <w:snapToGrid w:val="0"/>
              <w:jc w:val="center"/>
              <w:rPr>
                <w:color w:val="auto"/>
                <w:sz w:val="21"/>
                <w:szCs w:val="21"/>
              </w:rPr>
            </w:pPr>
            <w:r>
              <w:rPr>
                <w:color w:val="auto"/>
                <w:sz w:val="21"/>
                <w:szCs w:val="21"/>
              </w:rPr>
              <w:t>施工期间各类噪声源强在75~105dB(A)之间</w:t>
            </w:r>
          </w:p>
        </w:tc>
        <w:tc>
          <w:tcPr>
            <w:tcW w:w="3787" w:type="dxa"/>
            <w:noWrap w:val="0"/>
            <w:vAlign w:val="center"/>
          </w:tcPr>
          <w:p>
            <w:pPr>
              <w:pStyle w:val="332"/>
              <w:snapToGrid w:val="0"/>
              <w:jc w:val="center"/>
              <w:rPr>
                <w:color w:val="auto"/>
                <w:sz w:val="21"/>
                <w:szCs w:val="21"/>
              </w:rPr>
            </w:pPr>
            <w:r>
              <w:rPr>
                <w:color w:val="auto"/>
                <w:sz w:val="21"/>
                <w:szCs w:val="21"/>
              </w:rPr>
              <w:t>合理布设高噪声设备、设置施工围挡、合 理安排施工时间</w:t>
            </w:r>
          </w:p>
        </w:tc>
        <w:tc>
          <w:tcPr>
            <w:tcW w:w="2720" w:type="dxa"/>
            <w:noWrap w:val="0"/>
            <w:vAlign w:val="center"/>
          </w:tcPr>
          <w:p>
            <w:pPr>
              <w:pStyle w:val="332"/>
              <w:snapToGrid w:val="0"/>
              <w:jc w:val="center"/>
              <w:rPr>
                <w:color w:val="auto"/>
                <w:sz w:val="21"/>
                <w:szCs w:val="21"/>
              </w:rPr>
            </w:pPr>
            <w:r>
              <w:rPr>
                <w:color w:val="auto"/>
                <w:sz w:val="21"/>
                <w:szCs w:val="21"/>
              </w:rPr>
              <w:t>施工机械噪声非连续，满足《建筑施工场界环境噪声排放标准》（GB12523-2011）中限值要求</w:t>
            </w:r>
          </w:p>
        </w:tc>
        <w:tc>
          <w:tcPr>
            <w:tcW w:w="2111" w:type="dxa"/>
            <w:noWrap w:val="0"/>
            <w:vAlign w:val="center"/>
          </w:tcPr>
          <w:p>
            <w:pPr>
              <w:pStyle w:val="332"/>
              <w:snapToGrid w:val="0"/>
              <w:jc w:val="center"/>
              <w:rPr>
                <w:color w:val="auto"/>
                <w:sz w:val="21"/>
                <w:szCs w:val="21"/>
              </w:rPr>
            </w:pPr>
            <w:r>
              <w:rPr>
                <w:color w:val="auto"/>
                <w:sz w:val="21"/>
                <w:szCs w:val="21"/>
              </w:rPr>
              <w:t>噪声达标排放</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37" w:type="dxa"/>
            <w:vMerge w:val="continue"/>
            <w:noWrap w:val="0"/>
            <w:vAlign w:val="center"/>
          </w:tcPr>
          <w:p>
            <w:pPr>
              <w:pStyle w:val="332"/>
              <w:snapToGrid w:val="0"/>
              <w:jc w:val="center"/>
              <w:rPr>
                <w:color w:val="auto"/>
                <w:sz w:val="21"/>
                <w:szCs w:val="21"/>
              </w:rPr>
            </w:pPr>
          </w:p>
        </w:tc>
        <w:tc>
          <w:tcPr>
            <w:tcW w:w="500" w:type="dxa"/>
            <w:noWrap w:val="0"/>
            <w:vAlign w:val="center"/>
          </w:tcPr>
          <w:p>
            <w:pPr>
              <w:pStyle w:val="332"/>
              <w:snapToGrid w:val="0"/>
              <w:jc w:val="center"/>
              <w:rPr>
                <w:color w:val="auto"/>
                <w:sz w:val="21"/>
                <w:szCs w:val="21"/>
              </w:rPr>
            </w:pPr>
            <w:r>
              <w:rPr>
                <w:color w:val="auto"/>
                <w:sz w:val="21"/>
                <w:szCs w:val="21"/>
              </w:rPr>
              <w:t>营运期</w:t>
            </w:r>
          </w:p>
        </w:tc>
        <w:tc>
          <w:tcPr>
            <w:tcW w:w="1564" w:type="dxa"/>
            <w:noWrap w:val="0"/>
            <w:vAlign w:val="center"/>
          </w:tcPr>
          <w:p>
            <w:pPr>
              <w:pStyle w:val="332"/>
              <w:snapToGrid w:val="0"/>
              <w:jc w:val="center"/>
              <w:rPr>
                <w:color w:val="auto"/>
                <w:sz w:val="21"/>
                <w:szCs w:val="21"/>
              </w:rPr>
            </w:pPr>
            <w:r>
              <w:rPr>
                <w:color w:val="auto"/>
                <w:sz w:val="21"/>
                <w:szCs w:val="21"/>
              </w:rPr>
              <w:t>设备运行噪声</w:t>
            </w:r>
          </w:p>
        </w:tc>
        <w:tc>
          <w:tcPr>
            <w:tcW w:w="2405" w:type="dxa"/>
            <w:noWrap w:val="0"/>
            <w:vAlign w:val="center"/>
          </w:tcPr>
          <w:p>
            <w:pPr>
              <w:pStyle w:val="332"/>
              <w:snapToGrid w:val="0"/>
              <w:jc w:val="center"/>
              <w:rPr>
                <w:color w:val="auto"/>
                <w:sz w:val="21"/>
                <w:szCs w:val="21"/>
              </w:rPr>
            </w:pPr>
            <w:r>
              <w:rPr>
                <w:color w:val="auto"/>
                <w:sz w:val="21"/>
                <w:szCs w:val="21"/>
              </w:rPr>
              <w:t>猪叫声：80dB(A)</w:t>
            </w:r>
          </w:p>
          <w:p>
            <w:pPr>
              <w:pStyle w:val="332"/>
              <w:snapToGrid w:val="0"/>
              <w:jc w:val="center"/>
              <w:rPr>
                <w:color w:val="auto"/>
                <w:sz w:val="21"/>
                <w:szCs w:val="21"/>
              </w:rPr>
            </w:pPr>
            <w:r>
              <w:rPr>
                <w:color w:val="auto"/>
                <w:sz w:val="21"/>
                <w:szCs w:val="21"/>
              </w:rPr>
              <w:t xml:space="preserve">水泵：80dB(A) </w:t>
            </w:r>
          </w:p>
          <w:p>
            <w:pPr>
              <w:pStyle w:val="332"/>
              <w:snapToGrid w:val="0"/>
              <w:jc w:val="center"/>
              <w:rPr>
                <w:color w:val="auto"/>
                <w:sz w:val="21"/>
                <w:szCs w:val="21"/>
              </w:rPr>
            </w:pPr>
            <w:r>
              <w:rPr>
                <w:color w:val="auto"/>
                <w:sz w:val="21"/>
                <w:szCs w:val="21"/>
              </w:rPr>
              <w:t>柴油发电机：</w:t>
            </w:r>
            <w:r>
              <w:rPr>
                <w:rFonts w:hint="eastAsia"/>
                <w:color w:val="auto"/>
                <w:sz w:val="21"/>
                <w:szCs w:val="21"/>
                <w:lang w:val="en-US" w:eastAsia="zh-CN"/>
              </w:rPr>
              <w:t>7</w:t>
            </w:r>
            <w:r>
              <w:rPr>
                <w:color w:val="auto"/>
                <w:sz w:val="21"/>
                <w:szCs w:val="21"/>
              </w:rPr>
              <w:t>5dB(A)</w:t>
            </w:r>
          </w:p>
          <w:p>
            <w:pPr>
              <w:pStyle w:val="332"/>
              <w:snapToGrid w:val="0"/>
              <w:jc w:val="center"/>
              <w:rPr>
                <w:color w:val="auto"/>
                <w:sz w:val="21"/>
                <w:szCs w:val="21"/>
              </w:rPr>
            </w:pPr>
            <w:r>
              <w:rPr>
                <w:rFonts w:hint="eastAsia"/>
                <w:color w:val="auto"/>
                <w:sz w:val="21"/>
                <w:szCs w:val="21"/>
              </w:rPr>
              <w:t>固液分离机</w:t>
            </w:r>
            <w:r>
              <w:rPr>
                <w:color w:val="auto"/>
                <w:sz w:val="21"/>
                <w:szCs w:val="21"/>
              </w:rPr>
              <w:t>：</w:t>
            </w:r>
            <w:r>
              <w:rPr>
                <w:rFonts w:hint="eastAsia"/>
                <w:color w:val="auto"/>
                <w:sz w:val="21"/>
                <w:szCs w:val="21"/>
                <w:lang w:val="en-US" w:eastAsia="zh-CN"/>
              </w:rPr>
              <w:t>90</w:t>
            </w:r>
            <w:r>
              <w:rPr>
                <w:color w:val="auto"/>
                <w:sz w:val="21"/>
                <w:szCs w:val="21"/>
              </w:rPr>
              <w:t>dB(A)</w:t>
            </w:r>
          </w:p>
          <w:p>
            <w:pPr>
              <w:pStyle w:val="332"/>
              <w:snapToGrid w:val="0"/>
              <w:jc w:val="center"/>
              <w:rPr>
                <w:color w:val="auto"/>
                <w:sz w:val="21"/>
                <w:szCs w:val="21"/>
              </w:rPr>
            </w:pPr>
            <w:r>
              <w:rPr>
                <w:color w:val="auto"/>
                <w:sz w:val="21"/>
                <w:szCs w:val="21"/>
              </w:rPr>
              <w:t xml:space="preserve"> 运输车辆：70dB(A)</w:t>
            </w:r>
          </w:p>
        </w:tc>
        <w:tc>
          <w:tcPr>
            <w:tcW w:w="3787" w:type="dxa"/>
            <w:noWrap w:val="0"/>
            <w:vAlign w:val="center"/>
          </w:tcPr>
          <w:p>
            <w:pPr>
              <w:pStyle w:val="332"/>
              <w:snapToGrid w:val="0"/>
              <w:jc w:val="center"/>
              <w:rPr>
                <w:color w:val="auto"/>
                <w:sz w:val="21"/>
                <w:szCs w:val="21"/>
              </w:rPr>
            </w:pPr>
            <w:r>
              <w:rPr>
                <w:color w:val="auto"/>
                <w:sz w:val="21"/>
                <w:szCs w:val="21"/>
              </w:rPr>
              <w:t>加装减振垫、墙体隔声、距离衰减；对于 运输车辆合理安排行驶路线，减速慢行、严禁鸣笛</w:t>
            </w:r>
          </w:p>
        </w:tc>
        <w:tc>
          <w:tcPr>
            <w:tcW w:w="2720" w:type="dxa"/>
            <w:noWrap w:val="0"/>
            <w:vAlign w:val="center"/>
          </w:tcPr>
          <w:p>
            <w:pPr>
              <w:pStyle w:val="332"/>
              <w:snapToGrid w:val="0"/>
              <w:jc w:val="center"/>
              <w:rPr>
                <w:color w:val="auto"/>
                <w:sz w:val="21"/>
                <w:szCs w:val="21"/>
              </w:rPr>
            </w:pPr>
            <w:r>
              <w:rPr>
                <w:color w:val="auto"/>
                <w:sz w:val="21"/>
                <w:szCs w:val="21"/>
              </w:rPr>
              <w:t>厂界噪声达标，满足《工业企业厂界噪声排 放标准》（GB12348-2008）2类标准限值：昼间≤60dB(A) 夜间≤50dB(A)</w:t>
            </w:r>
          </w:p>
        </w:tc>
        <w:tc>
          <w:tcPr>
            <w:tcW w:w="2111" w:type="dxa"/>
            <w:noWrap w:val="0"/>
            <w:vAlign w:val="center"/>
          </w:tcPr>
          <w:p>
            <w:pPr>
              <w:pStyle w:val="332"/>
              <w:snapToGrid w:val="0"/>
              <w:jc w:val="center"/>
              <w:rPr>
                <w:color w:val="auto"/>
                <w:sz w:val="21"/>
                <w:szCs w:val="21"/>
              </w:rPr>
            </w:pPr>
            <w:r>
              <w:rPr>
                <w:color w:val="auto"/>
                <w:sz w:val="21"/>
                <w:szCs w:val="21"/>
              </w:rPr>
              <w:t>噪声达标排放</w:t>
            </w:r>
          </w:p>
        </w:tc>
      </w:tr>
      <w:bookmarkEnd w:id="138"/>
    </w:tbl>
    <w:p>
      <w:pPr>
        <w:pStyle w:val="166"/>
        <w:spacing w:before="120" w:beforeLines="0"/>
        <w:rPr>
          <w:color w:val="auto"/>
        </w:rPr>
      </w:pPr>
    </w:p>
    <w:p>
      <w:pPr>
        <w:ind w:firstLine="480"/>
        <w:rPr>
          <w:color w:val="auto"/>
        </w:rPr>
        <w:sectPr>
          <w:headerReference r:id="rId16" w:type="default"/>
          <w:pgSz w:w="16838" w:h="11906" w:orient="landscape"/>
          <w:pgMar w:top="1418" w:right="1418" w:bottom="1418" w:left="1701" w:header="851" w:footer="992" w:gutter="0"/>
          <w:cols w:space="720" w:num="1"/>
          <w:docGrid w:linePitch="312" w:charSpace="0"/>
        </w:sectPr>
      </w:pPr>
    </w:p>
    <w:p>
      <w:pPr>
        <w:pStyle w:val="6"/>
        <w:rPr>
          <w:rFonts w:eastAsia="黑体"/>
          <w:color w:val="auto"/>
          <w:sz w:val="44"/>
        </w:rPr>
      </w:pPr>
      <w:bookmarkStart w:id="139" w:name="_Toc436035677"/>
      <w:bookmarkStart w:id="140" w:name="_Toc3253"/>
      <w:r>
        <w:rPr>
          <w:rFonts w:eastAsia="黑体"/>
          <w:color w:val="auto"/>
          <w:sz w:val="44"/>
        </w:rPr>
        <w:t>环境</w:t>
      </w:r>
      <w:bookmarkEnd w:id="139"/>
      <w:r>
        <w:rPr>
          <w:rFonts w:eastAsia="黑体"/>
          <w:color w:val="auto"/>
          <w:sz w:val="44"/>
        </w:rPr>
        <w:t>现状调查与评价</w:t>
      </w:r>
      <w:bookmarkEnd w:id="140"/>
    </w:p>
    <w:p>
      <w:pPr>
        <w:pStyle w:val="7"/>
        <w:rPr>
          <w:rFonts w:eastAsia="黑体"/>
          <w:color w:val="auto"/>
          <w:sz w:val="32"/>
        </w:rPr>
      </w:pPr>
      <w:bookmarkStart w:id="141" w:name="_Toc12600"/>
      <w:r>
        <w:rPr>
          <w:rFonts w:eastAsia="黑体"/>
          <w:color w:val="auto"/>
          <w:sz w:val="32"/>
        </w:rPr>
        <w:t>自然环境概况</w:t>
      </w:r>
      <w:bookmarkEnd w:id="141"/>
    </w:p>
    <w:p>
      <w:pPr>
        <w:pStyle w:val="8"/>
        <w:tabs>
          <w:tab w:val="clear" w:pos="0"/>
        </w:tabs>
        <w:rPr>
          <w:rFonts w:eastAsia="黑体"/>
          <w:color w:val="auto"/>
          <w:sz w:val="28"/>
          <w:szCs w:val="28"/>
        </w:rPr>
      </w:pPr>
      <w:bookmarkStart w:id="142" w:name="_Toc436035678"/>
      <w:r>
        <w:rPr>
          <w:rFonts w:eastAsia="黑体"/>
          <w:color w:val="auto"/>
          <w:sz w:val="28"/>
          <w:szCs w:val="28"/>
        </w:rPr>
        <w:t>地理位置</w:t>
      </w:r>
      <w:bookmarkEnd w:id="142"/>
    </w:p>
    <w:p>
      <w:pPr>
        <w:widowControl/>
        <w:ind w:firstLine="480" w:firstLineChars="200"/>
        <w:rPr>
          <w:rFonts w:hint="default" w:ascii="Times New Roman" w:hAnsi="Times New Roman" w:cs="Times New Roman"/>
          <w:color w:val="auto"/>
          <w:szCs w:val="24"/>
          <w:u w:val="none"/>
          <w:shd w:val="clear" w:color="auto" w:fill="FFFFFF"/>
        </w:rPr>
      </w:pPr>
      <w:r>
        <w:rPr>
          <w:rFonts w:hint="default" w:ascii="Times New Roman" w:hAnsi="Times New Roman" w:cs="Times New Roman"/>
          <w:color w:val="auto"/>
          <w:szCs w:val="24"/>
          <w:u w:val="none"/>
          <w:shd w:val="clear" w:color="auto" w:fill="FFFFFF"/>
        </w:rPr>
        <w:t>游仙区位于四川盆地西北部，介于东经104°42′15″至105°8′58″，北纬31°21′13″至31°33′40″之间，东与</w:t>
      </w:r>
      <w:r>
        <w:rPr>
          <w:rFonts w:hint="default" w:ascii="Times New Roman" w:hAnsi="Times New Roman" w:cs="Times New Roman"/>
          <w:color w:val="auto"/>
          <w:szCs w:val="24"/>
          <w:u w:val="none"/>
          <w:shd w:val="clear" w:color="auto" w:fill="FFFFFF"/>
        </w:rPr>
        <w:fldChar w:fldCharType="begin"/>
      </w:r>
      <w:r>
        <w:rPr>
          <w:rFonts w:hint="default" w:ascii="Times New Roman" w:hAnsi="Times New Roman" w:cs="Times New Roman"/>
          <w:color w:val="auto"/>
          <w:szCs w:val="24"/>
          <w:u w:val="none"/>
          <w:shd w:val="clear" w:color="auto" w:fill="FFFFFF"/>
        </w:rPr>
        <w:instrText xml:space="preserve"> HYPERLINK "https://baike.baidu.com/item/%E6%A2%93%E6%BD%BC%E5%8E%BF/2253204" \t "https://baike.baidu.com/item/%E6%B8%B8%E4%BB%99%E5%8C%BA/_blank" </w:instrText>
      </w:r>
      <w:r>
        <w:rPr>
          <w:rFonts w:hint="default" w:ascii="Times New Roman" w:hAnsi="Times New Roman" w:cs="Times New Roman"/>
          <w:color w:val="auto"/>
          <w:szCs w:val="24"/>
          <w:u w:val="none"/>
          <w:shd w:val="clear" w:color="auto" w:fill="FFFFFF"/>
        </w:rPr>
        <w:fldChar w:fldCharType="separate"/>
      </w:r>
      <w:r>
        <w:rPr>
          <w:rStyle w:val="59"/>
          <w:rFonts w:hint="default" w:ascii="Times New Roman" w:hAnsi="Times New Roman" w:cs="Times New Roman"/>
          <w:color w:val="auto"/>
          <w:szCs w:val="24"/>
          <w:u w:val="none"/>
          <w:shd w:val="clear" w:color="auto" w:fill="FFFFFF"/>
        </w:rPr>
        <w:t>梓潼县</w:t>
      </w:r>
      <w:r>
        <w:rPr>
          <w:rFonts w:hint="default" w:ascii="Times New Roman" w:hAnsi="Times New Roman" w:cs="Times New Roman"/>
          <w:color w:val="auto"/>
          <w:szCs w:val="24"/>
          <w:u w:val="none"/>
          <w:shd w:val="clear" w:color="auto" w:fill="FFFFFF"/>
        </w:rPr>
        <w:fldChar w:fldCharType="end"/>
      </w:r>
      <w:r>
        <w:rPr>
          <w:rFonts w:hint="default" w:ascii="Times New Roman" w:hAnsi="Times New Roman" w:cs="Times New Roman"/>
          <w:color w:val="auto"/>
          <w:szCs w:val="24"/>
          <w:u w:val="none"/>
          <w:shd w:val="clear" w:color="auto" w:fill="FFFFFF"/>
        </w:rPr>
        <w:t>、西与</w:t>
      </w:r>
      <w:r>
        <w:rPr>
          <w:rFonts w:hint="default" w:ascii="Times New Roman" w:hAnsi="Times New Roman" w:cs="Times New Roman"/>
          <w:color w:val="auto"/>
          <w:szCs w:val="24"/>
          <w:u w:val="none"/>
          <w:shd w:val="clear" w:color="auto" w:fill="FFFFFF"/>
        </w:rPr>
        <w:fldChar w:fldCharType="begin"/>
      </w:r>
      <w:r>
        <w:rPr>
          <w:rFonts w:hint="default" w:ascii="Times New Roman" w:hAnsi="Times New Roman" w:cs="Times New Roman"/>
          <w:color w:val="auto"/>
          <w:szCs w:val="24"/>
          <w:u w:val="none"/>
          <w:shd w:val="clear" w:color="auto" w:fill="FFFFFF"/>
        </w:rPr>
        <w:instrText xml:space="preserve"> HYPERLINK "https://baike.baidu.com/item/%E6%B6%AA%E5%9F%8E%E5%8C%BA/8745214" \t "https://baike.baidu.com/item/%E6%B8%B8%E4%BB%99%E5%8C%BA/_blank" </w:instrText>
      </w:r>
      <w:r>
        <w:rPr>
          <w:rFonts w:hint="default" w:ascii="Times New Roman" w:hAnsi="Times New Roman" w:cs="Times New Roman"/>
          <w:color w:val="auto"/>
          <w:szCs w:val="24"/>
          <w:u w:val="none"/>
          <w:shd w:val="clear" w:color="auto" w:fill="FFFFFF"/>
        </w:rPr>
        <w:fldChar w:fldCharType="separate"/>
      </w:r>
      <w:r>
        <w:rPr>
          <w:rStyle w:val="59"/>
          <w:rFonts w:hint="default" w:ascii="Times New Roman" w:hAnsi="Times New Roman" w:cs="Times New Roman"/>
          <w:color w:val="auto"/>
          <w:szCs w:val="24"/>
          <w:u w:val="none"/>
          <w:shd w:val="clear" w:color="auto" w:fill="FFFFFF"/>
        </w:rPr>
        <w:t>涪城区</w:t>
      </w:r>
      <w:r>
        <w:rPr>
          <w:rFonts w:hint="default" w:ascii="Times New Roman" w:hAnsi="Times New Roman" w:cs="Times New Roman"/>
          <w:color w:val="auto"/>
          <w:szCs w:val="24"/>
          <w:u w:val="none"/>
          <w:shd w:val="clear" w:color="auto" w:fill="FFFFFF"/>
        </w:rPr>
        <w:fldChar w:fldCharType="end"/>
      </w:r>
      <w:r>
        <w:rPr>
          <w:rFonts w:hint="default" w:ascii="Times New Roman" w:hAnsi="Times New Roman" w:cs="Times New Roman"/>
          <w:color w:val="auto"/>
          <w:szCs w:val="24"/>
          <w:u w:val="none"/>
          <w:shd w:val="clear" w:color="auto" w:fill="FFFFFF"/>
        </w:rPr>
        <w:t>、南与</w:t>
      </w:r>
      <w:r>
        <w:rPr>
          <w:rFonts w:hint="default" w:ascii="Times New Roman" w:hAnsi="Times New Roman" w:cs="Times New Roman"/>
          <w:color w:val="auto"/>
          <w:szCs w:val="24"/>
          <w:u w:val="none"/>
          <w:shd w:val="clear" w:color="auto" w:fill="FFFFFF"/>
        </w:rPr>
        <w:fldChar w:fldCharType="begin"/>
      </w:r>
      <w:r>
        <w:rPr>
          <w:rFonts w:hint="default" w:ascii="Times New Roman" w:hAnsi="Times New Roman" w:cs="Times New Roman"/>
          <w:color w:val="auto"/>
          <w:szCs w:val="24"/>
          <w:u w:val="none"/>
          <w:shd w:val="clear" w:color="auto" w:fill="FFFFFF"/>
        </w:rPr>
        <w:instrText xml:space="preserve"> HYPERLINK "https://baike.baidu.com/item/%E4%B8%89%E5%8F%B0" \t "https://baike.baidu.com/item/%E6%B8%B8%E4%BB%99%E5%8C%BA/_blank" </w:instrText>
      </w:r>
      <w:r>
        <w:rPr>
          <w:rFonts w:hint="default" w:ascii="Times New Roman" w:hAnsi="Times New Roman" w:cs="Times New Roman"/>
          <w:color w:val="auto"/>
          <w:szCs w:val="24"/>
          <w:u w:val="none"/>
          <w:shd w:val="clear" w:color="auto" w:fill="FFFFFF"/>
        </w:rPr>
        <w:fldChar w:fldCharType="separate"/>
      </w:r>
      <w:r>
        <w:rPr>
          <w:rStyle w:val="59"/>
          <w:rFonts w:hint="default" w:ascii="Times New Roman" w:hAnsi="Times New Roman" w:cs="Times New Roman"/>
          <w:color w:val="auto"/>
          <w:szCs w:val="24"/>
          <w:u w:val="none"/>
          <w:shd w:val="clear" w:color="auto" w:fill="FFFFFF"/>
        </w:rPr>
        <w:t>三台</w:t>
      </w:r>
      <w:r>
        <w:rPr>
          <w:rFonts w:hint="default" w:ascii="Times New Roman" w:hAnsi="Times New Roman" w:cs="Times New Roman"/>
          <w:color w:val="auto"/>
          <w:szCs w:val="24"/>
          <w:u w:val="none"/>
          <w:shd w:val="clear" w:color="auto" w:fill="FFFFFF"/>
        </w:rPr>
        <w:fldChar w:fldCharType="end"/>
      </w:r>
      <w:r>
        <w:rPr>
          <w:rFonts w:hint="default" w:ascii="Times New Roman" w:hAnsi="Times New Roman" w:cs="Times New Roman"/>
          <w:color w:val="auto"/>
          <w:szCs w:val="24"/>
          <w:u w:val="none"/>
          <w:shd w:val="clear" w:color="auto" w:fill="FFFFFF"/>
        </w:rPr>
        <w:t>县、北与</w:t>
      </w:r>
      <w:r>
        <w:rPr>
          <w:rFonts w:hint="default" w:ascii="Times New Roman" w:hAnsi="Times New Roman" w:cs="Times New Roman"/>
          <w:color w:val="auto"/>
          <w:szCs w:val="24"/>
          <w:u w:val="none"/>
          <w:shd w:val="clear" w:color="auto" w:fill="FFFFFF"/>
        </w:rPr>
        <w:fldChar w:fldCharType="begin"/>
      </w:r>
      <w:r>
        <w:rPr>
          <w:rFonts w:hint="default" w:ascii="Times New Roman" w:hAnsi="Times New Roman" w:cs="Times New Roman"/>
          <w:color w:val="auto"/>
          <w:szCs w:val="24"/>
          <w:u w:val="none"/>
          <w:shd w:val="clear" w:color="auto" w:fill="FFFFFF"/>
        </w:rPr>
        <w:instrText xml:space="preserve"> HYPERLINK "https://baike.baidu.com/item/%E6%B1%9F%E6%B2%B9%E5%B8%82/6866675" \t "https://baike.baidu.com/item/%E6%B8%B8%E4%BB%99%E5%8C%BA/_blank" </w:instrText>
      </w:r>
      <w:r>
        <w:rPr>
          <w:rFonts w:hint="default" w:ascii="Times New Roman" w:hAnsi="Times New Roman" w:cs="Times New Roman"/>
          <w:color w:val="auto"/>
          <w:szCs w:val="24"/>
          <w:u w:val="none"/>
          <w:shd w:val="clear" w:color="auto" w:fill="FFFFFF"/>
        </w:rPr>
        <w:fldChar w:fldCharType="separate"/>
      </w:r>
      <w:r>
        <w:rPr>
          <w:rStyle w:val="59"/>
          <w:rFonts w:hint="default" w:ascii="Times New Roman" w:hAnsi="Times New Roman" w:cs="Times New Roman"/>
          <w:color w:val="auto"/>
          <w:szCs w:val="24"/>
          <w:u w:val="none"/>
          <w:shd w:val="clear" w:color="auto" w:fill="FFFFFF"/>
        </w:rPr>
        <w:t>江油市</w:t>
      </w:r>
      <w:r>
        <w:rPr>
          <w:rFonts w:hint="default" w:ascii="Times New Roman" w:hAnsi="Times New Roman" w:cs="Times New Roman"/>
          <w:color w:val="auto"/>
          <w:szCs w:val="24"/>
          <w:u w:val="none"/>
          <w:shd w:val="clear" w:color="auto" w:fill="FFFFFF"/>
        </w:rPr>
        <w:fldChar w:fldCharType="end"/>
      </w:r>
      <w:r>
        <w:rPr>
          <w:rFonts w:hint="default" w:ascii="Times New Roman" w:hAnsi="Times New Roman" w:cs="Times New Roman"/>
          <w:color w:val="auto"/>
          <w:szCs w:val="24"/>
          <w:u w:val="none"/>
          <w:shd w:val="clear" w:color="auto" w:fill="FFFFFF"/>
        </w:rPr>
        <w:t>相邻。三国故地，古绵治所，位于巴蜀腹地、涪江以东，因东汉高士李意期仙游此地而得名，该区1993年1月经国务院批准为县级行政区，是中国科技城核心区、绵阳市主城区，是中国西部唯一的绿色产业示范区，是四川省乡村旅游示范区，是</w:t>
      </w:r>
      <w:r>
        <w:rPr>
          <w:rFonts w:hint="eastAsia" w:cs="Times New Roman"/>
          <w:color w:val="auto"/>
          <w:szCs w:val="24"/>
          <w:u w:val="none"/>
          <w:shd w:val="clear" w:color="auto" w:fill="FFFFFF"/>
          <w:lang w:eastAsia="zh-CN"/>
        </w:rPr>
        <w:t>“</w:t>
      </w:r>
      <w:r>
        <w:rPr>
          <w:rFonts w:hint="default" w:ascii="Times New Roman" w:hAnsi="Times New Roman" w:cs="Times New Roman"/>
          <w:color w:val="auto"/>
          <w:szCs w:val="24"/>
          <w:u w:val="none"/>
          <w:shd w:val="clear" w:color="auto" w:fill="FFFFFF"/>
        </w:rPr>
        <w:t>四川黄金旅游九环线</w:t>
      </w:r>
      <w:r>
        <w:rPr>
          <w:rFonts w:hint="eastAsia" w:cs="Times New Roman"/>
          <w:color w:val="auto"/>
          <w:szCs w:val="24"/>
          <w:u w:val="none"/>
          <w:shd w:val="clear" w:color="auto" w:fill="FFFFFF"/>
          <w:lang w:eastAsia="zh-CN"/>
        </w:rPr>
        <w:t>”</w:t>
      </w:r>
      <w:r>
        <w:rPr>
          <w:rFonts w:hint="default" w:ascii="Times New Roman" w:hAnsi="Times New Roman" w:cs="Times New Roman"/>
          <w:color w:val="auto"/>
          <w:szCs w:val="24"/>
          <w:u w:val="none"/>
          <w:shd w:val="clear" w:color="auto" w:fill="FFFFFF"/>
        </w:rPr>
        <w:t>和</w:t>
      </w:r>
      <w:r>
        <w:rPr>
          <w:rFonts w:hint="eastAsia" w:cs="Times New Roman"/>
          <w:color w:val="auto"/>
          <w:szCs w:val="24"/>
          <w:u w:val="none"/>
          <w:shd w:val="clear" w:color="auto" w:fill="FFFFFF"/>
          <w:lang w:eastAsia="zh-CN"/>
        </w:rPr>
        <w:t>“</w:t>
      </w:r>
      <w:r>
        <w:rPr>
          <w:rFonts w:hint="default" w:ascii="Times New Roman" w:hAnsi="Times New Roman" w:cs="Times New Roman"/>
          <w:color w:val="auto"/>
          <w:szCs w:val="24"/>
          <w:u w:val="none"/>
          <w:shd w:val="clear" w:color="auto" w:fill="FFFFFF"/>
        </w:rPr>
        <w:t>川陕三国精品旅游线路</w:t>
      </w:r>
      <w:r>
        <w:rPr>
          <w:rFonts w:hint="eastAsia" w:cs="Times New Roman"/>
          <w:color w:val="auto"/>
          <w:szCs w:val="24"/>
          <w:u w:val="none"/>
          <w:shd w:val="clear" w:color="auto" w:fill="FFFFFF"/>
          <w:lang w:eastAsia="zh-CN"/>
        </w:rPr>
        <w:t>”</w:t>
      </w:r>
      <w:r>
        <w:rPr>
          <w:rFonts w:hint="default" w:ascii="Times New Roman" w:hAnsi="Times New Roman" w:cs="Times New Roman"/>
          <w:color w:val="auto"/>
          <w:szCs w:val="24"/>
          <w:u w:val="none"/>
          <w:shd w:val="clear" w:color="auto" w:fill="FFFFFF"/>
        </w:rPr>
        <w:t>的重要节点。成绵乐、绵雅资遂发展环线，成绵乐城际铁路、成西客运专线等4条铁路和九绵、绵苍、绵西3条高速公路建成后，辖区及周边将形成至少包括5条快速铁路、9条高速公路、9条快速通道、37个通航城市在内的进出境立体大通道。全区通车里程达2235公里，正规划建设串联17个现代农业观光园的88.6公里乡村旅游环线，辖区所有乡镇已全面开通城市公交线路，基本形成贯通南北、连接东西的内联外通立体交通网络。辐员面积1018平方公里，其中耕地面积48.6万亩，林地31.5万亩，主要河流4条。辖1个经济开发区、1个经济试验区、2个街道、22个乡镇，55个社区、226个村，总人口56.83万。有储量颇丰的铁、铜、锌、铅、磷等数十种矿藏和天然气等。区内有小（一）型水库11处，小（二）型水库95处，石河堰295处，中型渠堰2处，山平塘7302口，电管站651处。蓄引提水总量15643.7万立方米。</w:t>
      </w:r>
    </w:p>
    <w:p>
      <w:pPr>
        <w:ind w:firstLine="480"/>
        <w:rPr>
          <w:rFonts w:hint="default" w:ascii="Times New Roman" w:hAnsi="Times New Roman" w:cs="Times New Roman"/>
          <w:color w:val="auto"/>
        </w:rPr>
      </w:pPr>
      <w:r>
        <w:rPr>
          <w:rFonts w:hint="default" w:ascii="Times New Roman" w:hAnsi="Times New Roman" w:cs="Times New Roman"/>
          <w:b w:val="0"/>
          <w:bCs w:val="0"/>
          <w:color w:val="auto"/>
        </w:rPr>
        <w:t xml:space="preserve"> 梓棉镇</w:t>
      </w:r>
      <w:r>
        <w:rPr>
          <w:rFonts w:hint="default" w:ascii="Times New Roman" w:hAnsi="Times New Roman" w:cs="Times New Roman"/>
          <w:color w:val="auto"/>
        </w:rPr>
        <w:t>位于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"https://baike.baidu.com/item/%E6%B8%B8%E4%BB%99%E5%8C%BA/5379230" \t "https://baike.baidu.com/item/%E6%A2%93%E6%A3%89%E9%95%87/_blank"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游仙区</w:t>
      </w:r>
      <w:r>
        <w:rPr>
          <w:rFonts w:hint="default" w:ascii="Times New Roman" w:hAnsi="Times New Roman" w:cs="Times New Roman"/>
          <w:color w:val="auto"/>
        </w:rPr>
        <w:fldChar w:fldCharType="end"/>
      </w:r>
      <w:r>
        <w:rPr>
          <w:rFonts w:hint="default" w:ascii="Times New Roman" w:hAnsi="Times New Roman" w:cs="Times New Roman"/>
          <w:color w:val="auto"/>
        </w:rPr>
        <w:t>东南部，东接玉河镇，西与三台县中太镇接壤，南邻白蝉</w:t>
      </w:r>
      <w:r>
        <w:rPr>
          <w:rFonts w:hint="eastAsia" w:ascii="Times New Roman" w:hAnsi="Times New Roman" w:cs="Times New Roman"/>
          <w:color w:val="auto"/>
          <w:lang w:eastAsia="zh-CN"/>
        </w:rPr>
        <w:t>镇</w:t>
      </w:r>
      <w:r>
        <w:rPr>
          <w:rFonts w:hint="default" w:ascii="Times New Roman" w:hAnsi="Times New Roman" w:cs="Times New Roman"/>
          <w:color w:val="auto"/>
        </w:rPr>
        <w:t>，北连刘家镇，亚热带湿润季风气候。距城区56公里，幅员面积29.8平方公里，辖10个</w:t>
      </w:r>
      <w:r>
        <w:rPr>
          <w:rFonts w:hint="eastAsia" w:ascii="Times New Roman" w:hAnsi="Times New Roman" w:cs="Times New Roman"/>
          <w:color w:val="auto"/>
          <w:lang w:eastAsia="zh-CN"/>
        </w:rPr>
        <w:t>村民委员会</w:t>
      </w:r>
      <w:r>
        <w:rPr>
          <w:rFonts w:hint="default" w:ascii="Times New Roman" w:hAnsi="Times New Roman" w:cs="Times New Roman"/>
          <w:color w:val="auto"/>
        </w:rPr>
        <w:t>，1个社区居委会，76个农业生产合作社，总人口12522人，总耕地面积13935亩，退耕还林面积200亩，以生产水稻、小麦、油菜等经济作物为主，境内山清水秀，交通便利，是典型的丘区农业</w:t>
      </w:r>
      <w:r>
        <w:rPr>
          <w:rFonts w:hint="eastAsia" w:ascii="Times New Roman" w:hAnsi="Times New Roman" w:cs="Times New Roman"/>
          <w:color w:val="auto"/>
          <w:lang w:eastAsia="zh-CN"/>
        </w:rPr>
        <w:t>镇</w:t>
      </w:r>
      <w:r>
        <w:rPr>
          <w:rFonts w:hint="default" w:ascii="Times New Roman" w:hAnsi="Times New Roman" w:cs="Times New Roman"/>
          <w:color w:val="auto"/>
        </w:rPr>
        <w:t>。</w:t>
      </w:r>
    </w:p>
    <w:p>
      <w:pPr>
        <w:ind w:firstLine="480"/>
        <w:rPr>
          <w:color w:val="auto"/>
        </w:rPr>
      </w:pPr>
      <w:r>
        <w:rPr>
          <w:rFonts w:hint="eastAsia"/>
          <w:color w:val="auto"/>
          <w:lang w:val="en-US" w:eastAsia="zh-CN"/>
        </w:rPr>
        <w:t>2019年12月25日，四川省人民政府发布《关于同意绵阳市调整部分乡镇行政区划的批复》（川府民政〔2019〕27号）：“</w:t>
      </w:r>
      <w:r>
        <w:rPr>
          <w:rFonts w:hint="eastAsia" w:ascii="宋体" w:hAnsi="宋体" w:eastAsia="宋体" w:cs="宋体"/>
          <w:i w:val="0"/>
          <w:caps w:val="0"/>
          <w:color w:val="auto"/>
          <w:spacing w:val="0"/>
          <w:sz w:val="24"/>
          <w:szCs w:val="24"/>
          <w:shd w:val="clear" w:color="auto" w:fill="FFFFFF"/>
        </w:rPr>
        <w:t>撤销玉河镇、梓棉镇和白蝉镇，设立盐泉镇，以原玉河镇、原梓棉镇和原白蝉镇所属行政区域为盐泉镇的行政区域</w:t>
      </w:r>
      <w:r>
        <w:rPr>
          <w:rFonts w:hint="eastAsia"/>
          <w:color w:val="auto"/>
          <w:lang w:val="en-US" w:eastAsia="zh-CN"/>
        </w:rPr>
        <w:t>”，</w:t>
      </w:r>
      <w:r>
        <w:rPr>
          <w:color w:val="auto"/>
        </w:rPr>
        <w:t>本项目位于</w:t>
      </w:r>
      <w:r>
        <w:rPr>
          <w:rFonts w:hint="eastAsia"/>
          <w:color w:val="auto"/>
        </w:rPr>
        <w:t>四川省</w:t>
      </w:r>
      <w:r>
        <w:rPr>
          <w:rFonts w:hint="eastAsia"/>
          <w:color w:val="auto"/>
          <w:lang w:eastAsia="zh-CN"/>
        </w:rPr>
        <w:t>绵阳市游仙区盐泉镇通远村（原</w:t>
      </w:r>
      <w:r>
        <w:rPr>
          <w:rFonts w:hint="default" w:ascii="Times New Roman" w:hAnsi="Times New Roman" w:cs="Times New Roman"/>
          <w:b w:val="0"/>
          <w:bCs w:val="0"/>
          <w:color w:val="auto"/>
        </w:rPr>
        <w:t>梓棉镇</w:t>
      </w:r>
      <w:r>
        <w:rPr>
          <w:rFonts w:hint="eastAsia"/>
          <w:color w:val="auto"/>
          <w:lang w:eastAsia="zh-CN"/>
        </w:rPr>
        <w:t>葫芦村4社）</w:t>
      </w:r>
      <w:r>
        <w:rPr>
          <w:color w:val="auto"/>
        </w:rPr>
        <w:t>，</w:t>
      </w:r>
      <w:r>
        <w:rPr>
          <w:color w:val="auto"/>
          <w:szCs w:val="20"/>
        </w:rPr>
        <w:t>项目</w:t>
      </w:r>
      <w:r>
        <w:rPr>
          <w:color w:val="auto"/>
        </w:rPr>
        <w:t>地理位置示意图见附图1。</w:t>
      </w:r>
    </w:p>
    <w:p>
      <w:pPr>
        <w:pStyle w:val="8"/>
        <w:tabs>
          <w:tab w:val="clear" w:pos="0"/>
        </w:tabs>
        <w:rPr>
          <w:rFonts w:eastAsia="黑体"/>
          <w:color w:val="auto"/>
          <w:sz w:val="28"/>
          <w:szCs w:val="28"/>
        </w:rPr>
      </w:pPr>
      <w:r>
        <w:rPr>
          <w:rFonts w:eastAsia="黑体"/>
          <w:color w:val="auto"/>
          <w:sz w:val="28"/>
          <w:szCs w:val="28"/>
        </w:rPr>
        <w:t>地形、地貌</w:t>
      </w:r>
    </w:p>
    <w:p>
      <w:pPr>
        <w:widowControl/>
        <w:ind w:firstLine="480" w:firstLineChars="200"/>
        <w:rPr>
          <w:rFonts w:hint="eastAsia" w:ascii="Times New Roman" w:hAnsi="Times New Roman" w:eastAsia="宋体" w:cs="Times New Roman"/>
          <w:color w:val="auto"/>
          <w:szCs w:val="24"/>
          <w:u w:val="none"/>
          <w:shd w:val="clear" w:color="auto" w:fill="FFFFFF"/>
          <w:lang w:eastAsia="zh-CN"/>
        </w:rPr>
      </w:pPr>
      <w:r>
        <w:rPr>
          <w:rFonts w:hint="default" w:ascii="Times New Roman" w:hAnsi="Times New Roman" w:eastAsia="宋体" w:cs="Times New Roman"/>
          <w:color w:val="auto"/>
          <w:szCs w:val="24"/>
          <w:u w:val="none"/>
          <w:shd w:val="clear" w:color="auto" w:fill="FFFFFF"/>
        </w:rPr>
        <w:t>绵阳市境内地层发育较齐全，岩石建造复杂，岩性岩相变化大；多期多次构造继承、干扰、迭加，构造形态极复杂；晚期岩浆活动及区域变质作用微弱；沉积成矿作用强，内生矿化弱。绵阳市处于龙门山前缘向四川盆地过渡带。该区域地跨摩天岭、龙门山及四川盆地三个地理地貌单元。北部属摩天岭南缘，南部为盆地边缘山区，中部为龙门山山脉。绵阳市属于四川盆地盆中丘陵区的北部，总的地势呈北高南低，自北而南呈阶梯逐渐降低。东西两面高中间低。中部为河谷冲积平原，两边为高阶地形成的丘状台地或丘陵。区境海拔一般为500米至600米。地势东北高西南和西部涪江及中部芙蓉溪、魏城河谷较低。最高点在太平乡与柏林镇交界处的旱山庙山顶，海拔728米，最低点在玉河镇花碑湾魏城河谷与三台县交界处，海拔419米。全市按地貌主要类型分为：山区占61.00%，丘陵区占20.40%，平坝区占18.60%</w:t>
      </w:r>
      <w:r>
        <w:rPr>
          <w:rFonts w:hint="eastAsia" w:ascii="Times New Roman" w:hAnsi="Times New Roman" w:eastAsia="宋体" w:cs="Times New Roman"/>
          <w:color w:val="auto"/>
          <w:szCs w:val="24"/>
          <w:u w:val="none"/>
          <w:shd w:val="clear" w:color="auto" w:fill="FFFFFF"/>
          <w:lang w:eastAsia="zh-CN"/>
        </w:rPr>
        <w:t>。</w:t>
      </w:r>
    </w:p>
    <w:p>
      <w:pPr>
        <w:widowControl/>
        <w:ind w:firstLine="480" w:firstLineChars="200"/>
        <w:rPr>
          <w:rFonts w:hint="eastAsia"/>
          <w:color w:val="auto"/>
          <w:lang w:eastAsia="zh-CN"/>
        </w:rPr>
      </w:pPr>
      <w:r>
        <w:rPr>
          <w:rFonts w:hint="eastAsia"/>
          <w:color w:val="auto"/>
          <w:lang w:eastAsia="zh-CN"/>
        </w:rPr>
        <w:t>游仙区地处四川盆地西北边缘，地势北高南低，海拔高程多在465m</w:t>
      </w:r>
      <w:r>
        <w:rPr>
          <w:rFonts w:hint="eastAsia"/>
          <w:color w:val="auto"/>
          <w:lang w:val="en-US" w:eastAsia="zh-CN"/>
        </w:rPr>
        <w:t>-</w:t>
      </w:r>
      <w:r>
        <w:rPr>
          <w:rFonts w:hint="eastAsia"/>
          <w:color w:val="auto"/>
          <w:lang w:eastAsia="zh-CN"/>
        </w:rPr>
        <w:t>550m之间，地形相对切割深度一般在30m左右。全区以低山丘陵地形为主，山坡自然陡度在200以内，山体宽厚、沟骨和缓，按成因划分为侵蚀堆积和构造侵蚀堆积两大类型，山间洼地之间有树状水沟连通，侵蚀作用不很强烈。</w:t>
      </w:r>
    </w:p>
    <w:p>
      <w:pPr>
        <w:widowControl/>
        <w:ind w:firstLine="480" w:firstLineChars="200"/>
        <w:rPr>
          <w:rFonts w:hint="eastAsia"/>
          <w:color w:val="auto"/>
          <w:lang w:eastAsia="zh-CN"/>
        </w:rPr>
      </w:pPr>
      <w:r>
        <w:rPr>
          <w:rFonts w:hint="eastAsia"/>
          <w:color w:val="auto"/>
          <w:lang w:eastAsia="zh-CN"/>
        </w:rPr>
        <w:t>根据国家地震局1990年编制的《中国地震烈度区划图》（1：400万）资料，游仙地处的地震基本烈度为六度。本项目周边无不良地质现象，仅见有小型的剥落、坍塌及表土滑动等，对项目不构成威胁。</w:t>
      </w:r>
    </w:p>
    <w:p>
      <w:pPr>
        <w:pStyle w:val="8"/>
        <w:tabs>
          <w:tab w:val="clear" w:pos="0"/>
        </w:tabs>
        <w:rPr>
          <w:rFonts w:eastAsia="黑体"/>
          <w:color w:val="auto"/>
          <w:sz w:val="28"/>
          <w:szCs w:val="28"/>
        </w:rPr>
      </w:pPr>
      <w:r>
        <w:rPr>
          <w:rFonts w:eastAsia="黑体"/>
          <w:color w:val="auto"/>
          <w:sz w:val="28"/>
          <w:szCs w:val="28"/>
        </w:rPr>
        <w:t>气候特征</w:t>
      </w:r>
    </w:p>
    <w:p>
      <w:pPr>
        <w:widowControl/>
        <w:ind w:firstLine="480" w:firstLineChars="200"/>
        <w:rPr>
          <w:rFonts w:ascii="Times New Roman" w:hAnsi="Times New Roman"/>
          <w:color w:val="auto"/>
          <w:szCs w:val="24"/>
          <w:u w:val="none"/>
          <w:shd w:val="clear" w:color="auto" w:fill="FFFFFF"/>
        </w:rPr>
      </w:pPr>
      <w:r>
        <w:rPr>
          <w:rFonts w:ascii="Times New Roman" w:hAnsi="Times New Roman"/>
          <w:color w:val="auto"/>
          <w:szCs w:val="24"/>
          <w:u w:val="none"/>
          <w:shd w:val="clear" w:color="auto" w:fill="FFFFFF"/>
        </w:rPr>
        <w:t>游仙区属亚热带湿润型季风气候，四季分明，年平均气温16.4°C。每年一月最冷，平均气温5.2°C，八月最高，平均气温为26.2°C，无霜期为275天。全年大于10°C的有效积温5212°C。游仙区历年平均日照时数为1278.3小时，日照时数以8月最多，157.3小时；二月最少，为72.4小时，四月至十月日照时数为875.1小时，占全年32%。全年</w:t>
      </w:r>
      <w:r>
        <w:rPr>
          <w:rFonts w:ascii="Times New Roman" w:hAnsi="Times New Roman"/>
          <w:color w:val="auto"/>
          <w:szCs w:val="24"/>
          <w:u w:val="none"/>
          <w:shd w:val="clear" w:color="auto" w:fill="FFFFFF"/>
        </w:rPr>
        <w:fldChar w:fldCharType="begin"/>
      </w:r>
      <w:r>
        <w:rPr>
          <w:rFonts w:ascii="Times New Roman" w:hAnsi="Times New Roman"/>
          <w:color w:val="auto"/>
          <w:szCs w:val="24"/>
          <w:u w:val="none"/>
          <w:shd w:val="clear" w:color="auto" w:fill="FFFFFF"/>
        </w:rPr>
        <w:instrText xml:space="preserve"> HYPERLINK "https://baike.sogou.com/lemma/ShowInnerLink.htm?lemmaId=65646192&amp;ss_c=ssc.citiao.link" \t "https://baike.sogou.com/_blank" </w:instrText>
      </w:r>
      <w:r>
        <w:rPr>
          <w:rFonts w:ascii="Times New Roman" w:hAnsi="Times New Roman"/>
          <w:color w:val="auto"/>
          <w:szCs w:val="24"/>
          <w:u w:val="none"/>
          <w:shd w:val="clear" w:color="auto" w:fill="FFFFFF"/>
        </w:rPr>
        <w:fldChar w:fldCharType="separate"/>
      </w:r>
      <w:r>
        <w:rPr>
          <w:rStyle w:val="59"/>
          <w:rFonts w:ascii="Times New Roman" w:hAnsi="Times New Roman"/>
          <w:color w:val="auto"/>
          <w:szCs w:val="24"/>
          <w:u w:val="none"/>
          <w:shd w:val="clear" w:color="auto" w:fill="FFFFFF"/>
        </w:rPr>
        <w:t>日照百分率</w:t>
      </w:r>
      <w:r>
        <w:rPr>
          <w:rFonts w:ascii="Times New Roman" w:hAnsi="Times New Roman"/>
          <w:color w:val="auto"/>
          <w:szCs w:val="24"/>
          <w:u w:val="none"/>
          <w:shd w:val="clear" w:color="auto" w:fill="FFFFFF"/>
        </w:rPr>
        <w:fldChar w:fldCharType="end"/>
      </w:r>
      <w:r>
        <w:rPr>
          <w:rFonts w:ascii="Times New Roman" w:hAnsi="Times New Roman"/>
          <w:color w:val="auto"/>
          <w:szCs w:val="24"/>
          <w:u w:val="none"/>
          <w:shd w:val="clear" w:color="auto" w:fill="FFFFFF"/>
        </w:rPr>
        <w:t>为29%。游仙区多年平均　降水量为969.6毫米。降水主要集中在夏秋两季。历年平均降水量中：春季（3－5月有）为163.2毫米，占全年的16%；夏季（6</w:t>
      </w:r>
      <w:r>
        <w:rPr>
          <w:rFonts w:hint="eastAsia"/>
          <w:color w:val="auto"/>
          <w:szCs w:val="24"/>
          <w:u w:val="none"/>
          <w:shd w:val="clear" w:color="auto" w:fill="FFFFFF"/>
          <w:lang w:val="en-US" w:eastAsia="zh-CN"/>
        </w:rPr>
        <w:t>-</w:t>
      </w:r>
      <w:r>
        <w:rPr>
          <w:rFonts w:ascii="Times New Roman" w:hAnsi="Times New Roman"/>
          <w:color w:val="auto"/>
          <w:szCs w:val="24"/>
          <w:u w:val="none"/>
          <w:shd w:val="clear" w:color="auto" w:fill="FFFFFF"/>
        </w:rPr>
        <w:t>8）降水量为622.7毫米，占全年的61%；秋季为211.9毫米，占全年的20.8%；冬季为22.2毫米，占全年的2.2%。</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极端最高气温37.3℃</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极端最低气温-5.9℃</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年平均气温16.2℃</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全年平均相对湿度82%</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年平均降雨量947mm</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全年大气压力949.8hPa</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最大积雪深度5cm</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年日照百分率28%</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年平均风速1.1m/s</w:t>
      </w:r>
    </w:p>
    <w:p>
      <w:pPr>
        <w:pStyle w:val="8"/>
        <w:tabs>
          <w:tab w:val="clear" w:pos="0"/>
        </w:tabs>
        <w:spacing w:before="120"/>
        <w:rPr>
          <w:rFonts w:eastAsia="黑体"/>
          <w:color w:val="auto"/>
          <w:sz w:val="28"/>
          <w:szCs w:val="28"/>
        </w:rPr>
      </w:pPr>
      <w:r>
        <w:rPr>
          <w:rFonts w:eastAsia="黑体"/>
          <w:color w:val="auto"/>
          <w:sz w:val="28"/>
          <w:szCs w:val="28"/>
        </w:rPr>
        <w:t>水文特征</w:t>
      </w:r>
    </w:p>
    <w:p>
      <w:pPr>
        <w:pStyle w:val="9"/>
        <w:spacing w:before="120" w:beforeLines="50"/>
        <w:rPr>
          <w:color w:val="auto"/>
        </w:rPr>
      </w:pPr>
      <w:r>
        <w:rPr>
          <w:color w:val="auto"/>
        </w:rPr>
        <w:t>地表水</w:t>
      </w:r>
    </w:p>
    <w:p>
      <w:pPr>
        <w:ind w:firstLine="480"/>
        <w:rPr>
          <w:rFonts w:hint="default" w:ascii="Times New Roman" w:hAnsi="Times New Roman" w:cs="Times New Roman"/>
          <w:color w:val="auto"/>
        </w:rPr>
      </w:pPr>
      <w:r>
        <w:rPr>
          <w:rFonts w:hint="default" w:ascii="Times New Roman" w:hAnsi="Times New Roman" w:cs="Times New Roman"/>
          <w:color w:val="auto"/>
        </w:rPr>
        <w:t>绵阳境内河流属嘉陵江水系，涪江是绵阳市的主要河流、嘉陵江右岸的一级支流，发源于岷山东麓松潘县的三舍驿雪宝顶（海拔5555m），经平武、江油、绵阳、三台、遂宁、合川注入嘉陵江，全长670km，流域面积36400km</w:t>
      </w:r>
      <w:r>
        <w:rPr>
          <w:rFonts w:hint="default" w:ascii="Times New Roman" w:hAnsi="Times New Roman" w:cs="Times New Roman"/>
          <w:color w:val="auto"/>
          <w:vertAlign w:val="superscript"/>
        </w:rPr>
        <w:t>2</w:t>
      </w:r>
      <w:r>
        <w:rPr>
          <w:rFonts w:hint="default" w:ascii="Times New Roman" w:hAnsi="Times New Roman" w:cs="Times New Roman"/>
          <w:color w:val="auto"/>
        </w:rPr>
        <w:t>。支流呈树枝状，涪江左岸有芙蓉溪、梓江；右岸有平通河、通口河、安昌江等较大支流流入。游仙区境内主要水系为芙蓉溪和魏城河。</w:t>
      </w:r>
    </w:p>
    <w:p>
      <w:pPr>
        <w:ind w:firstLine="480"/>
        <w:rPr>
          <w:rFonts w:hint="default" w:ascii="Times New Roman" w:hAnsi="Times New Roman" w:cs="Times New Roman"/>
          <w:color w:val="auto"/>
        </w:rPr>
      </w:pPr>
      <w:r>
        <w:rPr>
          <w:rFonts w:hint="eastAsia"/>
          <w:color w:val="auto"/>
          <w:lang w:val="en-US" w:eastAsia="zh-CN"/>
        </w:rPr>
        <w:t>距项目建设地点最近地表水体为</w:t>
      </w:r>
      <w:r>
        <w:rPr>
          <w:rFonts w:hint="default" w:ascii="Times New Roman" w:hAnsi="Times New Roman" w:cs="Times New Roman"/>
          <w:color w:val="auto"/>
        </w:rPr>
        <w:t>魏城河</w:t>
      </w:r>
      <w:r>
        <w:rPr>
          <w:rFonts w:hint="eastAsia"/>
          <w:color w:val="auto"/>
          <w:lang w:val="en-US" w:eastAsia="zh-CN"/>
        </w:rPr>
        <w:t>，</w:t>
      </w:r>
      <w:r>
        <w:rPr>
          <w:rFonts w:hint="default" w:ascii="Times New Roman" w:hAnsi="Times New Roman" w:cs="Times New Roman"/>
          <w:color w:val="auto"/>
        </w:rPr>
        <w:t>魏城河古称络水溪，又名鱼箭河</w:t>
      </w:r>
      <w:r>
        <w:rPr>
          <w:rFonts w:hint="eastAsia" w:ascii="Times New Roman" w:hAnsi="Times New Roman" w:cs="Times New Roman"/>
          <w:color w:val="auto"/>
          <w:lang w:eastAsia="zh-CN"/>
        </w:rPr>
        <w:t>、</w:t>
      </w:r>
      <w:r>
        <w:rPr>
          <w:rFonts w:hint="default" w:ascii="Times New Roman" w:hAnsi="Times New Roman" w:cs="Times New Roman"/>
          <w:color w:val="auto"/>
        </w:rPr>
        <w:t>魏刘河，为梓潼江一级支流、涪江二级支流。该河主流发源于绵阳、梓潼、江油交界的帽盒山玉皇观南坡，北向南流，经绵阳市游仙区的柏林镇，至魏城镇纳蓬莲池寺沟，折向东南流，至刘家镇纳石板河，折向东流，先后有宣化铺河、石牛河、松林湾沟汇入，至道碑观又折向南流，经玉河乡至清溪庵，入三台县境，曲折东南流，经白蝉、双胜、忠孝等乡，入盐亭县境，于两河镇汇入梓潼江。魏城河干流河长127km，流域面积1004km</w:t>
      </w:r>
      <w:r>
        <w:rPr>
          <w:rFonts w:hint="default" w:ascii="Times New Roman" w:hAnsi="Times New Roman" w:cs="Times New Roman"/>
          <w:color w:val="auto"/>
          <w:vertAlign w:val="superscript"/>
        </w:rPr>
        <w:t>2</w:t>
      </w:r>
      <w:r>
        <w:rPr>
          <w:rFonts w:hint="default" w:ascii="Times New Roman" w:hAnsi="Times New Roman" w:cs="Times New Roman"/>
          <w:color w:val="auto"/>
        </w:rPr>
        <w:t>，河流呈树枝型，水系发育，支流众多。</w:t>
      </w:r>
    </w:p>
    <w:p>
      <w:pPr>
        <w:ind w:firstLine="480"/>
        <w:rPr>
          <w:rFonts w:hint="default" w:ascii="Times New Roman" w:hAnsi="Times New Roman" w:cs="Times New Roman"/>
          <w:color w:val="auto"/>
        </w:rPr>
      </w:pPr>
      <w:r>
        <w:rPr>
          <w:rFonts w:hint="default" w:ascii="Times New Roman" w:hAnsi="Times New Roman" w:cs="Times New Roman"/>
          <w:color w:val="auto"/>
        </w:rPr>
        <w:t>水文特征：魏城河流域洪水由暴雨形成，洪水发生时间与暴雨相应，洪水过程陡涨陡落，其过程直接受暴雨特性的影响。其洪水特性具有丘陵地区河流洪水的共性，最大洪峰流量出现在6～9月，起涨时间多在2-6h，形成洪峰时间多在13h以内，峰型多为单峰。流域径流主要由降雨形成，5～10月汛期径流由降雨补给，11月至次年4月径流由流域前期蓄水消退补给。径流年内分配不均，汛期径流量占年径流量的80％，枯季径流量占年径流量的20％。</w:t>
      </w:r>
    </w:p>
    <w:p>
      <w:pPr>
        <w:ind w:firstLine="480"/>
        <w:rPr>
          <w:rFonts w:hint="default" w:ascii="Times New Roman" w:hAnsi="Times New Roman" w:cs="Times New Roman"/>
          <w:color w:val="auto"/>
        </w:rPr>
      </w:pPr>
      <w:r>
        <w:rPr>
          <w:rFonts w:hint="default" w:ascii="Times New Roman" w:hAnsi="Times New Roman" w:cs="Times New Roman"/>
          <w:color w:val="auto"/>
        </w:rPr>
        <w:t>据《中国江河水系大辞典》资料,魏城河年平均流量13m</w:t>
      </w:r>
      <w:r>
        <w:rPr>
          <w:rFonts w:hint="default" w:ascii="Times New Roman" w:hAnsi="Times New Roman" w:cs="Times New Roman"/>
          <w:color w:val="auto"/>
          <w:vertAlign w:val="superscript"/>
        </w:rPr>
        <w:t>3</w:t>
      </w:r>
      <w:r>
        <w:rPr>
          <w:rFonts w:hint="default" w:ascii="Times New Roman" w:hAnsi="Times New Roman" w:cs="Times New Roman"/>
          <w:color w:val="auto"/>
        </w:rPr>
        <w:t>/s ,年径流总量4.1亿m</w:t>
      </w:r>
      <w:r>
        <w:rPr>
          <w:rFonts w:hint="default" w:ascii="Times New Roman" w:hAnsi="Times New Roman" w:cs="Times New Roman"/>
          <w:color w:val="auto"/>
          <w:vertAlign w:val="superscript"/>
        </w:rPr>
        <w:t>3</w:t>
      </w:r>
      <w:r>
        <w:rPr>
          <w:rFonts w:hint="default" w:ascii="Times New Roman" w:hAnsi="Times New Roman" w:cs="Times New Roman"/>
          <w:color w:val="auto"/>
        </w:rPr>
        <w:t>.流域平均年径流深423mm;魏城河自然落差1 70m.理论水能资源1.08万kW</w:t>
      </w:r>
      <w:r>
        <w:rPr>
          <w:rFonts w:hint="eastAsia" w:ascii="Times New Roman" w:hAnsi="Times New Roman" w:cs="Times New Roman"/>
          <w:color w:val="auto"/>
          <w:lang w:eastAsia="zh-CN"/>
        </w:rPr>
        <w:t>，</w:t>
      </w:r>
      <w:r>
        <w:rPr>
          <w:rFonts w:hint="default" w:ascii="Times New Roman" w:hAnsi="Times New Roman" w:cs="Times New Roman"/>
          <w:color w:val="auto"/>
        </w:rPr>
        <w:t>可开发水能资源0.25万kW</w:t>
      </w:r>
      <w:r>
        <w:rPr>
          <w:rFonts w:hint="eastAsia" w:ascii="Times New Roman" w:hAnsi="Times New Roman" w:cs="Times New Roman"/>
          <w:color w:val="auto"/>
          <w:lang w:eastAsia="zh-CN"/>
        </w:rPr>
        <w:t>，</w:t>
      </w:r>
      <w:r>
        <w:rPr>
          <w:rFonts w:hint="default" w:ascii="Times New Roman" w:hAnsi="Times New Roman" w:cs="Times New Roman"/>
          <w:color w:val="auto"/>
        </w:rPr>
        <w:t>水利资源及水能资源都比较贫乏。</w:t>
      </w:r>
    </w:p>
    <w:p>
      <w:pPr>
        <w:ind w:firstLine="480"/>
        <w:rPr>
          <w:rFonts w:hint="default"/>
          <w:color w:val="auto"/>
        </w:rPr>
      </w:pPr>
      <w:r>
        <w:rPr>
          <w:rFonts w:hint="default" w:ascii="Times New Roman" w:hAnsi="Times New Roman" w:cs="Times New Roman"/>
          <w:color w:val="auto"/>
        </w:rPr>
        <w:t>水利概况：魏城河目前开发利用率仍很低，尚无大、中型水利水电工程，开发程度还仅限于沿河筑堰开渠和水库，就近灌溉河谷地带田土耕地。</w:t>
      </w:r>
    </w:p>
    <w:p>
      <w:pPr>
        <w:pStyle w:val="9"/>
        <w:spacing w:before="120" w:beforeLines="50"/>
        <w:rPr>
          <w:color w:val="auto"/>
        </w:rPr>
      </w:pPr>
      <w:r>
        <w:rPr>
          <w:color w:val="auto"/>
        </w:rPr>
        <w:t>地下水</w:t>
      </w:r>
    </w:p>
    <w:p>
      <w:pPr>
        <w:ind w:firstLine="480"/>
        <w:rPr>
          <w:rFonts w:hint="default" w:ascii="Times New Roman" w:hAnsi="Times New Roman" w:cs="Times New Roman"/>
          <w:color w:val="auto"/>
        </w:rPr>
      </w:pPr>
      <w:r>
        <w:rPr>
          <w:rFonts w:hint="default" w:ascii="Times New Roman" w:hAnsi="Times New Roman" w:cs="Times New Roman"/>
          <w:color w:val="auto"/>
          <w:lang w:bidi="ar"/>
        </w:rPr>
        <w:t>绵阳市地下水分布广泛，储量丰富，冲积平坝赋存，水文条件好，水资源开发潜力大。境内地下水资源总量多年平均值为25.3亿m</w:t>
      </w:r>
      <w:r>
        <w:rPr>
          <w:rFonts w:hint="default" w:ascii="Times New Roman" w:hAnsi="Times New Roman" w:cs="Times New Roman"/>
          <w:color w:val="auto"/>
          <w:vertAlign w:val="superscript"/>
          <w:lang w:bidi="ar"/>
        </w:rPr>
        <w:t>3</w:t>
      </w:r>
      <w:r>
        <w:rPr>
          <w:rFonts w:hint="default" w:ascii="Times New Roman" w:hAnsi="Times New Roman" w:cs="Times New Roman"/>
          <w:color w:val="auto"/>
          <w:lang w:bidi="ar"/>
        </w:rPr>
        <w:t>，可开采量约为5.9亿m</w:t>
      </w:r>
      <w:r>
        <w:rPr>
          <w:rFonts w:hint="default" w:ascii="Times New Roman" w:hAnsi="Times New Roman" w:cs="Times New Roman"/>
          <w:color w:val="auto"/>
          <w:vertAlign w:val="superscript"/>
          <w:lang w:bidi="ar"/>
        </w:rPr>
        <w:t>3</w:t>
      </w:r>
      <w:r>
        <w:rPr>
          <w:rFonts w:hint="default" w:ascii="Times New Roman" w:hAnsi="Times New Roman" w:cs="Times New Roman"/>
          <w:color w:val="auto"/>
          <w:lang w:bidi="ar"/>
        </w:rPr>
        <w:t>，人均水资源量2259m</w:t>
      </w:r>
      <w:r>
        <w:rPr>
          <w:rFonts w:hint="default" w:ascii="Times New Roman" w:hAnsi="Times New Roman" w:cs="Times New Roman"/>
          <w:color w:val="auto"/>
          <w:vertAlign w:val="superscript"/>
          <w:lang w:bidi="ar"/>
        </w:rPr>
        <w:t>3</w:t>
      </w:r>
      <w:r>
        <w:rPr>
          <w:rFonts w:hint="default" w:ascii="Times New Roman" w:hAnsi="Times New Roman" w:cs="Times New Roman"/>
          <w:color w:val="auto"/>
          <w:lang w:bidi="ar"/>
        </w:rPr>
        <w:t>。地下水主要为第四系松散堆积层孔隙潜水和少量基岩裂隙水，地下水位埋深一般2m~8m，主要接受大气降雨及河流地表水补给。</w:t>
      </w:r>
    </w:p>
    <w:p>
      <w:pPr>
        <w:ind w:firstLine="480"/>
        <w:rPr>
          <w:rFonts w:hint="default" w:ascii="Times New Roman" w:hAnsi="Times New Roman" w:cs="Times New Roman"/>
          <w:color w:val="auto"/>
          <w:lang w:bidi="ar"/>
        </w:rPr>
      </w:pPr>
      <w:r>
        <w:rPr>
          <w:rFonts w:hint="default" w:ascii="Times New Roman" w:hAnsi="Times New Roman" w:cs="Times New Roman"/>
          <w:color w:val="auto"/>
          <w:lang w:bidi="ar"/>
        </w:rPr>
        <w:t>（1）地下水分布特征</w:t>
      </w:r>
    </w:p>
    <w:p>
      <w:pPr>
        <w:ind w:firstLine="480"/>
        <w:rPr>
          <w:rFonts w:hint="default" w:ascii="Times New Roman" w:hAnsi="Times New Roman" w:cs="Times New Roman"/>
          <w:color w:val="auto"/>
        </w:rPr>
      </w:pPr>
      <w:r>
        <w:rPr>
          <w:rFonts w:hint="default" w:ascii="Times New Roman" w:hAnsi="Times New Roman" w:cs="Times New Roman"/>
          <w:color w:val="auto"/>
          <w:lang w:bidi="ar"/>
        </w:rPr>
        <w:t>根据区域水文地质普查报告，结合绵阳市地貌、地质构造、岩性岩相以及实际调查可知，境内的地下水类型多，水文地质情况复杂。西部山地坡度陡，地表径流集中迅速，河水位涨落快，形成河川径流的比重大，年平均径流深可达1400mm左右，地下水体交替强烈，屡见岩溶泉水；盆地边缘以砾岩含水和裂隙水为主，局部有砾岩溶洞水，人口居住位置高，利用地下水困难；东南丘陵地势起伏大，植被差，降水量少，蒸发量大，地表难形成径流，年径流系数仅0.3左右。这一带径流低值区，径流深约300mm。东南丘陵红层地区侏罗系、白垩系红色砂泥岩平铺广布，地形切割细碎，地表水极易流失，地下水难聚集，是严重的缺水区和有名的“川中老旱区”。</w:t>
      </w:r>
    </w:p>
    <w:p>
      <w:pPr>
        <w:ind w:firstLine="480"/>
        <w:rPr>
          <w:rFonts w:hint="default" w:ascii="Times New Roman" w:hAnsi="Times New Roman" w:cs="Times New Roman"/>
          <w:color w:val="auto"/>
          <w:lang w:bidi="ar"/>
        </w:rPr>
      </w:pPr>
      <w:r>
        <w:rPr>
          <w:rFonts w:hint="default" w:ascii="Times New Roman" w:hAnsi="Times New Roman" w:cs="Times New Roman"/>
          <w:color w:val="auto"/>
          <w:lang w:bidi="ar"/>
        </w:rPr>
        <w:t>（2）含水层的空间分布特征场区内地面出露为中生界白垩系下统剑阁组（K</w:t>
      </w:r>
      <w:r>
        <w:rPr>
          <w:rFonts w:hint="default" w:ascii="Times New Roman" w:hAnsi="Times New Roman" w:cs="Times New Roman"/>
          <w:color w:val="auto"/>
          <w:vertAlign w:val="subscript"/>
          <w:lang w:bidi="ar"/>
        </w:rPr>
        <w:t>1</w:t>
      </w:r>
      <w:r>
        <w:rPr>
          <w:rFonts w:hint="default" w:ascii="Times New Roman" w:hAnsi="Times New Roman" w:cs="Times New Roman"/>
          <w:color w:val="auto"/>
          <w:lang w:bidi="ar"/>
        </w:rPr>
        <w:t>j</w:t>
      </w:r>
      <w:r>
        <w:rPr>
          <w:rFonts w:hint="default" w:ascii="Times New Roman" w:hAnsi="Times New Roman" w:cs="Times New Roman"/>
          <w:color w:val="auto"/>
          <w:vertAlign w:val="subscript"/>
          <w:lang w:bidi="ar"/>
        </w:rPr>
        <w:t>2</w:t>
      </w:r>
      <w:r>
        <w:rPr>
          <w:rFonts w:hint="default" w:ascii="Times New Roman" w:hAnsi="Times New Roman" w:cs="Times New Roman"/>
          <w:color w:val="auto"/>
          <w:lang w:bidi="ar"/>
        </w:rPr>
        <w:t>），厚度为164-428米，砾岩、含砾砂岩、砂岩、泥岩不等厚韵律互层。每段下部砂岩多，单层厚1.5~27米。上部以泥岩为主，含裂隙水。受地形地貌和构造条件控制，富水性略有差异。以风化带裂隙水为主。井泉流量0.01~2升/秒，季节变化大。钻孔涌水量一般为10~50吨/昼夜。地下水迳流模数0.08~0.52升/秒·平方公里，富水性不均，一般为0.2升/秒·平方公里左右。下伏层间裂隙水水量微弱，多数在10吨/昼夜以下，具承压性。一般各段下部钙质厚层砂岩易含水。硬砂岩在地形适宜时可富水。水质大都为重碳酸钙型水，矿化度低于0.5克/升。在100米左右可见到咸水。</w:t>
      </w:r>
    </w:p>
    <w:p>
      <w:pPr>
        <w:ind w:firstLine="480"/>
        <w:rPr>
          <w:rFonts w:hint="default" w:ascii="Times New Roman" w:hAnsi="Times New Roman" w:cs="Times New Roman"/>
          <w:color w:val="auto"/>
        </w:rPr>
      </w:pPr>
      <w:r>
        <w:rPr>
          <w:rFonts w:hint="default" w:ascii="Times New Roman" w:hAnsi="Times New Roman" w:cs="Times New Roman"/>
          <w:color w:val="auto"/>
          <w:lang w:bidi="ar"/>
        </w:rPr>
        <w:t>（3）水文地质及水化学特征根据区域水文地质普查报告及区域综合水文地质图可知，取水口所在区域出露地层为中生界白垩系下统剑阁组，其地下水类型为以风化带裂隙水为主的红层裂隙水。</w:t>
      </w:r>
    </w:p>
    <w:p>
      <w:pPr>
        <w:ind w:firstLine="480"/>
        <w:rPr>
          <w:rFonts w:hint="default" w:ascii="Times New Roman" w:hAnsi="Times New Roman" w:cs="Times New Roman"/>
          <w:color w:val="auto"/>
        </w:rPr>
      </w:pPr>
      <w:r>
        <w:rPr>
          <w:rFonts w:hint="default" w:ascii="Times New Roman" w:hAnsi="Times New Roman" w:cs="Times New Roman"/>
          <w:color w:val="auto"/>
          <w:lang w:bidi="ar"/>
        </w:rPr>
        <w:t>（4）补给、径流、排泄特征区内地下水的补给条件受多种因素控制，并以大气降水的渗入为主要补给来源，此外亦接受地表水体（稻田、沟渠）的渗入补给，含孔隙潜水，受水面积大，易于补给。广大红层丘陵地下水排泄方式以泉或泉群的形式在砂、泥岩接触处溢出为主。丘陵区，地形切浅，沟谷宽缓，且有第四系粘性土覆盖，泉少，水井多，地下水垂直或人工排泄亦强，径流条件差。</w:t>
      </w:r>
    </w:p>
    <w:p>
      <w:pPr>
        <w:ind w:firstLine="480"/>
        <w:rPr>
          <w:rFonts w:hint="default" w:ascii="Times New Roman" w:hAnsi="Times New Roman" w:cs="Times New Roman"/>
          <w:color w:val="auto"/>
          <w:lang w:bidi="ar"/>
        </w:rPr>
      </w:pPr>
      <w:r>
        <w:rPr>
          <w:rFonts w:hint="default" w:ascii="Times New Roman" w:hAnsi="Times New Roman" w:cs="Times New Roman"/>
          <w:color w:val="auto"/>
          <w:lang w:bidi="ar"/>
        </w:rPr>
        <w:t>总的特点：补给区和排泄区很近，径流途径短，径流畅通地段是地表水汇集区域。区内地下水最大的水源补给为河流地下径流，基本无其他补给源，尤以地下径流水为稳定补给源。区内地下水在洪水汛期地下水位变幅达0.8米左右（已将大部分河漫滩淹没，24小时内水位抬升0.8米）。场区内地下水总体由西北向东南方向径流，地下水径流的水力坡度为2.3‰。</w:t>
      </w:r>
    </w:p>
    <w:p>
      <w:pPr>
        <w:pStyle w:val="50"/>
        <w:spacing w:line="360" w:lineRule="auto"/>
        <w:ind w:left="0" w:leftChars="0" w:firstLine="480" w:firstLineChars="200"/>
        <w:rPr>
          <w:rFonts w:hint="eastAsia"/>
          <w:color w:val="auto"/>
        </w:rPr>
      </w:pPr>
      <w:r>
        <w:rPr>
          <w:rFonts w:hint="eastAsia" w:ascii="Times New Roman" w:hAnsi="Times New Roman" w:eastAsia="宋体" w:cs="Times New Roman"/>
          <w:b w:val="0"/>
          <w:bCs w:val="0"/>
          <w:color w:val="auto"/>
          <w:sz w:val="24"/>
          <w:szCs w:val="21"/>
          <w:lang w:val="en-US" w:eastAsia="zh-CN"/>
        </w:rPr>
        <w:t>项目位于盐泉镇，</w:t>
      </w:r>
      <w:r>
        <w:rPr>
          <w:rFonts w:hint="default" w:ascii="Times New Roman" w:hAnsi="Times New Roman" w:eastAsia="宋体" w:cs="Times New Roman"/>
          <w:b w:val="0"/>
          <w:bCs w:val="0"/>
          <w:color w:val="auto"/>
          <w:sz w:val="24"/>
          <w:szCs w:val="21"/>
        </w:rPr>
        <w:t>地处龙门山脉浅丘断裂带，地层结构简单，岩层走向与区域构造线近似一致</w:t>
      </w:r>
      <w:r>
        <w:rPr>
          <w:rFonts w:hint="eastAsia" w:ascii="Times New Roman" w:hAnsi="Times New Roman" w:eastAsia="宋体" w:cs="Times New Roman"/>
          <w:b w:val="0"/>
          <w:bCs w:val="0"/>
          <w:color w:val="auto"/>
          <w:sz w:val="24"/>
          <w:szCs w:val="21"/>
          <w:lang w:eastAsia="zh-CN"/>
        </w:rPr>
        <w:t>，</w:t>
      </w:r>
      <w:r>
        <w:rPr>
          <w:rFonts w:hint="default" w:ascii="Times New Roman" w:hAnsi="Times New Roman" w:eastAsia="宋体" w:cs="Times New Roman"/>
          <w:b w:val="0"/>
          <w:bCs w:val="0"/>
          <w:color w:val="auto"/>
          <w:sz w:val="24"/>
          <w:szCs w:val="21"/>
        </w:rPr>
        <w:t>地表裂隙较少，</w:t>
      </w:r>
      <w:r>
        <w:rPr>
          <w:rFonts w:hint="default" w:ascii="Times New Roman" w:hAnsi="Times New Roman" w:eastAsia="宋体" w:cs="Times New Roman"/>
          <w:color w:val="auto"/>
          <w:sz w:val="24"/>
          <w:szCs w:val="21"/>
        </w:rPr>
        <w:t>岩石较完整,区域内黄色粘土及亚粘土分布于丘陵沟谷山坡的缓冲地带，沟谷部位一般厚15.20m。</w:t>
      </w:r>
    </w:p>
    <w:p>
      <w:pPr>
        <w:pStyle w:val="2"/>
        <w:jc w:val="center"/>
        <w:rPr>
          <w:rFonts w:hint="eastAsia"/>
          <w:color w:val="auto"/>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1235075</wp:posOffset>
                </wp:positionH>
                <wp:positionV relativeFrom="paragraph">
                  <wp:posOffset>384810</wp:posOffset>
                </wp:positionV>
                <wp:extent cx="975995" cy="439420"/>
                <wp:effectExtent l="7620" t="7620" r="26035" b="657860"/>
                <wp:wrapNone/>
                <wp:docPr id="12" name="自选图形 28"/>
                <wp:cNvGraphicFramePr/>
                <a:graphic xmlns:a="http://schemas.openxmlformats.org/drawingml/2006/main">
                  <a:graphicData uri="http://schemas.microsoft.com/office/word/2010/wordprocessingShape">
                    <wps:wsp>
                      <wps:cNvSpPr/>
                      <wps:spPr>
                        <a:xfrm>
                          <a:off x="0" y="0"/>
                          <a:ext cx="975995" cy="439420"/>
                        </a:xfrm>
                        <a:prstGeom prst="wedgeRectCallout">
                          <a:avLst>
                            <a:gd name="adj1" fmla="val -46931"/>
                            <a:gd name="adj2" fmla="val 189185"/>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ind w:left="0" w:leftChars="0" w:firstLine="0" w:firstLineChars="0"/>
                              <w:rPr>
                                <w:rFonts w:hint="default" w:eastAsia="宋体"/>
                                <w:lang w:val="en-US" w:eastAsia="zh-CN"/>
                              </w:rPr>
                            </w:pPr>
                            <w:r>
                              <w:rPr>
                                <w:rFonts w:hint="eastAsia"/>
                                <w:lang w:val="en-US" w:eastAsia="zh-CN"/>
                              </w:rPr>
                              <w:t>项目所在地</w:t>
                            </w:r>
                          </w:p>
                        </w:txbxContent>
                      </wps:txbx>
                      <wps:bodyPr wrap="square" upright="1"/>
                    </wps:wsp>
                  </a:graphicData>
                </a:graphic>
              </wp:anchor>
            </w:drawing>
          </mc:Choice>
          <mc:Fallback>
            <w:pict>
              <v:shape id="自选图形 28" o:spid="_x0000_s1026" o:spt="61" type="#_x0000_t61" style="position:absolute;left:0pt;margin-left:97.25pt;margin-top:30.3pt;height:34.6pt;width:76.85pt;z-index:251668480;mso-width-relative:page;mso-height-relative:page;" fillcolor="#FFFFFF" filled="t" stroked="t" coordsize="21600,21600" o:gfxdata="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yd/RMtYAAAAKAQAADwAAAAAAAAABACAA&#10;AAAiAAAAZHJzL2Rvd25yZXYueG1sUEsBAhQAFAAAAAgAh07iQEYPdfaBAgAAJQUAAA4AAAAAAAAA&#10;AQAgAAAAJQEAAGRycy9lMm9Eb2MueG1sUEsFBgAAAAAGAAYAWQEAABgGAAAAAA==&#10;" adj="663,51664">
                <v:fill type="gradient" on="t" color2="#FFFFFF" angle="90" focus="100%" focussize="0f,0f" focusposition="0f,0f">
                  <o:fill type="gradientUnscaled" v:ext="backwardCompatible"/>
                </v:fill>
                <v:stroke weight="1.25pt" color="#000000" joinstyle="miter"/>
                <v:imagedata o:title=""/>
                <o:lock v:ext="edit" aspectratio="f"/>
                <v:textbox>
                  <w:txbxContent>
                    <w:p>
                      <w:pPr>
                        <w:ind w:left="0" w:leftChars="0" w:firstLine="0" w:firstLineChars="0"/>
                        <w:rPr>
                          <w:rFonts w:hint="default" w:eastAsia="宋体"/>
                          <w:lang w:val="en-US" w:eastAsia="zh-CN"/>
                        </w:rPr>
                      </w:pPr>
                      <w:r>
                        <w:rPr>
                          <w:rFonts w:hint="eastAsia"/>
                          <w:lang w:val="en-US" w:eastAsia="zh-CN"/>
                        </w:rPr>
                        <w:t>项目所在地</w:t>
                      </w:r>
                    </w:p>
                  </w:txbxContent>
                </v:textbox>
              </v:shape>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1161415</wp:posOffset>
                </wp:positionH>
                <wp:positionV relativeFrom="paragraph">
                  <wp:posOffset>1332230</wp:posOffset>
                </wp:positionV>
                <wp:extent cx="227330" cy="217805"/>
                <wp:effectExtent l="24130" t="26035" r="34290" b="22860"/>
                <wp:wrapNone/>
                <wp:docPr id="11" name="自选图形 27"/>
                <wp:cNvGraphicFramePr/>
                <a:graphic xmlns:a="http://schemas.openxmlformats.org/drawingml/2006/main">
                  <a:graphicData uri="http://schemas.microsoft.com/office/word/2010/wordprocessingShape">
                    <wps:wsp>
                      <wps:cNvSpPr/>
                      <wps:spPr>
                        <a:xfrm>
                          <a:off x="0" y="0"/>
                          <a:ext cx="227330" cy="217805"/>
                        </a:xfrm>
                        <a:prstGeom prst="star5">
                          <a:avLst/>
                        </a:prstGeom>
                        <a:solidFill>
                          <a:srgbClr val="FF0000"/>
                        </a:solidFill>
                        <a:ln w="15875" cap="flat" cmpd="sng">
                          <a:solidFill>
                            <a:srgbClr val="000000"/>
                          </a:solidFill>
                          <a:prstDash val="solid"/>
                          <a:miter/>
                          <a:headEnd type="none" w="med" len="med"/>
                          <a:tailEnd type="none" w="med" len="med"/>
                        </a:ln>
                      </wps:spPr>
                      <wps:txbx>
                        <w:txbxContent>
                          <w:p/>
                        </w:txbxContent>
                      </wps:txbx>
                      <wps:bodyPr wrap="square" upright="1"/>
                    </wps:wsp>
                  </a:graphicData>
                </a:graphic>
              </wp:anchor>
            </w:drawing>
          </mc:Choice>
          <mc:Fallback>
            <w:pict>
              <v:shape id="自选图形 27" o:spid="_x0000_s1026" style="position:absolute;left:0pt;margin-left:91.45pt;margin-top:104.9pt;height:17.15pt;width:17.9pt;z-index:251667456;mso-width-relative:page;mso-height-relative:page;" fillcolor="#FF0000" filled="t" stroked="t" coordsize="227330,217805" o:gfxdata="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2YDPC2QAAAAsB&#10;AAAPAAAAAAAAAAEAIAAAACIAAABkcnMvZG93bnJldi54bWxQSwECFAAUAAAACACHTuJAiFHBKhoC&#10;AABABAAADgAAAAAAAAABACAAAAAoAQAAZHJzL2Uyb0RvYy54bWxQSwUGAAAAAAYABgBZAQAAtAUA&#10;AAAA&#10;" path="m0,83193l86832,83194,113665,0,140497,83194,227329,83193,157080,134610,183913,217804,113665,166387,43416,217804,70249,134610xe">
                <v:path textboxrect="0,0,227330,217805" o:connectlocs="113665,0;0,83193;43416,217804;183913,217804;227329,83193" o:connectangles="247,164,82,82,0"/>
                <v:fill on="t" focussize="0,0"/>
                <v:stroke weight="1.25pt" color="#000000" joinstyle="miter"/>
                <v:imagedata o:title=""/>
                <o:lock v:ext="edit" aspectratio="f"/>
                <v:textbox>
                  <w:txbxContent>
                    <w:p/>
                  </w:txbxContent>
                </v:textbox>
              </v:shape>
            </w:pict>
          </mc:Fallback>
        </mc:AlternateContent>
      </w:r>
      <w:r>
        <w:rPr>
          <w:rFonts w:hint="default" w:ascii="Times New Roman" w:hAnsi="Times New Roman" w:eastAsia="宋体" w:cs="Times New Roman"/>
          <w:color w:val="auto"/>
        </w:rPr>
        <w:drawing>
          <wp:inline distT="0" distB="0" distL="114300" distR="114300">
            <wp:extent cx="3295015" cy="3246755"/>
            <wp:effectExtent l="0" t="0" r="635" b="10795"/>
            <wp:docPr id="21" name="图片 77" descr="QQ截图20190121110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7" descr="QQ截图20190121110858"/>
                    <pic:cNvPicPr>
                      <a:picLocks noChangeAspect="1"/>
                    </pic:cNvPicPr>
                  </pic:nvPicPr>
                  <pic:blipFill>
                    <a:blip r:embed="rId52"/>
                    <a:stretch>
                      <a:fillRect/>
                    </a:stretch>
                  </pic:blipFill>
                  <pic:spPr>
                    <a:xfrm>
                      <a:off x="0" y="0"/>
                      <a:ext cx="3295015" cy="3246755"/>
                    </a:xfrm>
                    <a:prstGeom prst="rect">
                      <a:avLst/>
                    </a:prstGeom>
                    <a:noFill/>
                    <a:ln>
                      <a:noFill/>
                    </a:ln>
                  </pic:spPr>
                </pic:pic>
              </a:graphicData>
            </a:graphic>
          </wp:inline>
        </w:drawing>
      </w:r>
    </w:p>
    <w:p>
      <w:pPr>
        <w:pStyle w:val="329"/>
        <w:ind w:firstLine="422"/>
        <w:jc w:val="center"/>
        <w:rPr>
          <w:rFonts w:hint="eastAsia"/>
          <w:color w:val="auto"/>
        </w:rPr>
      </w:pPr>
      <w:r>
        <w:rPr>
          <w:rFonts w:eastAsia="宋体"/>
          <w:b/>
          <w:color w:val="auto"/>
          <w:sz w:val="21"/>
        </w:rPr>
        <w:t>图4.1-1 区域水文地质图</w:t>
      </w:r>
    </w:p>
    <w:p>
      <w:pPr>
        <w:pStyle w:val="8"/>
        <w:tabs>
          <w:tab w:val="clear" w:pos="0"/>
        </w:tabs>
        <w:spacing w:before="120"/>
        <w:rPr>
          <w:rFonts w:eastAsia="黑体"/>
          <w:color w:val="auto"/>
          <w:sz w:val="28"/>
          <w:szCs w:val="28"/>
        </w:rPr>
      </w:pPr>
      <w:r>
        <w:rPr>
          <w:rFonts w:hint="default" w:eastAsia="宋体" w:cs="Times New Roman"/>
          <w:color w:val="auto"/>
          <w:lang w:val="en-US" w:eastAsia="zh-CN"/>
        </w:rPr>
        <w:t>植被、土壤、生物多样性</w:t>
      </w:r>
    </w:p>
    <w:p>
      <w:pPr>
        <w:pStyle w:val="329"/>
        <w:spacing w:line="440" w:lineRule="exact"/>
        <w:rPr>
          <w:rFonts w:eastAsia="宋体"/>
          <w:color w:val="auto"/>
        </w:rPr>
      </w:pPr>
      <w:r>
        <w:rPr>
          <w:rFonts w:eastAsia="宋体"/>
          <w:color w:val="auto"/>
        </w:rPr>
        <w:t xml:space="preserve">绵阳生物多样性丰富，自然植被主要林相为马尾松木林，以及次生灌丛和草丛。乔木以马尾松、柏树、青冈为主，灌木以麻栎、栓皮栎、马桑、黄荆为主要代表，主要经济林木是油桐、乌柏、桑、柑橘等。市境共有林业用地1562.2万亩。森林面积941.08万亩，森林覆盖率为36%，现有林地73万多公顷。林木总面积量 8136万立方米。全市有维管束植物 4500余种，其中主要植物有 2471 种，列人全国植物保护的有珙桐、连香、杜仲、四川红杉、水杉、木青等 39 种。有药用植物 2156 种，其中常用药材 457 种。桔硬、麦冬、附子、枣皮、杜仲、天麻、黄连、党参、银杏、贝母、虫草等数十种优质药材著称中外。木耳等大型真菌和地衣植物、蕨类植物资源丰富。产业园自然植被受人为经济活动影响基本不复存在，取而代之的是农田植被、四旁植被和缓丘植被。区域的植被覆盖率一般，有轻度或微度的水土流失。 </w:t>
      </w:r>
    </w:p>
    <w:p>
      <w:pPr>
        <w:pStyle w:val="329"/>
        <w:spacing w:line="440" w:lineRule="exact"/>
        <w:rPr>
          <w:rFonts w:eastAsia="宋体"/>
          <w:color w:val="auto"/>
        </w:rPr>
      </w:pPr>
      <w:r>
        <w:rPr>
          <w:rFonts w:eastAsia="宋体"/>
          <w:color w:val="auto"/>
        </w:rPr>
        <w:t xml:space="preserve">绵阳区是代表动物以鼬科和鼠类为主，鸟类以白鹭、斑鸠、家燕、喜鹊、麻雀最为常见。动物资源中，除家养动物57个品种外，有野生动物330种。其中属全省重点保护的珍稀动物42种．列入全国重点保护的珍稀动物26种，包括大熊猫、金丝猴、云豹、牛羚、黑颈鹤、小熊猫等。 </w:t>
      </w:r>
    </w:p>
    <w:p>
      <w:pPr>
        <w:pStyle w:val="329"/>
        <w:spacing w:line="440" w:lineRule="exact"/>
        <w:rPr>
          <w:rFonts w:eastAsia="宋体"/>
          <w:color w:val="auto"/>
        </w:rPr>
      </w:pPr>
      <w:r>
        <w:rPr>
          <w:rFonts w:eastAsia="宋体"/>
          <w:color w:val="auto"/>
        </w:rPr>
        <w:t>游仙区森林植被分区位于四川省亚热带常绿阔叶林区，川东盆地及西南山地常绿阔叶林地带，川东盆地偏湿性常绿阔叶林亚带、盆地底部丘陵低14山植被地区、盆地深丘植被小区。主要植被群落为亚热带常绿针叶林、以柏木、马尾松构成群落的优势树种。还有阔叶树种、桤木、栎类、桉树、梧桐、槐等，珍贵树种有杏樟、银杏、红豆树等。灌木以马桑、黄荆为主。草本植物主要有茅草、蓑草，巴茅等。全区有乔木树种 57科、109属、187种。全区活立木蓄积量50万m</w:t>
      </w:r>
      <w:r>
        <w:rPr>
          <w:rFonts w:eastAsia="宋体"/>
          <w:color w:val="auto"/>
          <w:vertAlign w:val="superscript"/>
        </w:rPr>
        <w:t>3</w:t>
      </w:r>
      <w:r>
        <w:rPr>
          <w:rFonts w:eastAsia="宋体"/>
          <w:color w:val="auto"/>
        </w:rPr>
        <w:t>，其中用材林36.15万m</w:t>
      </w:r>
      <w:r>
        <w:rPr>
          <w:rFonts w:eastAsia="宋体"/>
          <w:color w:val="auto"/>
          <w:vertAlign w:val="superscript"/>
        </w:rPr>
        <w:t>3</w:t>
      </w:r>
      <w:r>
        <w:rPr>
          <w:rFonts w:eastAsia="宋体"/>
          <w:color w:val="auto"/>
        </w:rPr>
        <w:t xml:space="preserve">，占总蓄积量的72.3%，其余为防护林、薪碳林、特用林。全区森林覆盖率为31.9%，林业用地占全区土地总面积的36%。绿色覆盖率为32.4%。 </w:t>
      </w:r>
    </w:p>
    <w:p>
      <w:pPr>
        <w:pStyle w:val="329"/>
        <w:spacing w:line="440" w:lineRule="exact"/>
        <w:rPr>
          <w:rFonts w:eastAsia="宋体"/>
          <w:color w:val="auto"/>
        </w:rPr>
      </w:pPr>
      <w:r>
        <w:rPr>
          <w:rFonts w:eastAsia="宋体"/>
          <w:color w:val="auto"/>
        </w:rPr>
        <w:t xml:space="preserve">游仙区90%的土地面积的母质属白垩系城墙岩群剑阁组紫色砂质页岩母质。岩层  由黄色砂岩与紫色泥岩相间组成，多呈水平状。因此丘陵地区从坡脚到坡顶的土地多是梯地。该类母质形成的土壤为紫色土壤类型，富含钙质，土壤中呈中性至微碱性，砂岩裸露  多的地方质地较轻，黄砂岩裸露的地方土壤呈微酸性。 </w:t>
      </w:r>
    </w:p>
    <w:p>
      <w:pPr>
        <w:pStyle w:val="329"/>
        <w:spacing w:line="440" w:lineRule="exact"/>
        <w:rPr>
          <w:rFonts w:eastAsia="宋体"/>
          <w:color w:val="auto"/>
        </w:rPr>
      </w:pPr>
      <w:r>
        <w:rPr>
          <w:rFonts w:eastAsia="宋体"/>
          <w:color w:val="auto"/>
        </w:rPr>
        <w:t xml:space="preserve">粮食作物以水稻、玉米、小麦、红苕为主；油料作物以油菜、花生为主；经济作物以棉花、红麻、蚕桑、药材、蔬菜为主。此外还有豌豆、胡豆、大麦、马铃薯、大豆、绿豆、高粱、甘蔗、烟草、麦冬、桔梗、海椒、生姜、洋芋等生物。 </w:t>
      </w:r>
    </w:p>
    <w:p>
      <w:pPr>
        <w:pStyle w:val="329"/>
        <w:spacing w:line="440" w:lineRule="exact"/>
        <w:rPr>
          <w:rFonts w:eastAsia="宋体"/>
          <w:color w:val="auto"/>
        </w:rPr>
      </w:pPr>
      <w:r>
        <w:rPr>
          <w:rFonts w:eastAsia="宋体"/>
          <w:color w:val="auto"/>
        </w:rPr>
        <w:t>根据现场踏勘，项目区域受人类活动影响，无珍稀野生动、植物。</w:t>
      </w:r>
    </w:p>
    <w:p>
      <w:pPr>
        <w:pStyle w:val="7"/>
        <w:rPr>
          <w:rFonts w:eastAsia="黑体"/>
          <w:color w:val="auto"/>
          <w:sz w:val="32"/>
        </w:rPr>
      </w:pPr>
      <w:bookmarkStart w:id="143" w:name="_Toc375489743"/>
      <w:bookmarkEnd w:id="143"/>
      <w:bookmarkStart w:id="144" w:name="_Toc458494398"/>
      <w:bookmarkEnd w:id="144"/>
      <w:bookmarkStart w:id="145" w:name="_Toc488737987"/>
      <w:bookmarkEnd w:id="145"/>
      <w:bookmarkStart w:id="146" w:name="_Toc488737992"/>
      <w:bookmarkEnd w:id="146"/>
      <w:bookmarkStart w:id="147" w:name="_Toc1098"/>
      <w:r>
        <w:rPr>
          <w:rFonts w:eastAsia="黑体"/>
          <w:color w:val="auto"/>
          <w:sz w:val="32"/>
        </w:rPr>
        <w:t>环境质量现状监测与评价</w:t>
      </w:r>
      <w:bookmarkEnd w:id="147"/>
    </w:p>
    <w:p>
      <w:pPr>
        <w:pStyle w:val="8"/>
        <w:tabs>
          <w:tab w:val="clear" w:pos="0"/>
        </w:tabs>
        <w:rPr>
          <w:rFonts w:eastAsia="黑体"/>
          <w:color w:val="auto"/>
          <w:sz w:val="28"/>
          <w:szCs w:val="28"/>
        </w:rPr>
      </w:pPr>
      <w:bookmarkStart w:id="148" w:name="_Toc458494400"/>
      <w:bookmarkEnd w:id="148"/>
      <w:bookmarkStart w:id="149" w:name="_Toc23007"/>
      <w:bookmarkEnd w:id="149"/>
      <w:bookmarkStart w:id="150" w:name="_Toc404807752"/>
      <w:bookmarkEnd w:id="150"/>
      <w:bookmarkStart w:id="151" w:name="_Toc404592737"/>
      <w:bookmarkEnd w:id="151"/>
      <w:bookmarkStart w:id="152" w:name="_Toc26151"/>
      <w:bookmarkEnd w:id="152"/>
      <w:bookmarkStart w:id="153" w:name="_Toc399428149"/>
      <w:bookmarkEnd w:id="153"/>
      <w:bookmarkStart w:id="154" w:name="_Toc404347206"/>
      <w:bookmarkEnd w:id="154"/>
      <w:bookmarkStart w:id="155" w:name="_Toc24278"/>
      <w:bookmarkEnd w:id="155"/>
      <w:bookmarkStart w:id="156" w:name="_Toc383683162"/>
      <w:bookmarkEnd w:id="156"/>
      <w:bookmarkStart w:id="157" w:name="_Toc404692124"/>
      <w:r>
        <w:rPr>
          <w:rFonts w:eastAsia="黑体"/>
          <w:color w:val="auto"/>
          <w:sz w:val="28"/>
          <w:szCs w:val="28"/>
        </w:rPr>
        <w:t>环境空气质量现状监测及评价</w:t>
      </w:r>
      <w:bookmarkEnd w:id="157"/>
    </w:p>
    <w:p>
      <w:pPr>
        <w:pStyle w:val="9"/>
        <w:spacing w:before="120" w:beforeLines="50"/>
        <w:rPr>
          <w:color w:val="auto"/>
        </w:rPr>
      </w:pPr>
      <w:bookmarkStart w:id="158" w:name="_Toc383683163"/>
      <w:bookmarkEnd w:id="158"/>
      <w:r>
        <w:rPr>
          <w:rFonts w:hint="eastAsia"/>
          <w:color w:val="auto"/>
        </w:rPr>
        <w:t>项目</w:t>
      </w:r>
      <w:r>
        <w:rPr>
          <w:color w:val="auto"/>
        </w:rPr>
        <w:t>所在区域达标判定</w:t>
      </w:r>
    </w:p>
    <w:p>
      <w:pPr>
        <w:ind w:firstLine="482"/>
        <w:rPr>
          <w:b/>
          <w:color w:val="auto"/>
        </w:rPr>
      </w:pPr>
      <w:r>
        <w:rPr>
          <w:b/>
          <w:color w:val="auto"/>
        </w:rPr>
        <w:t>1、项目所在区域达标判定</w:t>
      </w:r>
    </w:p>
    <w:p>
      <w:pPr>
        <w:ind w:firstLine="480"/>
        <w:rPr>
          <w:color w:val="auto"/>
        </w:rPr>
      </w:pPr>
      <w:r>
        <w:rPr>
          <w:rFonts w:hint="eastAsia"/>
          <w:color w:val="auto"/>
        </w:rPr>
        <w:t>根据《环境影响评价技术导则 大气环境》（HJ2.2-2018），项目所在区域达标情况判定优先采用国家或地方生态环境主管部门公布发布的环境质量公告或环境质量报告中的数据或结论。</w:t>
      </w:r>
    </w:p>
    <w:p>
      <w:pPr>
        <w:ind w:firstLine="480"/>
        <w:rPr>
          <w:color w:val="auto"/>
        </w:rPr>
      </w:pPr>
      <w:r>
        <w:rPr>
          <w:rFonts w:hint="eastAsia"/>
          <w:color w:val="auto"/>
        </w:rPr>
        <w:t>本项目评价基准年选取20</w:t>
      </w:r>
      <w:r>
        <w:rPr>
          <w:rFonts w:hint="eastAsia"/>
          <w:color w:val="auto"/>
          <w:lang w:val="en-US" w:eastAsia="zh-CN"/>
        </w:rPr>
        <w:t>20</w:t>
      </w:r>
      <w:r>
        <w:rPr>
          <w:rFonts w:hint="eastAsia"/>
          <w:color w:val="auto"/>
        </w:rPr>
        <w:t>年，选取绵阳市生态环境局发布的《20</w:t>
      </w:r>
      <w:r>
        <w:rPr>
          <w:rFonts w:hint="eastAsia"/>
          <w:color w:val="auto"/>
          <w:lang w:val="en-US" w:eastAsia="zh-CN"/>
        </w:rPr>
        <w:t>20</w:t>
      </w:r>
      <w:r>
        <w:rPr>
          <w:rFonts w:hint="eastAsia"/>
          <w:color w:val="auto"/>
        </w:rPr>
        <w:t>年绵阳市环境质量状况</w:t>
      </w:r>
      <w:r>
        <w:rPr>
          <w:rFonts w:hint="eastAsia"/>
          <w:color w:val="auto"/>
          <w:lang w:val="en-US" w:eastAsia="zh-CN"/>
        </w:rPr>
        <w:t>年报</w:t>
      </w:r>
      <w:r>
        <w:rPr>
          <w:rFonts w:hint="eastAsia"/>
          <w:color w:val="auto"/>
        </w:rPr>
        <w:t>》中梓潼县大气环境质量监测数据进行区域达标判断，全年监测数据表明，项目所在区域大气环境质量达标。</w:t>
      </w:r>
    </w:p>
    <w:p>
      <w:pPr>
        <w:ind w:firstLine="480"/>
        <w:rPr>
          <w:rFonts w:eastAsia="黑体"/>
          <w:color w:val="auto"/>
        </w:rPr>
      </w:pPr>
      <w:r>
        <w:rPr>
          <w:rFonts w:hint="eastAsia"/>
          <w:color w:val="auto"/>
        </w:rPr>
        <w:t>2、</w:t>
      </w:r>
      <w:r>
        <w:rPr>
          <w:rFonts w:eastAsia="黑体"/>
          <w:color w:val="auto"/>
        </w:rPr>
        <w:t>基本污染物环境质量现状评价</w:t>
      </w:r>
    </w:p>
    <w:p>
      <w:pPr>
        <w:ind w:firstLine="480"/>
        <w:rPr>
          <w:color w:val="auto"/>
        </w:rPr>
      </w:pPr>
      <w:r>
        <w:rPr>
          <w:color w:val="auto"/>
        </w:rPr>
        <w:t>项目所在区域有</w:t>
      </w:r>
      <w:r>
        <w:rPr>
          <w:rFonts w:hint="eastAsia"/>
          <w:color w:val="auto"/>
        </w:rPr>
        <w:t>绵阳市</w:t>
      </w:r>
      <w:r>
        <w:rPr>
          <w:color w:val="auto"/>
        </w:rPr>
        <w:t>环保局发布的20</w:t>
      </w:r>
      <w:r>
        <w:rPr>
          <w:rFonts w:hint="eastAsia"/>
          <w:color w:val="auto"/>
          <w:lang w:val="en-US" w:eastAsia="zh-CN"/>
        </w:rPr>
        <w:t>20</w:t>
      </w:r>
      <w:r>
        <w:rPr>
          <w:color w:val="auto"/>
        </w:rPr>
        <w:t>年</w:t>
      </w:r>
      <w:r>
        <w:rPr>
          <w:rFonts w:hint="eastAsia"/>
          <w:color w:val="auto"/>
        </w:rPr>
        <w:t>绵阳市</w:t>
      </w:r>
      <w:r>
        <w:rPr>
          <w:rFonts w:hint="eastAsia"/>
          <w:color w:val="auto"/>
          <w:lang w:val="en-US" w:eastAsia="zh-CN"/>
        </w:rPr>
        <w:t>游仙区</w:t>
      </w:r>
      <w:r>
        <w:rPr>
          <w:color w:val="auto"/>
        </w:rPr>
        <w:t>环境空气质量现状数据。评价结果表明：SO</w:t>
      </w:r>
      <w:r>
        <w:rPr>
          <w:color w:val="auto"/>
          <w:vertAlign w:val="subscript"/>
        </w:rPr>
        <w:t>2</w:t>
      </w:r>
      <w:r>
        <w:rPr>
          <w:color w:val="auto"/>
        </w:rPr>
        <w:t>、NO</w:t>
      </w:r>
      <w:r>
        <w:rPr>
          <w:color w:val="auto"/>
          <w:vertAlign w:val="subscript"/>
        </w:rPr>
        <w:t>2</w:t>
      </w:r>
      <w:r>
        <w:rPr>
          <w:rFonts w:hint="eastAsia"/>
          <w:color w:val="auto"/>
        </w:rPr>
        <w:t>、</w:t>
      </w:r>
      <w:r>
        <w:rPr>
          <w:color w:val="auto"/>
        </w:rPr>
        <w:t>PM</w:t>
      </w:r>
      <w:r>
        <w:rPr>
          <w:color w:val="auto"/>
          <w:vertAlign w:val="subscript"/>
        </w:rPr>
        <w:t>10</w:t>
      </w:r>
      <w:r>
        <w:rPr>
          <w:rFonts w:hint="eastAsia"/>
          <w:color w:val="auto"/>
        </w:rPr>
        <w:t>、</w:t>
      </w:r>
      <w:r>
        <w:rPr>
          <w:color w:val="auto"/>
        </w:rPr>
        <w:t>PM</w:t>
      </w:r>
      <w:r>
        <w:rPr>
          <w:color w:val="auto"/>
          <w:vertAlign w:val="subscript"/>
        </w:rPr>
        <w:t>2.5</w:t>
      </w:r>
      <w:r>
        <w:rPr>
          <w:color w:val="auto"/>
        </w:rPr>
        <w:t>年平均浓度、CO</w:t>
      </w:r>
      <w:r>
        <w:rPr>
          <w:rFonts w:hint="eastAsia"/>
          <w:color w:val="auto"/>
        </w:rPr>
        <w:t>、</w:t>
      </w:r>
      <w:r>
        <w:rPr>
          <w:color w:val="auto"/>
        </w:rPr>
        <w:t>O</w:t>
      </w:r>
      <w:r>
        <w:rPr>
          <w:color w:val="auto"/>
          <w:vertAlign w:val="subscript"/>
        </w:rPr>
        <w:t>3</w:t>
      </w:r>
      <w:r>
        <w:rPr>
          <w:color w:val="auto"/>
        </w:rPr>
        <w:t>百分位浓度可以满足《环境空气质量标准》（GB3095-2012）的二级标准浓度限值要求。</w:t>
      </w:r>
    </w:p>
    <w:p>
      <w:pPr>
        <w:ind w:firstLine="480"/>
        <w:rPr>
          <w:color w:val="auto"/>
        </w:rPr>
      </w:pPr>
      <w:r>
        <w:rPr>
          <w:color w:val="auto"/>
        </w:rPr>
        <w:t>全年监测数据表明，项目所在区域属于达标区。</w:t>
      </w:r>
    </w:p>
    <w:p>
      <w:pPr>
        <w:ind w:firstLine="0" w:firstLineChars="0"/>
        <w:jc w:val="center"/>
        <w:rPr>
          <w:b/>
          <w:color w:val="auto"/>
          <w:sz w:val="21"/>
          <w:szCs w:val="21"/>
        </w:rPr>
      </w:pPr>
      <w:r>
        <w:rPr>
          <w:b/>
          <w:color w:val="auto"/>
          <w:sz w:val="21"/>
          <w:szCs w:val="21"/>
        </w:rPr>
        <w:t>表4.2-1</w:t>
      </w:r>
      <w:r>
        <w:rPr>
          <w:rFonts w:hint="eastAsia"/>
          <w:b/>
          <w:color w:val="auto"/>
          <w:sz w:val="21"/>
          <w:szCs w:val="21"/>
          <w:lang w:val="en-US" w:eastAsia="zh-CN"/>
        </w:rPr>
        <w:t xml:space="preserve"> </w:t>
      </w:r>
      <w:r>
        <w:rPr>
          <w:b/>
          <w:color w:val="auto"/>
          <w:sz w:val="21"/>
          <w:szCs w:val="21"/>
        </w:rPr>
        <w:t>基本污染物环境质量现状</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948"/>
        <w:gridCol w:w="3311"/>
        <w:gridCol w:w="1564"/>
        <w:gridCol w:w="1360"/>
        <w:gridCol w:w="9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6" w:type="dxa"/>
            <w:noWrap w:val="0"/>
            <w:vAlign w:val="center"/>
          </w:tcPr>
          <w:p>
            <w:pPr>
              <w:adjustRightInd w:val="0"/>
              <w:snapToGrid w:val="0"/>
              <w:spacing w:line="240" w:lineRule="auto"/>
              <w:ind w:firstLine="0" w:firstLineChars="0"/>
              <w:jc w:val="center"/>
              <w:rPr>
                <w:b/>
                <w:color w:val="auto"/>
                <w:sz w:val="21"/>
                <w:szCs w:val="21"/>
              </w:rPr>
            </w:pPr>
            <w:r>
              <w:rPr>
                <w:b/>
                <w:color w:val="auto"/>
                <w:sz w:val="21"/>
                <w:szCs w:val="21"/>
              </w:rPr>
              <w:t>位置</w:t>
            </w:r>
          </w:p>
        </w:tc>
        <w:tc>
          <w:tcPr>
            <w:tcW w:w="948" w:type="dxa"/>
            <w:noWrap w:val="0"/>
            <w:vAlign w:val="center"/>
          </w:tcPr>
          <w:p>
            <w:pPr>
              <w:adjustRightInd w:val="0"/>
              <w:snapToGrid w:val="0"/>
              <w:spacing w:line="240" w:lineRule="auto"/>
              <w:ind w:firstLine="0" w:firstLineChars="0"/>
              <w:jc w:val="center"/>
              <w:rPr>
                <w:b/>
                <w:color w:val="auto"/>
                <w:sz w:val="21"/>
                <w:szCs w:val="21"/>
              </w:rPr>
            </w:pPr>
            <w:r>
              <w:rPr>
                <w:b/>
                <w:color w:val="auto"/>
                <w:sz w:val="21"/>
                <w:szCs w:val="21"/>
              </w:rPr>
              <w:t>污染物</w:t>
            </w:r>
          </w:p>
        </w:tc>
        <w:tc>
          <w:tcPr>
            <w:tcW w:w="3311" w:type="dxa"/>
            <w:noWrap w:val="0"/>
            <w:vAlign w:val="center"/>
          </w:tcPr>
          <w:p>
            <w:pPr>
              <w:adjustRightInd w:val="0"/>
              <w:snapToGrid w:val="0"/>
              <w:spacing w:line="240" w:lineRule="auto"/>
              <w:ind w:firstLine="0" w:firstLineChars="0"/>
              <w:jc w:val="center"/>
              <w:rPr>
                <w:b/>
                <w:color w:val="auto"/>
                <w:sz w:val="21"/>
                <w:szCs w:val="21"/>
              </w:rPr>
            </w:pPr>
            <w:r>
              <w:rPr>
                <w:b/>
                <w:color w:val="auto"/>
                <w:sz w:val="21"/>
                <w:szCs w:val="21"/>
              </w:rPr>
              <w:t>评价指标</w:t>
            </w:r>
          </w:p>
        </w:tc>
        <w:tc>
          <w:tcPr>
            <w:tcW w:w="1564" w:type="dxa"/>
            <w:noWrap w:val="0"/>
            <w:vAlign w:val="center"/>
          </w:tcPr>
          <w:p>
            <w:pPr>
              <w:autoSpaceDE w:val="0"/>
              <w:autoSpaceDN w:val="0"/>
              <w:adjustRightInd w:val="0"/>
              <w:snapToGrid w:val="0"/>
              <w:spacing w:line="240" w:lineRule="auto"/>
              <w:ind w:firstLine="0" w:firstLineChars="0"/>
              <w:jc w:val="center"/>
              <w:rPr>
                <w:b/>
                <w:color w:val="auto"/>
                <w:sz w:val="21"/>
                <w:szCs w:val="21"/>
              </w:rPr>
            </w:pPr>
            <w:r>
              <w:rPr>
                <w:b/>
                <w:color w:val="auto"/>
                <w:sz w:val="21"/>
                <w:szCs w:val="21"/>
              </w:rPr>
              <w:t>现状浓度</w:t>
            </w:r>
          </w:p>
          <w:p>
            <w:pPr>
              <w:adjustRightInd w:val="0"/>
              <w:snapToGrid w:val="0"/>
              <w:spacing w:line="240" w:lineRule="auto"/>
              <w:ind w:firstLine="0" w:firstLineChars="0"/>
              <w:jc w:val="center"/>
              <w:rPr>
                <w:b/>
                <w:color w:val="auto"/>
                <w:sz w:val="21"/>
                <w:szCs w:val="21"/>
              </w:rPr>
            </w:pPr>
            <w:r>
              <w:rPr>
                <w:b/>
                <w:color w:val="auto"/>
                <w:sz w:val="21"/>
                <w:szCs w:val="21"/>
              </w:rPr>
              <w:t>（mg/m</w:t>
            </w:r>
            <w:r>
              <w:rPr>
                <w:b/>
                <w:color w:val="auto"/>
                <w:sz w:val="21"/>
                <w:szCs w:val="21"/>
                <w:vertAlign w:val="superscript"/>
              </w:rPr>
              <w:t>3</w:t>
            </w:r>
            <w:r>
              <w:rPr>
                <w:b/>
                <w:color w:val="auto"/>
                <w:sz w:val="21"/>
                <w:szCs w:val="21"/>
              </w:rPr>
              <w:t>）</w:t>
            </w:r>
          </w:p>
        </w:tc>
        <w:tc>
          <w:tcPr>
            <w:tcW w:w="1360" w:type="dxa"/>
            <w:noWrap w:val="0"/>
            <w:vAlign w:val="center"/>
          </w:tcPr>
          <w:p>
            <w:pPr>
              <w:autoSpaceDE w:val="0"/>
              <w:autoSpaceDN w:val="0"/>
              <w:adjustRightInd w:val="0"/>
              <w:snapToGrid w:val="0"/>
              <w:spacing w:line="240" w:lineRule="auto"/>
              <w:ind w:firstLine="0" w:firstLineChars="0"/>
              <w:jc w:val="center"/>
              <w:rPr>
                <w:b/>
                <w:color w:val="auto"/>
                <w:sz w:val="21"/>
                <w:szCs w:val="21"/>
              </w:rPr>
            </w:pPr>
            <w:r>
              <w:rPr>
                <w:b/>
                <w:color w:val="auto"/>
                <w:sz w:val="21"/>
                <w:szCs w:val="21"/>
              </w:rPr>
              <w:t>标准值</w:t>
            </w:r>
          </w:p>
          <w:p>
            <w:pPr>
              <w:adjustRightInd w:val="0"/>
              <w:snapToGrid w:val="0"/>
              <w:spacing w:line="240" w:lineRule="auto"/>
              <w:ind w:firstLine="0" w:firstLineChars="0"/>
              <w:jc w:val="center"/>
              <w:rPr>
                <w:b/>
                <w:color w:val="auto"/>
                <w:sz w:val="21"/>
                <w:szCs w:val="21"/>
              </w:rPr>
            </w:pPr>
            <w:r>
              <w:rPr>
                <w:b/>
                <w:color w:val="auto"/>
                <w:sz w:val="21"/>
                <w:szCs w:val="21"/>
              </w:rPr>
              <w:t>（mg/m</w:t>
            </w:r>
            <w:r>
              <w:rPr>
                <w:b/>
                <w:color w:val="auto"/>
                <w:sz w:val="21"/>
                <w:szCs w:val="21"/>
                <w:vertAlign w:val="superscript"/>
              </w:rPr>
              <w:t>3</w:t>
            </w:r>
            <w:r>
              <w:rPr>
                <w:b/>
                <w:color w:val="auto"/>
                <w:sz w:val="21"/>
                <w:szCs w:val="21"/>
              </w:rPr>
              <w:t>）</w:t>
            </w:r>
          </w:p>
        </w:tc>
        <w:tc>
          <w:tcPr>
            <w:tcW w:w="964" w:type="dxa"/>
            <w:noWrap w:val="0"/>
            <w:vAlign w:val="center"/>
          </w:tcPr>
          <w:p>
            <w:pPr>
              <w:adjustRightInd w:val="0"/>
              <w:snapToGrid w:val="0"/>
              <w:spacing w:line="240" w:lineRule="auto"/>
              <w:ind w:firstLine="0" w:firstLineChars="0"/>
              <w:jc w:val="center"/>
              <w:rPr>
                <w:b/>
                <w:color w:val="auto"/>
                <w:sz w:val="21"/>
                <w:szCs w:val="21"/>
              </w:rPr>
            </w:pPr>
            <w:r>
              <w:rPr>
                <w:b/>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restart"/>
            <w:noWrap w:val="0"/>
            <w:vAlign w:val="center"/>
          </w:tcPr>
          <w:p>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游仙区</w:t>
            </w: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SO</w:t>
            </w:r>
            <w:r>
              <w:rPr>
                <w:color w:val="auto"/>
                <w:sz w:val="21"/>
                <w:szCs w:val="21"/>
                <w:vertAlign w:val="subscript"/>
              </w:rPr>
              <w:t>2</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年平均浓度</w:t>
            </w:r>
          </w:p>
        </w:tc>
        <w:tc>
          <w:tcPr>
            <w:tcW w:w="1564" w:type="dxa"/>
            <w:noWrap w:val="0"/>
            <w:vAlign w:val="center"/>
          </w:tcPr>
          <w:p>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rPr>
              <w:t>0</w:t>
            </w:r>
            <w:r>
              <w:rPr>
                <w:color w:val="auto"/>
                <w:sz w:val="21"/>
                <w:szCs w:val="21"/>
              </w:rPr>
              <w:t>.004</w:t>
            </w:r>
            <w:r>
              <w:rPr>
                <w:rFonts w:hint="eastAsia"/>
                <w:color w:val="auto"/>
                <w:sz w:val="21"/>
                <w:szCs w:val="21"/>
                <w:lang w:val="en-US" w:eastAsia="zh-CN"/>
              </w:rPr>
              <w:t>3</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0.06</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continue"/>
            <w:noWrap w:val="0"/>
            <w:vAlign w:val="center"/>
          </w:tcPr>
          <w:p>
            <w:pPr>
              <w:adjustRightInd w:val="0"/>
              <w:snapToGrid w:val="0"/>
              <w:spacing w:line="240" w:lineRule="auto"/>
              <w:ind w:firstLine="0" w:firstLineChars="0"/>
              <w:jc w:val="center"/>
              <w:rPr>
                <w:color w:val="auto"/>
                <w:sz w:val="21"/>
                <w:szCs w:val="21"/>
              </w:rPr>
            </w:pP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NO</w:t>
            </w:r>
            <w:r>
              <w:rPr>
                <w:color w:val="auto"/>
                <w:sz w:val="21"/>
                <w:szCs w:val="21"/>
                <w:vertAlign w:val="subscript"/>
              </w:rPr>
              <w:t>2</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年平均浓度</w:t>
            </w:r>
          </w:p>
        </w:tc>
        <w:tc>
          <w:tcPr>
            <w:tcW w:w="1564" w:type="dxa"/>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rPr>
              <w:t>0</w:t>
            </w:r>
            <w:r>
              <w:rPr>
                <w:color w:val="auto"/>
                <w:sz w:val="21"/>
                <w:szCs w:val="21"/>
              </w:rPr>
              <w:t>.01</w:t>
            </w:r>
            <w:r>
              <w:rPr>
                <w:rFonts w:hint="eastAsia"/>
                <w:color w:val="auto"/>
                <w:sz w:val="21"/>
                <w:szCs w:val="21"/>
                <w:lang w:val="en-US" w:eastAsia="zh-CN"/>
              </w:rPr>
              <w:t>74</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0.04</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continue"/>
            <w:noWrap w:val="0"/>
            <w:vAlign w:val="center"/>
          </w:tcPr>
          <w:p>
            <w:pPr>
              <w:adjustRightInd w:val="0"/>
              <w:snapToGrid w:val="0"/>
              <w:spacing w:line="240" w:lineRule="auto"/>
              <w:ind w:firstLine="0" w:firstLineChars="0"/>
              <w:jc w:val="center"/>
              <w:rPr>
                <w:color w:val="auto"/>
                <w:sz w:val="21"/>
                <w:szCs w:val="21"/>
              </w:rPr>
            </w:pP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PM</w:t>
            </w:r>
            <w:r>
              <w:rPr>
                <w:color w:val="auto"/>
                <w:sz w:val="21"/>
                <w:szCs w:val="21"/>
                <w:vertAlign w:val="subscript"/>
              </w:rPr>
              <w:t>10</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年平均浓度</w:t>
            </w:r>
          </w:p>
        </w:tc>
        <w:tc>
          <w:tcPr>
            <w:tcW w:w="1564" w:type="dxa"/>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rPr>
              <w:t>0</w:t>
            </w:r>
            <w:r>
              <w:rPr>
                <w:color w:val="auto"/>
                <w:sz w:val="21"/>
                <w:szCs w:val="21"/>
              </w:rPr>
              <w:t>.04</w:t>
            </w:r>
            <w:r>
              <w:rPr>
                <w:rFonts w:hint="eastAsia"/>
                <w:color w:val="auto"/>
                <w:sz w:val="21"/>
                <w:szCs w:val="21"/>
                <w:lang w:val="en-US" w:eastAsia="zh-CN"/>
              </w:rPr>
              <w:t>21</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0.07</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continue"/>
            <w:noWrap w:val="0"/>
            <w:vAlign w:val="center"/>
          </w:tcPr>
          <w:p>
            <w:pPr>
              <w:adjustRightInd w:val="0"/>
              <w:snapToGrid w:val="0"/>
              <w:spacing w:line="240" w:lineRule="auto"/>
              <w:ind w:firstLine="0" w:firstLineChars="0"/>
              <w:jc w:val="center"/>
              <w:rPr>
                <w:color w:val="auto"/>
                <w:sz w:val="21"/>
                <w:szCs w:val="21"/>
              </w:rPr>
            </w:pP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PM</w:t>
            </w:r>
            <w:r>
              <w:rPr>
                <w:color w:val="auto"/>
                <w:sz w:val="21"/>
                <w:szCs w:val="21"/>
                <w:vertAlign w:val="subscript"/>
              </w:rPr>
              <w:t>2.5</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年平均浓度</w:t>
            </w:r>
          </w:p>
        </w:tc>
        <w:tc>
          <w:tcPr>
            <w:tcW w:w="1564" w:type="dxa"/>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rPr>
              <w:t>0</w:t>
            </w:r>
            <w:r>
              <w:rPr>
                <w:color w:val="auto"/>
                <w:sz w:val="21"/>
                <w:szCs w:val="21"/>
              </w:rPr>
              <w:t>.02</w:t>
            </w:r>
            <w:r>
              <w:rPr>
                <w:rFonts w:hint="eastAsia"/>
                <w:color w:val="auto"/>
                <w:sz w:val="21"/>
                <w:szCs w:val="21"/>
                <w:lang w:val="en-US" w:eastAsia="zh-CN"/>
              </w:rPr>
              <w:t>69</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0.035</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continue"/>
            <w:noWrap w:val="0"/>
            <w:vAlign w:val="center"/>
          </w:tcPr>
          <w:p>
            <w:pPr>
              <w:adjustRightInd w:val="0"/>
              <w:snapToGrid w:val="0"/>
              <w:spacing w:line="240" w:lineRule="auto"/>
              <w:ind w:firstLine="0" w:firstLineChars="0"/>
              <w:jc w:val="center"/>
              <w:rPr>
                <w:color w:val="auto"/>
                <w:sz w:val="21"/>
                <w:szCs w:val="21"/>
              </w:rPr>
            </w:pP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CO</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24小时平均第95百分位数</w:t>
            </w:r>
          </w:p>
        </w:tc>
        <w:tc>
          <w:tcPr>
            <w:tcW w:w="1564" w:type="dxa"/>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4</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dxa"/>
            <w:vMerge w:val="continue"/>
            <w:noWrap w:val="0"/>
            <w:vAlign w:val="center"/>
          </w:tcPr>
          <w:p>
            <w:pPr>
              <w:adjustRightInd w:val="0"/>
              <w:snapToGrid w:val="0"/>
              <w:spacing w:line="240" w:lineRule="auto"/>
              <w:ind w:firstLine="0" w:firstLineChars="0"/>
              <w:jc w:val="center"/>
              <w:rPr>
                <w:color w:val="auto"/>
                <w:sz w:val="21"/>
                <w:szCs w:val="21"/>
              </w:rPr>
            </w:pPr>
          </w:p>
        </w:tc>
        <w:tc>
          <w:tcPr>
            <w:tcW w:w="948"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O</w:t>
            </w:r>
            <w:r>
              <w:rPr>
                <w:color w:val="auto"/>
                <w:sz w:val="21"/>
                <w:szCs w:val="21"/>
                <w:vertAlign w:val="subscript"/>
              </w:rPr>
              <w:t>3</w:t>
            </w:r>
          </w:p>
        </w:tc>
        <w:tc>
          <w:tcPr>
            <w:tcW w:w="3311"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最大8小时平均第90百分位数</w:t>
            </w:r>
          </w:p>
        </w:tc>
        <w:tc>
          <w:tcPr>
            <w:tcW w:w="1564" w:type="dxa"/>
            <w:noWrap w:val="0"/>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rPr>
              <w:t>0</w:t>
            </w:r>
            <w:r>
              <w:rPr>
                <w:color w:val="auto"/>
                <w:sz w:val="21"/>
                <w:szCs w:val="21"/>
              </w:rPr>
              <w:t>.1</w:t>
            </w:r>
            <w:r>
              <w:rPr>
                <w:rFonts w:hint="eastAsia"/>
                <w:color w:val="auto"/>
                <w:sz w:val="21"/>
                <w:szCs w:val="21"/>
                <w:lang w:val="en-US" w:eastAsia="zh-CN"/>
              </w:rPr>
              <w:t>472</w:t>
            </w:r>
          </w:p>
        </w:tc>
        <w:tc>
          <w:tcPr>
            <w:tcW w:w="1360"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0.16</w:t>
            </w:r>
          </w:p>
        </w:tc>
        <w:tc>
          <w:tcPr>
            <w:tcW w:w="964" w:type="dxa"/>
            <w:noWrap w:val="0"/>
            <w:vAlign w:val="center"/>
          </w:tcPr>
          <w:p>
            <w:pPr>
              <w:adjustRightInd w:val="0"/>
              <w:snapToGrid w:val="0"/>
              <w:spacing w:line="240" w:lineRule="auto"/>
              <w:ind w:firstLine="0" w:firstLineChars="0"/>
              <w:jc w:val="center"/>
              <w:rPr>
                <w:color w:val="auto"/>
                <w:sz w:val="21"/>
                <w:szCs w:val="21"/>
              </w:rPr>
            </w:pPr>
            <w:r>
              <w:rPr>
                <w:color w:val="auto"/>
                <w:sz w:val="21"/>
                <w:szCs w:val="21"/>
              </w:rPr>
              <w:t>达标</w:t>
            </w:r>
          </w:p>
        </w:tc>
      </w:tr>
    </w:tbl>
    <w:p>
      <w:pPr>
        <w:pStyle w:val="9"/>
        <w:spacing w:before="120" w:beforeLines="50"/>
        <w:rPr>
          <w:rFonts w:hint="eastAsia"/>
          <w:color w:val="auto"/>
        </w:rPr>
      </w:pPr>
      <w:r>
        <w:rPr>
          <w:rFonts w:hint="eastAsia"/>
          <w:b/>
          <w:color w:val="auto"/>
        </w:rPr>
        <w:t>其他污染物环境质量现状</w:t>
      </w:r>
    </w:p>
    <w:p>
      <w:pPr>
        <w:ind w:firstLine="482"/>
        <w:rPr>
          <w:b/>
          <w:color w:val="auto"/>
        </w:rPr>
      </w:pPr>
      <w:r>
        <w:rPr>
          <w:rFonts w:hint="eastAsia"/>
          <w:b/>
          <w:color w:val="auto"/>
        </w:rPr>
        <w:t>1、</w:t>
      </w:r>
      <w:r>
        <w:rPr>
          <w:b/>
          <w:color w:val="auto"/>
        </w:rPr>
        <w:t>监测点位置</w:t>
      </w:r>
    </w:p>
    <w:p>
      <w:pPr>
        <w:ind w:firstLine="480"/>
        <w:rPr>
          <w:color w:val="auto"/>
        </w:rPr>
      </w:pPr>
      <w:r>
        <w:rPr>
          <w:color w:val="auto"/>
        </w:rPr>
        <w:t>为掌握区域内</w:t>
      </w:r>
      <w:r>
        <w:rPr>
          <w:rFonts w:hint="eastAsia"/>
          <w:color w:val="auto"/>
        </w:rPr>
        <w:t>其他污染物</w:t>
      </w:r>
      <w:r>
        <w:rPr>
          <w:color w:val="auto"/>
        </w:rPr>
        <w:t>环境空气质量现状情况，本次评价委托</w:t>
      </w:r>
      <w:r>
        <w:rPr>
          <w:rFonts w:hint="eastAsia"/>
          <w:color w:val="auto"/>
        </w:rPr>
        <w:t>四川良测检测技术有限公司</w:t>
      </w:r>
      <w:r>
        <w:rPr>
          <w:color w:val="auto"/>
        </w:rPr>
        <w:t>进行实地监测，项目</w:t>
      </w:r>
      <w:r>
        <w:rPr>
          <w:rFonts w:hint="eastAsia"/>
          <w:color w:val="auto"/>
        </w:rPr>
        <w:t>场地项目所在地</w:t>
      </w:r>
      <w:r>
        <w:rPr>
          <w:rFonts w:hint="eastAsia"/>
          <w:color w:val="auto"/>
          <w:lang w:val="en-US" w:eastAsia="zh-CN"/>
        </w:rPr>
        <w:t>下风向</w:t>
      </w:r>
      <w:r>
        <w:rPr>
          <w:rFonts w:hint="eastAsia"/>
          <w:color w:val="auto"/>
        </w:rPr>
        <w:t>设置</w:t>
      </w:r>
      <w:r>
        <w:rPr>
          <w:color w:val="auto"/>
        </w:rPr>
        <w:t>1</w:t>
      </w:r>
      <w:r>
        <w:rPr>
          <w:rFonts w:hint="eastAsia"/>
          <w:color w:val="auto"/>
        </w:rPr>
        <w:t>个监测点位，其他污染物补充监测点位基本信息见表4</w:t>
      </w:r>
      <w:r>
        <w:rPr>
          <w:color w:val="auto"/>
        </w:rPr>
        <w:t>.2-2。</w:t>
      </w:r>
    </w:p>
    <w:p>
      <w:pPr>
        <w:pStyle w:val="166"/>
        <w:spacing w:before="120" w:beforeLines="0"/>
        <w:rPr>
          <w:color w:val="auto"/>
        </w:rPr>
      </w:pPr>
      <w:r>
        <w:rPr>
          <w:rFonts w:hint="eastAsia"/>
          <w:color w:val="auto"/>
        </w:rPr>
        <w:t>表4</w:t>
      </w:r>
      <w:r>
        <w:rPr>
          <w:color w:val="auto"/>
        </w:rPr>
        <w:t>.2-2</w:t>
      </w:r>
      <w:r>
        <w:rPr>
          <w:rFonts w:hint="eastAsia"/>
          <w:color w:val="auto"/>
          <w:lang w:val="en-US" w:eastAsia="zh-CN"/>
        </w:rPr>
        <w:t xml:space="preserve"> </w:t>
      </w:r>
      <w:r>
        <w:rPr>
          <w:rFonts w:hint="eastAsia"/>
          <w:color w:val="auto"/>
        </w:rPr>
        <w:t>检测点位布设情况</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66"/>
        <w:gridCol w:w="59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3066" w:type="dxa"/>
            <w:noWrap w:val="0"/>
            <w:vAlign w:val="center"/>
          </w:tcPr>
          <w:p>
            <w:pPr>
              <w:adjustRightInd w:val="0"/>
              <w:snapToGrid w:val="0"/>
              <w:spacing w:line="240" w:lineRule="auto"/>
              <w:ind w:firstLine="482" w:firstLineChars="0"/>
              <w:jc w:val="center"/>
              <w:rPr>
                <w:b/>
                <w:color w:val="auto"/>
                <w:sz w:val="21"/>
                <w:szCs w:val="21"/>
              </w:rPr>
            </w:pPr>
            <w:r>
              <w:rPr>
                <w:b/>
                <w:color w:val="auto"/>
                <w:sz w:val="21"/>
                <w:szCs w:val="21"/>
              </w:rPr>
              <w:t>编号</w:t>
            </w:r>
          </w:p>
        </w:tc>
        <w:tc>
          <w:tcPr>
            <w:tcW w:w="5937" w:type="dxa"/>
            <w:noWrap w:val="0"/>
            <w:vAlign w:val="center"/>
          </w:tcPr>
          <w:p>
            <w:pPr>
              <w:adjustRightInd w:val="0"/>
              <w:snapToGrid w:val="0"/>
              <w:spacing w:line="240" w:lineRule="auto"/>
              <w:ind w:firstLine="482" w:firstLineChars="0"/>
              <w:jc w:val="center"/>
              <w:rPr>
                <w:b/>
                <w:color w:val="auto"/>
                <w:sz w:val="21"/>
                <w:szCs w:val="21"/>
              </w:rPr>
            </w:pPr>
            <w:r>
              <w:rPr>
                <w:b/>
                <w:color w:val="auto"/>
                <w:sz w:val="21"/>
                <w:szCs w:val="21"/>
              </w:rPr>
              <w:t>名 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3066" w:type="dxa"/>
            <w:noWrap w:val="0"/>
            <w:vAlign w:val="center"/>
          </w:tcPr>
          <w:p>
            <w:pPr>
              <w:adjustRightInd w:val="0"/>
              <w:snapToGrid w:val="0"/>
              <w:spacing w:line="240" w:lineRule="auto"/>
              <w:ind w:firstLine="480" w:firstLineChars="0"/>
              <w:jc w:val="center"/>
              <w:rPr>
                <w:color w:val="auto"/>
                <w:sz w:val="21"/>
                <w:szCs w:val="21"/>
              </w:rPr>
            </w:pPr>
            <w:r>
              <w:rPr>
                <w:color w:val="auto"/>
                <w:sz w:val="21"/>
                <w:szCs w:val="21"/>
              </w:rPr>
              <w:t>1#</w:t>
            </w:r>
          </w:p>
        </w:tc>
        <w:tc>
          <w:tcPr>
            <w:tcW w:w="5937" w:type="dxa"/>
            <w:noWrap w:val="0"/>
            <w:vAlign w:val="center"/>
          </w:tcPr>
          <w:p>
            <w:pPr>
              <w:adjustRightInd w:val="0"/>
              <w:snapToGrid w:val="0"/>
              <w:spacing w:line="240" w:lineRule="auto"/>
              <w:ind w:firstLine="480" w:firstLineChars="0"/>
              <w:jc w:val="center"/>
              <w:rPr>
                <w:color w:val="auto"/>
                <w:sz w:val="21"/>
                <w:szCs w:val="21"/>
              </w:rPr>
            </w:pPr>
            <w:r>
              <w:rPr>
                <w:rFonts w:hint="eastAsia"/>
                <w:color w:val="auto"/>
                <w:sz w:val="21"/>
                <w:szCs w:val="21"/>
              </w:rPr>
              <w:t>项目</w:t>
            </w:r>
            <w:r>
              <w:rPr>
                <w:rFonts w:hint="eastAsia"/>
                <w:color w:val="auto"/>
                <w:sz w:val="21"/>
                <w:szCs w:val="21"/>
                <w:lang w:val="en-US" w:eastAsia="zh-CN"/>
              </w:rPr>
              <w:t>东南侧厂界外10米处（下风向）</w:t>
            </w:r>
          </w:p>
        </w:tc>
      </w:tr>
    </w:tbl>
    <w:p>
      <w:pPr>
        <w:spacing w:before="120" w:beforeLines="50"/>
        <w:ind w:firstLine="480"/>
        <w:rPr>
          <w:rFonts w:hAnsi="Tahoma" w:cs="Tahoma"/>
          <w:color w:val="auto"/>
          <w:kern w:val="0"/>
          <w:szCs w:val="20"/>
        </w:rPr>
      </w:pPr>
      <w:r>
        <w:rPr>
          <w:rFonts w:hAnsi="Tahoma" w:cs="Tahoma"/>
          <w:color w:val="auto"/>
          <w:kern w:val="0"/>
          <w:szCs w:val="20"/>
        </w:rPr>
        <w:t>监测因子为监测项目确定为硫化氢、氨</w:t>
      </w:r>
      <w:r>
        <w:rPr>
          <w:rFonts w:hint="eastAsia" w:hAnsi="Tahoma" w:cs="Tahoma"/>
          <w:color w:val="auto"/>
          <w:kern w:val="0"/>
          <w:szCs w:val="20"/>
          <w:lang w:eastAsia="zh-CN"/>
        </w:rPr>
        <w:t>、</w:t>
      </w:r>
      <w:r>
        <w:rPr>
          <w:rFonts w:hint="eastAsia" w:hAnsi="Tahoma" w:cs="Tahoma"/>
          <w:color w:val="auto"/>
          <w:kern w:val="0"/>
          <w:szCs w:val="20"/>
          <w:lang w:val="en-US" w:eastAsia="zh-CN"/>
        </w:rPr>
        <w:t>臭气浓度</w:t>
      </w:r>
      <w:r>
        <w:rPr>
          <w:rFonts w:hint="eastAsia" w:hAnsi="Tahoma" w:cs="Tahoma"/>
          <w:color w:val="auto"/>
          <w:kern w:val="0"/>
          <w:szCs w:val="20"/>
        </w:rPr>
        <w:t>，</w:t>
      </w:r>
      <w:r>
        <w:rPr>
          <w:rFonts w:hAnsi="Tahoma" w:cs="Tahoma"/>
          <w:color w:val="auto"/>
          <w:kern w:val="0"/>
          <w:szCs w:val="20"/>
        </w:rPr>
        <w:t>共</w:t>
      </w:r>
      <w:r>
        <w:rPr>
          <w:rFonts w:hint="eastAsia" w:hAnsi="Tahoma" w:cs="Tahoma"/>
          <w:color w:val="auto"/>
          <w:kern w:val="0"/>
          <w:szCs w:val="20"/>
          <w:lang w:val="en-US" w:eastAsia="zh-CN"/>
        </w:rPr>
        <w:t>3</w:t>
      </w:r>
      <w:r>
        <w:rPr>
          <w:rFonts w:hAnsi="Tahoma" w:cs="Tahoma"/>
          <w:color w:val="auto"/>
          <w:kern w:val="0"/>
          <w:szCs w:val="20"/>
        </w:rPr>
        <w:t>项。监测方法如表4.2-3：</w:t>
      </w:r>
    </w:p>
    <w:p>
      <w:pPr>
        <w:pStyle w:val="166"/>
        <w:spacing w:before="0" w:beforeLines="0" w:line="240" w:lineRule="auto"/>
        <w:rPr>
          <w:color w:val="auto"/>
        </w:rPr>
      </w:pPr>
      <w:r>
        <w:rPr>
          <w:color w:val="auto"/>
        </w:rPr>
        <w:t>表4.2-3</w:t>
      </w:r>
      <w:r>
        <w:rPr>
          <w:rFonts w:hint="eastAsia"/>
          <w:color w:val="auto"/>
          <w:lang w:val="en-US" w:eastAsia="zh-CN"/>
        </w:rPr>
        <w:t xml:space="preserve"> </w:t>
      </w:r>
      <w:r>
        <w:rPr>
          <w:color w:val="auto"/>
        </w:rPr>
        <w:t>监测方法、方法来源</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3110"/>
        <w:gridCol w:w="2276"/>
        <w:gridCol w:w="20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34" w:type="dxa"/>
            <w:noWrap w:val="0"/>
            <w:vAlign w:val="center"/>
          </w:tcPr>
          <w:p>
            <w:pPr>
              <w:spacing w:line="240" w:lineRule="auto"/>
              <w:ind w:firstLine="0" w:firstLineChars="0"/>
              <w:jc w:val="center"/>
              <w:rPr>
                <w:b/>
                <w:color w:val="auto"/>
                <w:sz w:val="20"/>
                <w:szCs w:val="20"/>
              </w:rPr>
            </w:pPr>
            <w:r>
              <w:rPr>
                <w:b/>
                <w:color w:val="auto"/>
                <w:sz w:val="20"/>
                <w:szCs w:val="20"/>
              </w:rPr>
              <w:t>项目</w:t>
            </w:r>
          </w:p>
        </w:tc>
        <w:tc>
          <w:tcPr>
            <w:tcW w:w="3110" w:type="dxa"/>
            <w:noWrap w:val="0"/>
            <w:vAlign w:val="center"/>
          </w:tcPr>
          <w:p>
            <w:pPr>
              <w:spacing w:line="240" w:lineRule="auto"/>
              <w:ind w:firstLine="0" w:firstLineChars="0"/>
              <w:jc w:val="center"/>
              <w:rPr>
                <w:b/>
                <w:color w:val="auto"/>
                <w:sz w:val="20"/>
                <w:szCs w:val="20"/>
              </w:rPr>
            </w:pPr>
            <w:r>
              <w:rPr>
                <w:b/>
                <w:color w:val="auto"/>
                <w:sz w:val="20"/>
                <w:szCs w:val="20"/>
              </w:rPr>
              <w:t>监测方法</w:t>
            </w:r>
          </w:p>
        </w:tc>
        <w:tc>
          <w:tcPr>
            <w:tcW w:w="2276" w:type="dxa"/>
            <w:noWrap w:val="0"/>
            <w:vAlign w:val="center"/>
          </w:tcPr>
          <w:p>
            <w:pPr>
              <w:spacing w:line="240" w:lineRule="auto"/>
              <w:ind w:firstLine="0" w:firstLineChars="0"/>
              <w:jc w:val="center"/>
              <w:rPr>
                <w:b/>
                <w:color w:val="auto"/>
                <w:sz w:val="20"/>
                <w:szCs w:val="20"/>
              </w:rPr>
            </w:pPr>
            <w:r>
              <w:rPr>
                <w:b/>
                <w:color w:val="auto"/>
                <w:sz w:val="20"/>
                <w:szCs w:val="20"/>
              </w:rPr>
              <w:t>方法来源</w:t>
            </w:r>
          </w:p>
        </w:tc>
        <w:tc>
          <w:tcPr>
            <w:tcW w:w="2083" w:type="dxa"/>
            <w:noWrap w:val="0"/>
            <w:vAlign w:val="center"/>
          </w:tcPr>
          <w:p>
            <w:pPr>
              <w:spacing w:line="240" w:lineRule="auto"/>
              <w:ind w:firstLine="0" w:firstLineChars="0"/>
              <w:jc w:val="center"/>
              <w:rPr>
                <w:b/>
                <w:color w:val="auto"/>
                <w:sz w:val="20"/>
                <w:szCs w:val="20"/>
              </w:rPr>
            </w:pPr>
            <w:r>
              <w:rPr>
                <w:rFonts w:hint="eastAsia"/>
                <w:b/>
                <w:color w:val="auto"/>
                <w:sz w:val="20"/>
                <w:szCs w:val="20"/>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34" w:type="dxa"/>
            <w:noWrap w:val="0"/>
            <w:vAlign w:val="center"/>
          </w:tcPr>
          <w:p>
            <w:pPr>
              <w:spacing w:line="240" w:lineRule="auto"/>
              <w:ind w:firstLine="0" w:firstLineChars="0"/>
              <w:jc w:val="center"/>
              <w:rPr>
                <w:color w:val="auto"/>
                <w:sz w:val="20"/>
                <w:szCs w:val="20"/>
              </w:rPr>
            </w:pPr>
            <w:r>
              <w:rPr>
                <w:rFonts w:hint="eastAsia"/>
                <w:color w:val="auto"/>
                <w:sz w:val="20"/>
                <w:szCs w:val="20"/>
              </w:rPr>
              <w:t>硫化氢</w:t>
            </w:r>
          </w:p>
        </w:tc>
        <w:tc>
          <w:tcPr>
            <w:tcW w:w="3110" w:type="dxa"/>
            <w:noWrap w:val="0"/>
            <w:vAlign w:val="center"/>
          </w:tcPr>
          <w:p>
            <w:pPr>
              <w:spacing w:line="240" w:lineRule="auto"/>
              <w:ind w:firstLine="0" w:firstLineChars="0"/>
              <w:jc w:val="center"/>
              <w:rPr>
                <w:rFonts w:hint="eastAsia"/>
                <w:color w:val="auto"/>
                <w:sz w:val="20"/>
                <w:szCs w:val="20"/>
              </w:rPr>
            </w:pPr>
            <w:r>
              <w:rPr>
                <w:rFonts w:hint="eastAsia"/>
                <w:color w:val="auto"/>
                <w:sz w:val="20"/>
                <w:szCs w:val="20"/>
              </w:rPr>
              <w:t>亚甲基蓝</w:t>
            </w:r>
            <w:r>
              <w:rPr>
                <w:color w:val="auto"/>
                <w:sz w:val="20"/>
                <w:szCs w:val="20"/>
              </w:rPr>
              <w:t>分光光度法</w:t>
            </w:r>
          </w:p>
        </w:tc>
        <w:tc>
          <w:tcPr>
            <w:tcW w:w="2276" w:type="dxa"/>
            <w:noWrap w:val="0"/>
            <w:vAlign w:val="center"/>
          </w:tcPr>
          <w:p>
            <w:pPr>
              <w:spacing w:line="240" w:lineRule="auto"/>
              <w:ind w:firstLine="0" w:firstLineChars="0"/>
              <w:jc w:val="center"/>
              <w:rPr>
                <w:color w:val="auto"/>
                <w:sz w:val="20"/>
                <w:szCs w:val="20"/>
              </w:rPr>
            </w:pPr>
            <w:r>
              <w:rPr>
                <w:rFonts w:hint="eastAsia"/>
                <w:color w:val="auto"/>
                <w:sz w:val="20"/>
                <w:szCs w:val="20"/>
              </w:rPr>
              <w:t>《空气和废气监测分析方法》（第四版增补版）</w:t>
            </w:r>
          </w:p>
        </w:tc>
        <w:tc>
          <w:tcPr>
            <w:tcW w:w="2083" w:type="dxa"/>
            <w:noWrap w:val="0"/>
            <w:vAlign w:val="center"/>
          </w:tcPr>
          <w:p>
            <w:pPr>
              <w:spacing w:line="240" w:lineRule="auto"/>
              <w:ind w:firstLine="0" w:firstLineChars="0"/>
              <w:jc w:val="center"/>
              <w:rPr>
                <w:color w:val="auto"/>
                <w:sz w:val="20"/>
                <w:szCs w:val="20"/>
              </w:rPr>
            </w:pPr>
            <w:r>
              <w:rPr>
                <w:rFonts w:hint="eastAsia"/>
                <w:color w:val="auto"/>
                <w:sz w:val="20"/>
                <w:szCs w:val="20"/>
              </w:rPr>
              <w:t>0.</w:t>
            </w:r>
            <w:r>
              <w:rPr>
                <w:color w:val="auto"/>
                <w:sz w:val="20"/>
                <w:szCs w:val="20"/>
              </w:rPr>
              <w:t>0</w:t>
            </w:r>
            <w:r>
              <w:rPr>
                <w:rFonts w:hint="eastAsia"/>
                <w:color w:val="auto"/>
                <w:sz w:val="20"/>
                <w:szCs w:val="20"/>
              </w:rPr>
              <w:t>01mg/m</w:t>
            </w:r>
            <w:r>
              <w:rPr>
                <w:rFonts w:hint="eastAsia"/>
                <w:color w:val="auto"/>
                <w:sz w:val="20"/>
                <w:szCs w:val="2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34" w:type="dxa"/>
            <w:noWrap w:val="0"/>
            <w:vAlign w:val="center"/>
          </w:tcPr>
          <w:p>
            <w:pPr>
              <w:spacing w:line="240" w:lineRule="auto"/>
              <w:ind w:firstLine="0" w:firstLineChars="0"/>
              <w:jc w:val="center"/>
              <w:rPr>
                <w:color w:val="auto"/>
                <w:sz w:val="20"/>
                <w:szCs w:val="20"/>
              </w:rPr>
            </w:pPr>
            <w:r>
              <w:rPr>
                <w:color w:val="auto"/>
                <w:sz w:val="20"/>
                <w:szCs w:val="20"/>
              </w:rPr>
              <w:t>氨</w:t>
            </w:r>
          </w:p>
        </w:tc>
        <w:tc>
          <w:tcPr>
            <w:tcW w:w="3110" w:type="dxa"/>
            <w:noWrap w:val="0"/>
            <w:vAlign w:val="center"/>
          </w:tcPr>
          <w:p>
            <w:pPr>
              <w:spacing w:line="240" w:lineRule="auto"/>
              <w:ind w:firstLine="0" w:firstLineChars="0"/>
              <w:jc w:val="center"/>
              <w:rPr>
                <w:rFonts w:hint="eastAsia"/>
                <w:color w:val="auto"/>
                <w:sz w:val="20"/>
                <w:szCs w:val="20"/>
              </w:rPr>
            </w:pPr>
            <w:r>
              <w:rPr>
                <w:color w:val="auto"/>
                <w:sz w:val="20"/>
                <w:szCs w:val="20"/>
              </w:rPr>
              <w:t>环境空气和废气</w:t>
            </w:r>
            <w:r>
              <w:rPr>
                <w:rFonts w:hint="eastAsia"/>
                <w:color w:val="auto"/>
                <w:sz w:val="20"/>
                <w:szCs w:val="20"/>
              </w:rPr>
              <w:t xml:space="preserve"> 氨的测定 纳氏试剂分光光度法</w:t>
            </w:r>
          </w:p>
        </w:tc>
        <w:tc>
          <w:tcPr>
            <w:tcW w:w="2276" w:type="dxa"/>
            <w:noWrap w:val="0"/>
            <w:vAlign w:val="center"/>
          </w:tcPr>
          <w:p>
            <w:pPr>
              <w:spacing w:line="240" w:lineRule="auto"/>
              <w:ind w:firstLine="0" w:firstLineChars="0"/>
              <w:jc w:val="center"/>
              <w:rPr>
                <w:color w:val="auto"/>
                <w:sz w:val="20"/>
                <w:szCs w:val="20"/>
              </w:rPr>
            </w:pPr>
            <w:r>
              <w:rPr>
                <w:color w:val="auto"/>
                <w:sz w:val="20"/>
                <w:szCs w:val="20"/>
              </w:rPr>
              <w:t>HJ533-2009</w:t>
            </w:r>
          </w:p>
        </w:tc>
        <w:tc>
          <w:tcPr>
            <w:tcW w:w="2083" w:type="dxa"/>
            <w:noWrap w:val="0"/>
            <w:vAlign w:val="center"/>
          </w:tcPr>
          <w:p>
            <w:pPr>
              <w:spacing w:line="240" w:lineRule="auto"/>
              <w:ind w:firstLine="0" w:firstLineChars="0"/>
              <w:jc w:val="center"/>
              <w:rPr>
                <w:color w:val="auto"/>
                <w:sz w:val="20"/>
                <w:szCs w:val="20"/>
              </w:rPr>
            </w:pPr>
            <w:r>
              <w:rPr>
                <w:color w:val="auto"/>
                <w:sz w:val="20"/>
                <w:szCs w:val="20"/>
              </w:rPr>
              <w:t>0.0</w:t>
            </w:r>
            <w:r>
              <w:rPr>
                <w:rFonts w:hint="eastAsia"/>
                <w:color w:val="auto"/>
                <w:sz w:val="20"/>
                <w:szCs w:val="20"/>
                <w:lang w:val="en-US" w:eastAsia="zh-CN"/>
              </w:rPr>
              <w:t>1</w:t>
            </w:r>
            <w:r>
              <w:rPr>
                <w:rFonts w:hint="eastAsia"/>
                <w:color w:val="auto"/>
                <w:sz w:val="20"/>
                <w:szCs w:val="20"/>
              </w:rPr>
              <w:t>mg/m</w:t>
            </w:r>
            <w:r>
              <w:rPr>
                <w:rFonts w:hint="eastAsia"/>
                <w:color w:val="auto"/>
                <w:sz w:val="20"/>
                <w:szCs w:val="2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534" w:type="dxa"/>
            <w:noWrap w:val="0"/>
            <w:vAlign w:val="center"/>
          </w:tcPr>
          <w:p>
            <w:pPr>
              <w:spacing w:line="240" w:lineRule="auto"/>
              <w:ind w:firstLine="0" w:firstLineChars="0"/>
              <w:jc w:val="center"/>
              <w:rPr>
                <w:color w:val="auto"/>
                <w:sz w:val="20"/>
                <w:szCs w:val="20"/>
              </w:rPr>
            </w:pPr>
            <w:r>
              <w:rPr>
                <w:rFonts w:hint="eastAsia"/>
                <w:color w:val="auto"/>
                <w:sz w:val="20"/>
                <w:szCs w:val="20"/>
              </w:rPr>
              <w:t>臭气浓度</w:t>
            </w:r>
          </w:p>
        </w:tc>
        <w:tc>
          <w:tcPr>
            <w:tcW w:w="3110" w:type="dxa"/>
            <w:noWrap w:val="0"/>
            <w:vAlign w:val="center"/>
          </w:tcPr>
          <w:p>
            <w:pPr>
              <w:spacing w:line="240" w:lineRule="auto"/>
              <w:ind w:firstLine="0" w:firstLineChars="0"/>
              <w:jc w:val="center"/>
              <w:rPr>
                <w:color w:val="auto"/>
                <w:sz w:val="20"/>
                <w:szCs w:val="20"/>
              </w:rPr>
            </w:pPr>
            <w:r>
              <w:rPr>
                <w:rFonts w:hint="eastAsia"/>
                <w:color w:val="auto"/>
                <w:sz w:val="20"/>
                <w:szCs w:val="20"/>
              </w:rPr>
              <w:t>空气质量 恶臭的测定 三点比较式臭袋法</w:t>
            </w:r>
          </w:p>
        </w:tc>
        <w:tc>
          <w:tcPr>
            <w:tcW w:w="2276" w:type="dxa"/>
            <w:noWrap w:val="0"/>
            <w:vAlign w:val="center"/>
          </w:tcPr>
          <w:p>
            <w:pPr>
              <w:spacing w:line="240" w:lineRule="auto"/>
              <w:ind w:firstLine="0" w:firstLineChars="0"/>
              <w:jc w:val="center"/>
              <w:rPr>
                <w:color w:val="auto"/>
                <w:sz w:val="20"/>
                <w:szCs w:val="20"/>
              </w:rPr>
            </w:pPr>
            <w:r>
              <w:rPr>
                <w:rFonts w:hint="eastAsia"/>
                <w:color w:val="auto"/>
                <w:sz w:val="20"/>
                <w:szCs w:val="20"/>
              </w:rPr>
              <w:t>GB/T14675-1993</w:t>
            </w:r>
          </w:p>
        </w:tc>
        <w:tc>
          <w:tcPr>
            <w:tcW w:w="2083" w:type="dxa"/>
            <w:noWrap w:val="0"/>
            <w:vAlign w:val="center"/>
          </w:tcPr>
          <w:p>
            <w:pPr>
              <w:spacing w:line="240" w:lineRule="auto"/>
              <w:ind w:firstLine="0" w:firstLineChars="0"/>
              <w:jc w:val="center"/>
              <w:rPr>
                <w:rFonts w:hint="eastAsia" w:eastAsia="宋体"/>
                <w:color w:val="auto"/>
                <w:sz w:val="20"/>
                <w:szCs w:val="20"/>
                <w:lang w:val="en-US" w:eastAsia="zh-CN"/>
              </w:rPr>
            </w:pPr>
            <w:r>
              <w:rPr>
                <w:rFonts w:hint="eastAsia"/>
                <w:color w:val="auto"/>
                <w:sz w:val="20"/>
                <w:szCs w:val="20"/>
                <w:lang w:val="en-US" w:eastAsia="zh-CN"/>
              </w:rPr>
              <w:t>/</w:t>
            </w:r>
          </w:p>
        </w:tc>
      </w:tr>
    </w:tbl>
    <w:p>
      <w:pPr>
        <w:spacing w:before="120" w:beforeLines="50"/>
        <w:ind w:firstLine="482"/>
        <w:rPr>
          <w:b/>
          <w:color w:val="auto"/>
          <w:kern w:val="0"/>
        </w:rPr>
      </w:pPr>
      <w:r>
        <w:rPr>
          <w:rFonts w:hint="eastAsia"/>
          <w:b/>
          <w:color w:val="auto"/>
          <w:kern w:val="0"/>
        </w:rPr>
        <w:t>2、</w:t>
      </w:r>
      <w:r>
        <w:rPr>
          <w:b/>
          <w:color w:val="auto"/>
          <w:kern w:val="0"/>
        </w:rPr>
        <w:t>监测时间、监测频次</w:t>
      </w:r>
    </w:p>
    <w:p>
      <w:pPr>
        <w:ind w:firstLine="480"/>
        <w:rPr>
          <w:color w:val="auto"/>
          <w:kern w:val="0"/>
        </w:rPr>
      </w:pPr>
      <w:r>
        <w:rPr>
          <w:color w:val="auto"/>
          <w:kern w:val="0"/>
        </w:rPr>
        <w:t>监测时间：2020</w:t>
      </w:r>
      <w:r>
        <w:rPr>
          <w:rFonts w:hint="eastAsia"/>
          <w:color w:val="auto"/>
          <w:kern w:val="0"/>
        </w:rPr>
        <w:t>年</w:t>
      </w:r>
      <w:r>
        <w:rPr>
          <w:rFonts w:hint="eastAsia"/>
          <w:color w:val="auto"/>
          <w:kern w:val="0"/>
          <w:lang w:val="en-US" w:eastAsia="zh-CN"/>
        </w:rPr>
        <w:t>12</w:t>
      </w:r>
      <w:r>
        <w:rPr>
          <w:rFonts w:hint="eastAsia"/>
          <w:color w:val="auto"/>
          <w:kern w:val="0"/>
        </w:rPr>
        <w:t>月</w:t>
      </w:r>
      <w:r>
        <w:rPr>
          <w:rFonts w:hint="eastAsia"/>
          <w:color w:val="auto"/>
          <w:kern w:val="0"/>
          <w:lang w:val="en-US" w:eastAsia="zh-CN"/>
        </w:rPr>
        <w:t>24</w:t>
      </w:r>
      <w:r>
        <w:rPr>
          <w:rFonts w:hint="eastAsia"/>
          <w:color w:val="auto"/>
          <w:kern w:val="0"/>
        </w:rPr>
        <w:t>日～</w:t>
      </w:r>
      <w:r>
        <w:rPr>
          <w:rFonts w:hint="eastAsia"/>
          <w:color w:val="auto"/>
          <w:kern w:val="0"/>
          <w:lang w:val="en-US" w:eastAsia="zh-CN"/>
        </w:rPr>
        <w:t>12</w:t>
      </w:r>
      <w:r>
        <w:rPr>
          <w:rFonts w:hint="eastAsia"/>
          <w:color w:val="auto"/>
          <w:kern w:val="0"/>
        </w:rPr>
        <w:t>月</w:t>
      </w:r>
      <w:r>
        <w:rPr>
          <w:rFonts w:hint="eastAsia"/>
          <w:color w:val="auto"/>
          <w:kern w:val="0"/>
          <w:lang w:val="en-US" w:eastAsia="zh-CN"/>
        </w:rPr>
        <w:t>30</w:t>
      </w:r>
      <w:r>
        <w:rPr>
          <w:rFonts w:hint="eastAsia"/>
          <w:color w:val="auto"/>
          <w:kern w:val="0"/>
        </w:rPr>
        <w:t>日</w:t>
      </w:r>
      <w:r>
        <w:rPr>
          <w:color w:val="auto"/>
          <w:kern w:val="0"/>
        </w:rPr>
        <w:t>，共</w:t>
      </w:r>
      <w:r>
        <w:rPr>
          <w:rFonts w:hint="eastAsia"/>
          <w:color w:val="auto"/>
          <w:kern w:val="0"/>
          <w:lang w:val="en-US" w:eastAsia="zh-CN"/>
        </w:rPr>
        <w:t>7</w:t>
      </w:r>
      <w:r>
        <w:rPr>
          <w:color w:val="auto"/>
          <w:kern w:val="0"/>
        </w:rPr>
        <w:t>天；</w:t>
      </w:r>
    </w:p>
    <w:p>
      <w:pPr>
        <w:ind w:firstLine="480"/>
        <w:rPr>
          <w:color w:val="auto"/>
        </w:rPr>
      </w:pPr>
      <w:r>
        <w:rPr>
          <w:color w:val="auto"/>
          <w:kern w:val="0"/>
        </w:rPr>
        <w:t>监测频次：硫化氢</w:t>
      </w:r>
      <w:r>
        <w:rPr>
          <w:rFonts w:hint="eastAsia"/>
          <w:color w:val="auto"/>
          <w:kern w:val="0"/>
        </w:rPr>
        <w:t>、</w:t>
      </w:r>
      <w:r>
        <w:rPr>
          <w:color w:val="auto"/>
          <w:kern w:val="0"/>
        </w:rPr>
        <w:t>氨</w:t>
      </w:r>
      <w:r>
        <w:rPr>
          <w:rFonts w:hint="eastAsia"/>
          <w:color w:val="auto"/>
          <w:kern w:val="0"/>
        </w:rPr>
        <w:t>为</w:t>
      </w:r>
      <w:r>
        <w:rPr>
          <w:color w:val="auto"/>
          <w:kern w:val="0"/>
        </w:rPr>
        <w:t>小时平均浓度</w:t>
      </w:r>
      <w:r>
        <w:rPr>
          <w:rFonts w:hint="eastAsia"/>
          <w:color w:val="auto"/>
          <w:kern w:val="0"/>
        </w:rPr>
        <w:t>，</w:t>
      </w:r>
      <w:r>
        <w:rPr>
          <w:color w:val="auto"/>
          <w:kern w:val="0"/>
        </w:rPr>
        <w:t>每天监测4次，每小时采样45min。</w:t>
      </w:r>
    </w:p>
    <w:p>
      <w:pPr>
        <w:ind w:firstLine="482"/>
        <w:rPr>
          <w:b/>
          <w:color w:val="auto"/>
        </w:rPr>
      </w:pPr>
      <w:bookmarkStart w:id="159" w:name="_Toc232995145"/>
      <w:bookmarkEnd w:id="159"/>
      <w:bookmarkStart w:id="160" w:name="_Toc347412485"/>
      <w:bookmarkEnd w:id="160"/>
      <w:bookmarkStart w:id="161" w:name="_Toc209336139"/>
      <w:bookmarkEnd w:id="161"/>
      <w:bookmarkStart w:id="162" w:name="_Toc209336138"/>
      <w:bookmarkEnd w:id="162"/>
      <w:bookmarkStart w:id="163" w:name="_Toc211050366"/>
      <w:r>
        <w:rPr>
          <w:rFonts w:hint="eastAsia"/>
          <w:b/>
          <w:color w:val="auto"/>
        </w:rPr>
        <w:t>3、</w:t>
      </w:r>
      <w:r>
        <w:rPr>
          <w:b/>
          <w:color w:val="auto"/>
        </w:rPr>
        <w:t>评价</w:t>
      </w:r>
      <w:bookmarkEnd w:id="163"/>
      <w:r>
        <w:rPr>
          <w:rFonts w:hint="eastAsia"/>
          <w:b/>
          <w:color w:val="auto"/>
        </w:rPr>
        <w:t>方法</w:t>
      </w:r>
    </w:p>
    <w:p>
      <w:pPr>
        <w:ind w:firstLine="480"/>
        <w:rPr>
          <w:color w:val="auto"/>
          <w:lang w:bidi="ar"/>
        </w:rPr>
      </w:pPr>
      <w:bookmarkStart w:id="164" w:name="_Toc232311606"/>
      <w:bookmarkEnd w:id="164"/>
      <w:bookmarkStart w:id="165" w:name="_Toc232995146"/>
      <w:bookmarkEnd w:id="165"/>
      <w:bookmarkStart w:id="166" w:name="_Toc232311979"/>
      <w:r>
        <w:rPr>
          <w:rFonts w:hint="eastAsia"/>
          <w:color w:val="auto"/>
          <w:lang w:bidi="ar"/>
        </w:rPr>
        <w:t>对大气环境质量现状的评价采用单项污染物指数法，其评价公式为：</w:t>
      </w:r>
    </w:p>
    <w:p>
      <w:pPr>
        <w:ind w:firstLine="480"/>
        <w:jc w:val="center"/>
        <w:rPr>
          <w:bCs/>
          <w:color w:val="auto"/>
        </w:rPr>
      </w:pPr>
      <w:r>
        <w:rPr>
          <w:bCs/>
          <w:color w:val="auto"/>
          <w:position w:val="-24"/>
        </w:rPr>
        <w:object>
          <v:shape id="_x0000_i1040" o:spt="75" type="#_x0000_t75" style="height:28.5pt;width:43.5pt;" o:ole="t" filled="f" o:preferrelative="t" stroked="f" coordsize="21600,21600">
            <v:path/>
            <v:fill on="f" focussize="0,0"/>
            <v:stroke on="f"/>
            <v:imagedata r:id="rId54" o:title=""/>
            <o:lock v:ext="edit" grouping="f" rotation="f" text="f" aspectratio="t"/>
            <w10:wrap type="none"/>
            <w10:anchorlock/>
          </v:shape>
          <o:OLEObject Type="Embed" ProgID="Equation.DSMT4" ShapeID="_x0000_i1040" DrawAspect="Content" ObjectID="_1468075734" r:id="rId53">
            <o:LockedField>false</o:LockedField>
          </o:OLEObject>
        </w:object>
      </w:r>
    </w:p>
    <w:p>
      <w:pPr>
        <w:ind w:firstLine="840" w:firstLineChars="350"/>
        <w:rPr>
          <w:bCs/>
          <w:color w:val="auto"/>
        </w:rPr>
      </w:pPr>
      <w:r>
        <w:rPr>
          <w:bCs/>
          <w:color w:val="auto"/>
        </w:rPr>
        <w:t>式中：</w:t>
      </w:r>
      <w:r>
        <w:rPr>
          <w:bCs/>
          <w:i/>
          <w:color w:val="auto"/>
        </w:rPr>
        <w:t>Pi</w:t>
      </w:r>
      <w:r>
        <w:rPr>
          <w:bCs/>
          <w:color w:val="auto"/>
        </w:rPr>
        <w:t>—为i污染物标准指数；</w:t>
      </w:r>
    </w:p>
    <w:p>
      <w:pPr>
        <w:ind w:firstLine="1560" w:firstLineChars="650"/>
        <w:rPr>
          <w:bCs/>
          <w:color w:val="auto"/>
        </w:rPr>
      </w:pPr>
      <w:r>
        <w:rPr>
          <w:bCs/>
          <w:i/>
          <w:color w:val="auto"/>
        </w:rPr>
        <w:t>Ci</w:t>
      </w:r>
      <w:r>
        <w:rPr>
          <w:bCs/>
          <w:color w:val="auto"/>
        </w:rPr>
        <w:t>—为i污染物实测浓度值（</w:t>
      </w:r>
      <w:r>
        <w:rPr>
          <w:color w:val="auto"/>
          <w:lang w:bidi="ar"/>
        </w:rPr>
        <w:t>mg/m</w:t>
      </w:r>
      <w:r>
        <w:rPr>
          <w:color w:val="auto"/>
          <w:vertAlign w:val="superscript"/>
          <w:lang w:bidi="ar"/>
        </w:rPr>
        <w:t>3</w:t>
      </w:r>
      <w:r>
        <w:rPr>
          <w:bCs/>
          <w:color w:val="auto"/>
        </w:rPr>
        <w:t>）；</w:t>
      </w:r>
    </w:p>
    <w:p>
      <w:pPr>
        <w:ind w:firstLine="1560" w:firstLineChars="650"/>
        <w:rPr>
          <w:bCs/>
          <w:color w:val="auto"/>
        </w:rPr>
      </w:pPr>
      <w:r>
        <w:rPr>
          <w:bCs/>
          <w:i/>
          <w:color w:val="auto"/>
        </w:rPr>
        <w:t>Si</w:t>
      </w:r>
      <w:r>
        <w:rPr>
          <w:bCs/>
          <w:color w:val="auto"/>
        </w:rPr>
        <w:t>—为i污染物评价标准值（</w:t>
      </w:r>
      <w:r>
        <w:rPr>
          <w:color w:val="auto"/>
          <w:lang w:bidi="ar"/>
        </w:rPr>
        <w:t>mg/m</w:t>
      </w:r>
      <w:r>
        <w:rPr>
          <w:color w:val="auto"/>
          <w:vertAlign w:val="superscript"/>
          <w:lang w:bidi="ar"/>
        </w:rPr>
        <w:t>3</w:t>
      </w:r>
      <w:r>
        <w:rPr>
          <w:bCs/>
          <w:color w:val="auto"/>
        </w:rPr>
        <w:t>）。</w:t>
      </w:r>
    </w:p>
    <w:p>
      <w:pPr>
        <w:ind w:firstLine="480"/>
        <w:rPr>
          <w:color w:val="auto"/>
          <w:lang w:bidi="ar"/>
        </w:rPr>
      </w:pPr>
      <w:r>
        <w:rPr>
          <w:rFonts w:hint="eastAsia"/>
          <w:color w:val="auto"/>
          <w:lang w:bidi="ar"/>
        </w:rPr>
        <w:t>当</w:t>
      </w:r>
      <w:r>
        <w:rPr>
          <w:i/>
          <w:iCs/>
          <w:color w:val="auto"/>
          <w:lang w:bidi="ar"/>
        </w:rPr>
        <w:t>Pi</w:t>
      </w:r>
      <w:r>
        <w:rPr>
          <w:color w:val="auto"/>
          <w:lang w:bidi="ar"/>
        </w:rPr>
        <w:t>≥1.0</w:t>
      </w:r>
      <w:r>
        <w:rPr>
          <w:rFonts w:hint="eastAsia"/>
          <w:color w:val="auto"/>
          <w:lang w:bidi="ar"/>
        </w:rPr>
        <w:t>时，表明大气环境已经受到该项评价因子所表征的污染物的污染，</w:t>
      </w:r>
      <w:r>
        <w:rPr>
          <w:i/>
          <w:iCs/>
          <w:color w:val="auto"/>
          <w:lang w:bidi="ar"/>
        </w:rPr>
        <w:t>Pi</w:t>
      </w:r>
      <w:r>
        <w:rPr>
          <w:rFonts w:hint="eastAsia"/>
          <w:color w:val="auto"/>
          <w:lang w:bidi="ar"/>
        </w:rPr>
        <w:t>值越大，受污染程度越重。</w:t>
      </w:r>
    </w:p>
    <w:bookmarkEnd w:id="166"/>
    <w:p>
      <w:pPr>
        <w:ind w:firstLine="482"/>
        <w:rPr>
          <w:b/>
          <w:color w:val="auto"/>
        </w:rPr>
      </w:pPr>
      <w:r>
        <w:rPr>
          <w:rFonts w:hint="eastAsia"/>
          <w:b/>
          <w:color w:val="auto"/>
        </w:rPr>
        <w:t>4、</w:t>
      </w:r>
      <w:r>
        <w:rPr>
          <w:b/>
          <w:color w:val="auto"/>
        </w:rPr>
        <w:t>现状监测及评价结果</w:t>
      </w:r>
    </w:p>
    <w:p>
      <w:pPr>
        <w:ind w:firstLine="480"/>
        <w:rPr>
          <w:color w:val="auto"/>
        </w:rPr>
      </w:pPr>
      <w:r>
        <w:rPr>
          <w:color w:val="auto"/>
        </w:rPr>
        <w:t>根据项目监测报告，按对应的评价标准限值，采用单项指数评价方法计算出监测点各项大气评价因子的质量指数值</w:t>
      </w:r>
      <w:r>
        <w:rPr>
          <w:rFonts w:hint="eastAsia"/>
          <w:color w:val="auto"/>
        </w:rPr>
        <w:t>，其他</w:t>
      </w:r>
      <w:r>
        <w:rPr>
          <w:color w:val="auto"/>
        </w:rPr>
        <w:t>污染物环境质量现状评价结果</w:t>
      </w:r>
      <w:r>
        <w:rPr>
          <w:rFonts w:hint="eastAsia"/>
          <w:color w:val="auto"/>
        </w:rPr>
        <w:t>见</w:t>
      </w:r>
      <w:r>
        <w:rPr>
          <w:color w:val="auto"/>
        </w:rPr>
        <w:t>表</w:t>
      </w:r>
      <w:r>
        <w:rPr>
          <w:rFonts w:hint="eastAsia"/>
          <w:color w:val="auto"/>
        </w:rPr>
        <w:t>4</w:t>
      </w:r>
      <w:r>
        <w:rPr>
          <w:color w:val="auto"/>
        </w:rPr>
        <w:t>.2-4。</w:t>
      </w:r>
    </w:p>
    <w:p>
      <w:pPr>
        <w:pStyle w:val="2"/>
        <w:keepNext w:val="0"/>
        <w:keepLines w:val="0"/>
        <w:pageBreakBefore w:val="0"/>
        <w:widowControl w:val="0"/>
        <w:kinsoku/>
        <w:wordWrap/>
        <w:overflowPunct/>
        <w:topLinePunct w:val="0"/>
        <w:autoSpaceDE/>
        <w:autoSpaceDN/>
        <w:bidi w:val="0"/>
        <w:adjustRightInd/>
        <w:snapToGrid w:val="0"/>
        <w:spacing w:before="0" w:beforeLines="0" w:after="0" w:line="240" w:lineRule="auto"/>
        <w:jc w:val="center"/>
        <w:textAlignment w:val="auto"/>
        <w:outlineLvl w:val="9"/>
        <w:rPr>
          <w:rFonts w:hint="eastAsia" w:ascii="Times New Roman" w:hAnsi="Times New Roman" w:cs="Times New Roman"/>
          <w:b/>
          <w:color w:val="auto"/>
          <w:sz w:val="21"/>
          <w:szCs w:val="16"/>
          <w:lang w:val="en-US" w:eastAsia="zh-CN"/>
        </w:rPr>
      </w:pPr>
      <w:r>
        <w:rPr>
          <w:rFonts w:hint="eastAsia" w:ascii="Times New Roman" w:hAnsi="Times New Roman" w:cs="Times New Roman"/>
          <w:b/>
          <w:color w:val="auto"/>
          <w:sz w:val="21"/>
          <w:szCs w:val="16"/>
          <w:lang w:val="en-US" w:eastAsia="zh-CN"/>
        </w:rPr>
        <w:t>表</w:t>
      </w:r>
      <w:r>
        <w:rPr>
          <w:rFonts w:hint="eastAsia" w:cs="Times New Roman"/>
          <w:b/>
          <w:color w:val="auto"/>
          <w:sz w:val="21"/>
          <w:szCs w:val="16"/>
          <w:lang w:val="en-US" w:eastAsia="zh-CN"/>
        </w:rPr>
        <w:t>4</w:t>
      </w:r>
      <w:r>
        <w:rPr>
          <w:rFonts w:hint="eastAsia" w:ascii="Times New Roman" w:hAnsi="Times New Roman" w:cs="Times New Roman"/>
          <w:b/>
          <w:color w:val="auto"/>
          <w:sz w:val="21"/>
          <w:szCs w:val="16"/>
          <w:lang w:val="en-US" w:eastAsia="zh-CN"/>
        </w:rPr>
        <w:t>.2-</w:t>
      </w:r>
      <w:r>
        <w:rPr>
          <w:rFonts w:hint="eastAsia" w:cs="Times New Roman"/>
          <w:b/>
          <w:color w:val="auto"/>
          <w:sz w:val="21"/>
          <w:szCs w:val="16"/>
          <w:lang w:val="en-US" w:eastAsia="zh-CN"/>
        </w:rPr>
        <w:t xml:space="preserve">4 </w:t>
      </w:r>
      <w:r>
        <w:rPr>
          <w:rFonts w:hint="eastAsia" w:ascii="Times New Roman" w:hAnsi="Times New Roman" w:cs="Times New Roman"/>
          <w:b/>
          <w:color w:val="auto"/>
          <w:sz w:val="21"/>
          <w:szCs w:val="16"/>
          <w:lang w:val="en-US" w:eastAsia="zh-CN"/>
        </w:rPr>
        <w:t>其他污染物环境质量现状（监测结果）表</w:t>
      </w:r>
    </w:p>
    <w:tbl>
      <w:tblPr>
        <w:tblStyle w:val="5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2196"/>
        <w:gridCol w:w="682"/>
        <w:gridCol w:w="1077"/>
        <w:gridCol w:w="1091"/>
        <w:gridCol w:w="1023"/>
        <w:gridCol w:w="792"/>
        <w:gridCol w:w="67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监测点位</w:t>
            </w:r>
          </w:p>
        </w:tc>
        <w:tc>
          <w:tcPr>
            <w:tcW w:w="12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污染物</w:t>
            </w:r>
          </w:p>
        </w:tc>
        <w:tc>
          <w:tcPr>
            <w:tcW w:w="37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平均时间</w:t>
            </w:r>
          </w:p>
        </w:tc>
        <w:tc>
          <w:tcPr>
            <w:tcW w:w="5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评价标准（µg/m³）</w:t>
            </w: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监测浓度范围（µg/m³）</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最大浓度占标率（%）</w:t>
            </w:r>
          </w:p>
        </w:tc>
        <w:tc>
          <w:tcPr>
            <w:tcW w:w="4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超标率（%）</w:t>
            </w:r>
          </w:p>
        </w:tc>
        <w:tc>
          <w:tcPr>
            <w:tcW w:w="37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b/>
                <w:bCs w:val="0"/>
                <w:color w:val="auto"/>
                <w:sz w:val="21"/>
                <w:szCs w:val="21"/>
                <w:vertAlign w:val="baseline"/>
                <w:lang w:val="en-US" w:eastAsia="zh-CN"/>
              </w:rPr>
            </w:pPr>
            <w:r>
              <w:rPr>
                <w:rFonts w:hint="default" w:ascii="Times New Roman" w:hAnsi="Times New Roman" w:eastAsia="宋体" w:cs="Times New Roman"/>
                <w:b/>
                <w:bCs w:val="0"/>
                <w:color w:val="auto"/>
                <w:sz w:val="21"/>
                <w:szCs w:val="21"/>
                <w:vertAlign w:val="baseline"/>
                <w:lang w:val="en-US" w:eastAsia="zh-CN"/>
              </w:rPr>
              <w:t>达标情况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本项目厂区下风向</w:t>
            </w:r>
            <w:r>
              <w:rPr>
                <w:rFonts w:hint="eastAsia"/>
                <w:color w:val="auto"/>
                <w:sz w:val="20"/>
                <w:szCs w:val="20"/>
                <w:lang w:val="en-US" w:eastAsia="zh-CN"/>
              </w:rPr>
              <w:t>10米处</w:t>
            </w:r>
          </w:p>
        </w:tc>
        <w:tc>
          <w:tcPr>
            <w:tcW w:w="12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b w:val="0"/>
                <w:bCs/>
                <w:color w:val="auto"/>
                <w:sz w:val="21"/>
                <w:szCs w:val="21"/>
              </w:rPr>
              <w:t>H</w:t>
            </w:r>
            <w:r>
              <w:rPr>
                <w:b w:val="0"/>
                <w:bCs/>
                <w:color w:val="auto"/>
                <w:sz w:val="21"/>
                <w:szCs w:val="21"/>
                <w:vertAlign w:val="subscript"/>
              </w:rPr>
              <w:t>2</w:t>
            </w:r>
            <w:r>
              <w:rPr>
                <w:b w:val="0"/>
                <w:bCs/>
                <w:color w:val="auto"/>
                <w:sz w:val="21"/>
                <w:szCs w:val="21"/>
              </w:rPr>
              <w:t>S</w:t>
            </w:r>
          </w:p>
        </w:tc>
        <w:tc>
          <w:tcPr>
            <w:tcW w:w="37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7d</w:t>
            </w:r>
          </w:p>
        </w:tc>
        <w:tc>
          <w:tcPr>
            <w:tcW w:w="5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10</w:t>
            </w: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1-2</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20%</w:t>
            </w:r>
          </w:p>
        </w:tc>
        <w:tc>
          <w:tcPr>
            <w:tcW w:w="4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0</w:t>
            </w:r>
          </w:p>
        </w:tc>
        <w:tc>
          <w:tcPr>
            <w:tcW w:w="37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eastAsia="宋体" w:cs="Times New Roman"/>
                <w:b w:val="0"/>
                <w:bCs/>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p>
        </w:tc>
        <w:tc>
          <w:tcPr>
            <w:tcW w:w="12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b w:val="0"/>
                <w:bCs/>
                <w:color w:val="auto"/>
                <w:sz w:val="21"/>
                <w:szCs w:val="21"/>
              </w:rPr>
              <w:t>NH</w:t>
            </w:r>
            <w:r>
              <w:rPr>
                <w:b w:val="0"/>
                <w:bCs/>
                <w:color w:val="auto"/>
                <w:sz w:val="21"/>
                <w:szCs w:val="21"/>
                <w:vertAlign w:val="subscript"/>
              </w:rPr>
              <w:t>3</w:t>
            </w:r>
          </w:p>
        </w:tc>
        <w:tc>
          <w:tcPr>
            <w:tcW w:w="37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7d</w:t>
            </w:r>
          </w:p>
        </w:tc>
        <w:tc>
          <w:tcPr>
            <w:tcW w:w="5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200</w:t>
            </w: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80-110</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55%</w:t>
            </w:r>
          </w:p>
        </w:tc>
        <w:tc>
          <w:tcPr>
            <w:tcW w:w="4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0</w:t>
            </w:r>
          </w:p>
        </w:tc>
        <w:tc>
          <w:tcPr>
            <w:tcW w:w="37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eastAsia="宋体" w:cs="Times New Roman"/>
                <w:b w:val="0"/>
                <w:bCs/>
                <w:color w:val="auto"/>
                <w:sz w:val="21"/>
                <w:szCs w:val="21"/>
                <w:vertAlign w:val="baseline"/>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p>
        </w:tc>
        <w:tc>
          <w:tcPr>
            <w:tcW w:w="12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臭气浓度（无量纲）</w:t>
            </w:r>
          </w:p>
        </w:tc>
        <w:tc>
          <w:tcPr>
            <w:tcW w:w="37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7d</w:t>
            </w:r>
          </w:p>
        </w:tc>
        <w:tc>
          <w:tcPr>
            <w:tcW w:w="5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w:t>
            </w: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Cs/>
                <w:color w:val="auto"/>
                <w:kern w:val="2"/>
                <w:sz w:val="18"/>
                <w:szCs w:val="18"/>
                <w:lang w:val="en-US" w:eastAsia="zh-CN" w:bidi="ar-SA"/>
              </w:rPr>
              <w:t>＜12</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w:t>
            </w:r>
          </w:p>
        </w:tc>
        <w:tc>
          <w:tcPr>
            <w:tcW w:w="4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0</w:t>
            </w:r>
          </w:p>
        </w:tc>
        <w:tc>
          <w:tcPr>
            <w:tcW w:w="37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eastAsia="宋体" w:cs="Times New Roman"/>
                <w:b w:val="0"/>
                <w:bCs/>
                <w:color w:val="auto"/>
                <w:sz w:val="21"/>
                <w:szCs w:val="21"/>
                <w:vertAlign w:val="baseline"/>
                <w:lang w:val="en-US" w:eastAsia="zh-CN"/>
              </w:rPr>
              <w:t>达标</w:t>
            </w:r>
          </w:p>
        </w:tc>
      </w:tr>
    </w:tbl>
    <w:p>
      <w:pPr>
        <w:keepNext w:val="0"/>
        <w:keepLines w:val="0"/>
        <w:pageBreakBefore w:val="0"/>
        <w:widowControl w:val="0"/>
        <w:kinsoku/>
        <w:wordWrap/>
        <w:overflowPunct/>
        <w:topLinePunct w:val="0"/>
        <w:autoSpaceDE/>
        <w:autoSpaceDN/>
        <w:bidi w:val="0"/>
        <w:adjustRightInd/>
        <w:snapToGrid/>
        <w:ind w:firstLine="480"/>
        <w:jc w:val="both"/>
        <w:textAlignment w:val="auto"/>
        <w:outlineLvl w:val="9"/>
        <w:rPr>
          <w:rFonts w:hint="eastAsia"/>
          <w:color w:val="auto"/>
        </w:rPr>
      </w:pPr>
      <w:r>
        <w:rPr>
          <w:color w:val="auto"/>
        </w:rPr>
        <w:t>由监测结果及评价</w:t>
      </w:r>
      <w:r>
        <w:rPr>
          <w:rFonts w:hint="eastAsia"/>
          <w:color w:val="auto"/>
        </w:rPr>
        <w:t>分析</w:t>
      </w:r>
      <w:r>
        <w:rPr>
          <w:color w:val="auto"/>
        </w:rPr>
        <w:t>可知</w:t>
      </w:r>
      <w:r>
        <w:rPr>
          <w:rFonts w:hint="eastAsia"/>
          <w:color w:val="auto"/>
        </w:rPr>
        <w:t>：评价区域内环境空气中的</w:t>
      </w:r>
      <w:r>
        <w:rPr>
          <w:color w:val="auto"/>
        </w:rPr>
        <w:t>NH</w:t>
      </w:r>
      <w:r>
        <w:rPr>
          <w:color w:val="auto"/>
          <w:vertAlign w:val="subscript"/>
        </w:rPr>
        <w:t>3</w:t>
      </w:r>
      <w:r>
        <w:rPr>
          <w:color w:val="auto"/>
        </w:rPr>
        <w:t>、</w:t>
      </w:r>
      <w:r>
        <w:rPr>
          <w:rFonts w:hint="eastAsia"/>
          <w:color w:val="auto"/>
        </w:rPr>
        <w:t>H</w:t>
      </w:r>
      <w:r>
        <w:rPr>
          <w:color w:val="auto"/>
          <w:vertAlign w:val="subscript"/>
        </w:rPr>
        <w:t>2</w:t>
      </w:r>
      <w:r>
        <w:rPr>
          <w:color w:val="auto"/>
        </w:rPr>
        <w:t>S</w:t>
      </w:r>
      <w:r>
        <w:rPr>
          <w:rFonts w:hint="eastAsia"/>
          <w:color w:val="auto"/>
        </w:rPr>
        <w:t>的浓度值均满足《环境影响评价技术导则</w:t>
      </w:r>
      <w:r>
        <w:rPr>
          <w:color w:val="auto"/>
        </w:rPr>
        <w:t xml:space="preserve">  </w:t>
      </w:r>
      <w:r>
        <w:rPr>
          <w:rFonts w:hint="eastAsia"/>
          <w:color w:val="auto"/>
        </w:rPr>
        <w:t>大气环境》（HJ2.2-2018）附录</w:t>
      </w:r>
      <w:r>
        <w:rPr>
          <w:color w:val="auto"/>
        </w:rPr>
        <w:t>D中</w:t>
      </w:r>
      <w:r>
        <w:rPr>
          <w:rFonts w:hint="eastAsia"/>
          <w:color w:val="auto"/>
        </w:rPr>
        <w:t>其他</w:t>
      </w:r>
      <w:r>
        <w:rPr>
          <w:color w:val="auto"/>
        </w:rPr>
        <w:t>污染物空气质量浓度参考限值</w:t>
      </w:r>
      <w:r>
        <w:rPr>
          <w:rFonts w:hint="eastAsia"/>
          <w:color w:val="auto"/>
        </w:rPr>
        <w:t>要求。</w:t>
      </w:r>
    </w:p>
    <w:p>
      <w:pPr>
        <w:pStyle w:val="8"/>
        <w:tabs>
          <w:tab w:val="clear" w:pos="0"/>
        </w:tabs>
        <w:rPr>
          <w:rFonts w:eastAsia="黑体"/>
          <w:color w:val="auto"/>
          <w:sz w:val="28"/>
          <w:szCs w:val="28"/>
        </w:rPr>
      </w:pPr>
      <w:bookmarkStart w:id="167" w:name="_Toc404692125"/>
      <w:bookmarkEnd w:id="167"/>
      <w:bookmarkStart w:id="168" w:name="_Toc458494401"/>
      <w:bookmarkEnd w:id="168"/>
      <w:bookmarkStart w:id="169" w:name="_Toc404807753"/>
      <w:bookmarkEnd w:id="169"/>
      <w:bookmarkStart w:id="170" w:name="_Toc399428150"/>
      <w:bookmarkEnd w:id="170"/>
      <w:bookmarkStart w:id="171" w:name="_Toc404592738"/>
      <w:bookmarkEnd w:id="171"/>
      <w:bookmarkStart w:id="172" w:name="_Toc24548"/>
      <w:bookmarkEnd w:id="172"/>
      <w:bookmarkStart w:id="173" w:name="_Toc404347207"/>
      <w:bookmarkEnd w:id="173"/>
      <w:bookmarkStart w:id="174" w:name="_Toc23729"/>
      <w:bookmarkEnd w:id="174"/>
      <w:bookmarkStart w:id="175" w:name="_Toc16217"/>
      <w:bookmarkEnd w:id="175"/>
      <w:bookmarkStart w:id="176" w:name="_Toc360778937"/>
      <w:r>
        <w:rPr>
          <w:rFonts w:eastAsia="黑体"/>
          <w:color w:val="auto"/>
          <w:sz w:val="28"/>
          <w:szCs w:val="28"/>
        </w:rPr>
        <w:t>地表水环境质量现状监测及评价</w:t>
      </w:r>
      <w:bookmarkEnd w:id="176"/>
    </w:p>
    <w:p>
      <w:pPr>
        <w:keepNext w:val="0"/>
        <w:keepLines w:val="0"/>
        <w:pageBreakBefore w:val="0"/>
        <w:widowControl w:val="0"/>
        <w:kinsoku/>
        <w:wordWrap/>
        <w:overflowPunct/>
        <w:topLinePunct w:val="0"/>
        <w:bidi w:val="0"/>
        <w:snapToGrid/>
        <w:spacing w:line="360" w:lineRule="auto"/>
        <w:ind w:firstLine="453" w:firstLineChars="189"/>
        <w:rPr>
          <w:rFonts w:hint="default" w:ascii="Times New Roman" w:hAnsi="Times New Roman" w:eastAsia="宋体" w:cs="Times New Roman"/>
          <w:color w:val="auto"/>
          <w:sz w:val="24"/>
          <w:szCs w:val="22"/>
          <w:lang w:val="en-US" w:eastAsia="zh-CN"/>
        </w:rPr>
      </w:pPr>
      <w:r>
        <w:rPr>
          <w:rFonts w:hint="eastAsia"/>
          <w:color w:val="auto"/>
          <w:lang w:val="en-US" w:eastAsia="zh-CN"/>
        </w:rPr>
        <w:t>距项目建设地点最近地表水体为魏城河，魏城河为</w:t>
      </w:r>
      <w:r>
        <w:rPr>
          <w:rFonts w:hint="default" w:ascii="Times New Roman" w:hAnsi="Times New Roman" w:cs="Times New Roman"/>
          <w:color w:val="auto"/>
        </w:rPr>
        <w:t>梓江一级支流</w:t>
      </w:r>
      <w:r>
        <w:rPr>
          <w:rFonts w:hint="eastAsia" w:ascii="Times New Roman" w:hAnsi="Times New Roman" w:cs="Times New Roman"/>
          <w:color w:val="auto"/>
          <w:lang w:eastAsia="zh-CN"/>
        </w:rPr>
        <w:t>，</w:t>
      </w:r>
      <w:r>
        <w:rPr>
          <w:rFonts w:hint="default" w:ascii="Times New Roman" w:hAnsi="Times New Roman" w:eastAsia="宋体" w:cs="Times New Roman"/>
          <w:color w:val="auto"/>
          <w:sz w:val="24"/>
          <w:szCs w:val="22"/>
          <w:lang w:val="en-US" w:eastAsia="zh-CN"/>
        </w:rPr>
        <w:t>根据《</w:t>
      </w:r>
      <w:r>
        <w:rPr>
          <w:rFonts w:hint="eastAsia"/>
          <w:color w:val="auto"/>
        </w:rPr>
        <w:t>20</w:t>
      </w:r>
      <w:r>
        <w:rPr>
          <w:rFonts w:hint="eastAsia"/>
          <w:color w:val="auto"/>
          <w:lang w:val="en-US" w:eastAsia="zh-CN"/>
        </w:rPr>
        <w:t>20</w:t>
      </w:r>
      <w:r>
        <w:rPr>
          <w:rFonts w:hint="eastAsia"/>
          <w:color w:val="auto"/>
        </w:rPr>
        <w:t>年绵阳市环境质量状况</w:t>
      </w:r>
      <w:r>
        <w:rPr>
          <w:rFonts w:hint="eastAsia"/>
          <w:color w:val="auto"/>
          <w:lang w:val="en-US" w:eastAsia="zh-CN"/>
        </w:rPr>
        <w:t>年报</w:t>
      </w:r>
      <w:r>
        <w:rPr>
          <w:rFonts w:hint="default" w:ascii="Times New Roman" w:hAnsi="Times New Roman" w:eastAsia="宋体" w:cs="Times New Roman"/>
          <w:color w:val="auto"/>
          <w:sz w:val="24"/>
          <w:szCs w:val="22"/>
          <w:lang w:val="en-US" w:eastAsia="zh-CN"/>
        </w:rPr>
        <w:t>》，20</w:t>
      </w:r>
      <w:r>
        <w:rPr>
          <w:rFonts w:hint="eastAsia" w:ascii="Times New Roman" w:hAnsi="Times New Roman" w:eastAsia="宋体" w:cs="Times New Roman"/>
          <w:color w:val="auto"/>
          <w:sz w:val="24"/>
          <w:szCs w:val="22"/>
          <w:lang w:val="en-US" w:eastAsia="zh-CN"/>
        </w:rPr>
        <w:t>20</w:t>
      </w:r>
      <w:r>
        <w:rPr>
          <w:rFonts w:hint="default" w:ascii="Times New Roman" w:hAnsi="Times New Roman" w:eastAsia="宋体" w:cs="Times New Roman"/>
          <w:color w:val="auto"/>
          <w:sz w:val="24"/>
          <w:szCs w:val="22"/>
          <w:lang w:val="en-US" w:eastAsia="zh-CN"/>
        </w:rPr>
        <w:t>年绵阳市地表水36个断面中，Ⅰ-Ⅲ类（优良水体）断面36个，地表水优良率100%。河流中，涪江、通口河、梓江、安昌河、平通河、土门河整体水质优；凯江、芙蓉溪水质良。湖库中，鲁班水库年均水质Ⅱ类，呈中营养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sz w:val="24"/>
          <w:szCs w:val="24"/>
          <w:u w:val="none" w:color="auto"/>
          <w:lang w:val="en-US" w:eastAsia="zh-CN"/>
        </w:rPr>
      </w:pPr>
      <w:r>
        <w:rPr>
          <w:rFonts w:hint="eastAsia"/>
          <w:color w:val="auto"/>
          <w:lang w:val="en-US" w:eastAsia="zh-CN"/>
        </w:rPr>
        <w:t>同时，</w:t>
      </w:r>
      <w:r>
        <w:rPr>
          <w:rFonts w:hint="eastAsia" w:ascii="宋体" w:hAnsi="宋体" w:eastAsia="宋体" w:cs="宋体"/>
          <w:color w:val="auto"/>
          <w:sz w:val="24"/>
          <w:szCs w:val="24"/>
          <w:u w:val="none" w:color="auto"/>
          <w:lang w:val="en-US" w:eastAsia="zh-CN"/>
        </w:rPr>
        <w:t>根据绵阳市生态环境局发布的2021年1月绵阳市地表水水质月报，对魏城河水质状况统计见下表。</w:t>
      </w:r>
    </w:p>
    <w:p>
      <w:pPr>
        <w:pStyle w:val="2"/>
        <w:keepNext w:val="0"/>
        <w:keepLines w:val="0"/>
        <w:pageBreakBefore w:val="0"/>
        <w:widowControl w:val="0"/>
        <w:kinsoku/>
        <w:wordWrap/>
        <w:overflowPunct/>
        <w:topLinePunct w:val="0"/>
        <w:autoSpaceDE/>
        <w:autoSpaceDN/>
        <w:bidi w:val="0"/>
        <w:adjustRightInd/>
        <w:snapToGrid/>
        <w:spacing w:before="0" w:after="0"/>
        <w:jc w:val="center"/>
        <w:textAlignment w:val="auto"/>
        <w:rPr>
          <w:rFonts w:hint="eastAsia"/>
          <w:b/>
          <w:bCs/>
          <w:color w:val="auto"/>
          <w:sz w:val="21"/>
          <w:szCs w:val="16"/>
          <w:lang w:val="en-US" w:eastAsia="zh-CN"/>
        </w:rPr>
      </w:pPr>
      <w:r>
        <w:rPr>
          <w:rFonts w:hint="eastAsia"/>
          <w:b/>
          <w:bCs/>
          <w:color w:val="auto"/>
          <w:sz w:val="21"/>
          <w:szCs w:val="16"/>
          <w:lang w:val="en-US" w:eastAsia="zh-CN"/>
        </w:rPr>
        <w:t>表4.2-5  2021年1月魏城河水质评价结果统计表</w:t>
      </w:r>
    </w:p>
    <w:tbl>
      <w:tblPr>
        <w:tblStyle w:val="5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left w:w="108" w:type="dxa"/>
          <w:right w:w="108" w:type="dxa"/>
        </w:tblCellMar>
      </w:tblPr>
      <w:tblGrid>
        <w:gridCol w:w="1028"/>
        <w:gridCol w:w="1350"/>
        <w:gridCol w:w="1200"/>
        <w:gridCol w:w="1405"/>
        <w:gridCol w:w="886"/>
        <w:gridCol w:w="845"/>
        <w:gridCol w:w="832"/>
        <w:gridCol w:w="145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1028"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r>
              <w:rPr>
                <w:rFonts w:hint="eastAsia" w:ascii="宋体" w:hAnsi="宋体" w:eastAsia="宋体" w:cs="宋体"/>
                <w:b/>
                <w:bCs/>
                <w:i w:val="0"/>
                <w:caps w:val="0"/>
                <w:color w:val="auto"/>
                <w:spacing w:val="0"/>
                <w:sz w:val="21"/>
                <w:szCs w:val="21"/>
                <w:shd w:val="clear" w:color="auto" w:fill="FFFFFF"/>
              </w:rPr>
              <w:t>河流/湖库名称</w:t>
            </w:r>
          </w:p>
        </w:tc>
        <w:tc>
          <w:tcPr>
            <w:tcW w:w="1350"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r>
              <w:rPr>
                <w:rFonts w:hint="eastAsia" w:ascii="宋体" w:hAnsi="宋体" w:eastAsia="宋体" w:cs="宋体"/>
                <w:b/>
                <w:bCs/>
                <w:i w:val="0"/>
                <w:caps w:val="0"/>
                <w:color w:val="auto"/>
                <w:spacing w:val="0"/>
                <w:sz w:val="21"/>
                <w:szCs w:val="21"/>
                <w:shd w:val="clear" w:color="auto" w:fill="FFFFFF"/>
              </w:rPr>
              <w:t>断面名称</w:t>
            </w:r>
          </w:p>
        </w:tc>
        <w:tc>
          <w:tcPr>
            <w:tcW w:w="1200"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r>
              <w:rPr>
                <w:rFonts w:hint="eastAsia" w:ascii="宋体" w:hAnsi="宋体" w:eastAsia="宋体" w:cs="宋体"/>
                <w:b/>
                <w:bCs/>
                <w:i w:val="0"/>
                <w:caps w:val="0"/>
                <w:color w:val="auto"/>
                <w:spacing w:val="0"/>
                <w:sz w:val="21"/>
                <w:szCs w:val="21"/>
                <w:shd w:val="clear" w:color="auto" w:fill="FFFFFF"/>
              </w:rPr>
              <w:t>断面性质</w:t>
            </w:r>
          </w:p>
        </w:tc>
        <w:tc>
          <w:tcPr>
            <w:tcW w:w="1405" w:type="dxa"/>
            <w:noWrap w:val="0"/>
            <w:vAlign w:val="top"/>
          </w:tcPr>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rPr>
              <w:t>划定</w:t>
            </w:r>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rPr>
              <w:t>类别</w:t>
            </w:r>
          </w:p>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p>
        </w:tc>
        <w:tc>
          <w:tcPr>
            <w:tcW w:w="886" w:type="dxa"/>
            <w:noWrap w:val="0"/>
            <w:vAlign w:val="top"/>
          </w:tcPr>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上月</w:t>
            </w:r>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类别</w:t>
            </w:r>
          </w:p>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p>
        </w:tc>
        <w:tc>
          <w:tcPr>
            <w:tcW w:w="845" w:type="dxa"/>
            <w:noWrap w:val="0"/>
            <w:vAlign w:val="top"/>
          </w:tcPr>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上年</w:t>
            </w:r>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同期</w:t>
            </w:r>
          </w:p>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p>
        </w:tc>
        <w:tc>
          <w:tcPr>
            <w:tcW w:w="832" w:type="dxa"/>
            <w:noWrap w:val="0"/>
            <w:vAlign w:val="top"/>
          </w:tcPr>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本月</w:t>
            </w:r>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cs="Times New Roman"/>
                <w:b/>
                <w:bCs/>
                <w:i w:val="0"/>
                <w:caps w:val="0"/>
                <w:color w:val="auto"/>
                <w:spacing w:val="0"/>
                <w:sz w:val="21"/>
                <w:szCs w:val="21"/>
              </w:rPr>
            </w:pPr>
            <w:r>
              <w:rPr>
                <w:rFonts w:hint="eastAsia" w:ascii="宋体" w:hAnsi="宋体" w:eastAsia="宋体" w:cs="宋体"/>
                <w:b/>
                <w:bCs/>
                <w:i w:val="0"/>
                <w:caps w:val="0"/>
                <w:color w:val="auto"/>
                <w:spacing w:val="0"/>
                <w:sz w:val="21"/>
                <w:szCs w:val="21"/>
                <w:shd w:val="clear" w:color="auto" w:fill="FFFFFF"/>
              </w:rPr>
              <w:t>类别</w:t>
            </w:r>
          </w:p>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p>
        </w:tc>
        <w:tc>
          <w:tcPr>
            <w:tcW w:w="1457"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eastAsia"/>
                <w:b/>
                <w:bCs/>
                <w:color w:val="auto"/>
                <w:vertAlign w:val="baseline"/>
                <w:lang w:val="en-US" w:eastAsia="zh-CN"/>
              </w:rPr>
            </w:pPr>
            <w:r>
              <w:rPr>
                <w:rFonts w:hint="eastAsia" w:ascii="宋体" w:hAnsi="宋体" w:eastAsia="宋体" w:cs="宋体"/>
                <w:b/>
                <w:bCs/>
                <w:i w:val="0"/>
                <w:caps w:val="0"/>
                <w:color w:val="auto"/>
                <w:spacing w:val="0"/>
                <w:sz w:val="21"/>
                <w:szCs w:val="21"/>
                <w:shd w:val="clear" w:color="auto" w:fill="FFFFFF"/>
              </w:rPr>
              <w:t>主要污染指标/超标倍数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left w:w="108" w:type="dxa"/>
            <w:right w:w="108" w:type="dxa"/>
          </w:tblCellMar>
        </w:tblPrEx>
        <w:tc>
          <w:tcPr>
            <w:tcW w:w="1028"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eastAsia"/>
                <w:color w:val="auto"/>
                <w:vertAlign w:val="baseline"/>
                <w:lang w:val="en-US" w:eastAsia="zh-CN"/>
              </w:rPr>
            </w:pPr>
            <w:r>
              <w:rPr>
                <w:rFonts w:hint="eastAsia" w:ascii="宋体" w:hAnsi="宋体" w:eastAsia="宋体" w:cs="宋体"/>
                <w:i w:val="0"/>
                <w:caps w:val="0"/>
                <w:color w:val="auto"/>
                <w:spacing w:val="0"/>
                <w:sz w:val="21"/>
                <w:szCs w:val="21"/>
                <w:shd w:val="clear" w:color="auto" w:fill="FFFFFF"/>
              </w:rPr>
              <w:t>魏城河</w:t>
            </w:r>
          </w:p>
        </w:tc>
        <w:tc>
          <w:tcPr>
            <w:tcW w:w="1350"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eastAsia"/>
                <w:color w:val="auto"/>
                <w:vertAlign w:val="baseline"/>
                <w:lang w:val="en-US" w:eastAsia="zh-CN"/>
              </w:rPr>
            </w:pPr>
            <w:r>
              <w:rPr>
                <w:rFonts w:hint="eastAsia" w:ascii="宋体" w:hAnsi="宋体" w:eastAsia="宋体" w:cs="宋体"/>
                <w:i w:val="0"/>
                <w:caps w:val="0"/>
                <w:color w:val="auto"/>
                <w:spacing w:val="0"/>
                <w:sz w:val="21"/>
                <w:szCs w:val="21"/>
                <w:shd w:val="clear" w:color="auto" w:fill="FFFFFF"/>
              </w:rPr>
              <w:t>魏城河河口</w:t>
            </w:r>
          </w:p>
        </w:tc>
        <w:tc>
          <w:tcPr>
            <w:tcW w:w="1200"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eastAsia"/>
                <w:color w:val="auto"/>
                <w:vertAlign w:val="baseline"/>
                <w:lang w:val="en-US" w:eastAsia="zh-CN"/>
              </w:rPr>
            </w:pPr>
            <w:r>
              <w:rPr>
                <w:rFonts w:hint="eastAsia" w:ascii="宋体" w:hAnsi="宋体" w:eastAsia="宋体" w:cs="宋体"/>
                <w:i w:val="0"/>
                <w:caps w:val="0"/>
                <w:color w:val="auto"/>
                <w:spacing w:val="0"/>
                <w:sz w:val="21"/>
                <w:szCs w:val="21"/>
                <w:shd w:val="clear" w:color="auto" w:fill="FFFFFF"/>
              </w:rPr>
              <w:t>科研趋势</w:t>
            </w:r>
          </w:p>
        </w:tc>
        <w:tc>
          <w:tcPr>
            <w:tcW w:w="1405"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eastAsia"/>
                <w:color w:val="auto"/>
                <w:vertAlign w:val="baseline"/>
                <w:lang w:val="en-US" w:eastAsia="zh-CN"/>
              </w:rPr>
            </w:pPr>
            <w:r>
              <w:rPr>
                <w:rFonts w:hint="default" w:ascii="Times New Roman" w:hAnsi="Times New Roman" w:eastAsia="宋体" w:cs="Times New Roman"/>
                <w:color w:val="auto"/>
                <w:sz w:val="24"/>
                <w:szCs w:val="22"/>
                <w:lang w:val="en-US" w:eastAsia="zh-CN"/>
              </w:rPr>
              <w:t>Ⅲ</w:t>
            </w:r>
          </w:p>
        </w:tc>
        <w:tc>
          <w:tcPr>
            <w:tcW w:w="886"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default"/>
                <w:color w:val="auto"/>
                <w:vertAlign w:val="baseline"/>
                <w:lang w:val="en-US" w:eastAsia="zh-CN"/>
              </w:rPr>
            </w:pPr>
            <w:r>
              <w:rPr>
                <w:rFonts w:hint="eastAsia"/>
                <w:color w:val="auto"/>
                <w:vertAlign w:val="baseline"/>
                <w:lang w:val="en-US" w:eastAsia="zh-CN"/>
              </w:rPr>
              <w:t>/</w:t>
            </w:r>
          </w:p>
        </w:tc>
        <w:tc>
          <w:tcPr>
            <w:tcW w:w="845"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default"/>
                <w:color w:val="auto"/>
                <w:vertAlign w:val="baseline"/>
                <w:lang w:val="en-US" w:eastAsia="zh-CN"/>
              </w:rPr>
            </w:pPr>
            <w:r>
              <w:rPr>
                <w:rFonts w:hint="eastAsia"/>
                <w:color w:val="auto"/>
                <w:vertAlign w:val="baseline"/>
                <w:lang w:val="en-US" w:eastAsia="zh-CN"/>
              </w:rPr>
              <w:t>/</w:t>
            </w:r>
          </w:p>
        </w:tc>
        <w:tc>
          <w:tcPr>
            <w:tcW w:w="832"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jc w:val="center"/>
              <w:textAlignment w:val="auto"/>
              <w:rPr>
                <w:rFonts w:hint="eastAsia"/>
                <w:color w:val="auto"/>
                <w:vertAlign w:val="baseline"/>
                <w:lang w:val="en-US" w:eastAsia="zh-CN"/>
              </w:rPr>
            </w:pPr>
            <w:r>
              <w:rPr>
                <w:rFonts w:hint="default" w:ascii="Times New Roman" w:hAnsi="Times New Roman" w:eastAsia="宋体" w:cs="Times New Roman"/>
                <w:color w:val="auto"/>
                <w:sz w:val="24"/>
                <w:szCs w:val="22"/>
                <w:lang w:val="en-US" w:eastAsia="zh-CN"/>
              </w:rPr>
              <w:t>Ⅱ</w:t>
            </w:r>
          </w:p>
        </w:tc>
        <w:tc>
          <w:tcPr>
            <w:tcW w:w="1457" w:type="dxa"/>
            <w:noWrap w:val="0"/>
            <w:vAlign w:val="top"/>
          </w:tcPr>
          <w:p>
            <w:pPr>
              <w:pStyle w:val="2"/>
              <w:keepNext w:val="0"/>
              <w:keepLines w:val="0"/>
              <w:pageBreakBefore w:val="0"/>
              <w:kinsoku/>
              <w:wordWrap/>
              <w:overflowPunct/>
              <w:topLinePunct w:val="0"/>
              <w:autoSpaceDE/>
              <w:autoSpaceDN/>
              <w:bidi w:val="0"/>
              <w:adjustRightInd/>
              <w:snapToGrid/>
              <w:spacing w:before="0" w:after="0" w:line="0" w:lineRule="atLeast"/>
              <w:ind w:firstLineChars="0"/>
              <w:textAlignment w:val="auto"/>
              <w:rPr>
                <w:rFonts w:hint="default"/>
                <w:color w:val="auto"/>
                <w:vertAlign w:val="baseline"/>
                <w:lang w:val="en-US" w:eastAsia="zh-CN"/>
              </w:rPr>
            </w:pPr>
            <w:r>
              <w:rPr>
                <w:rFonts w:hint="eastAsia"/>
                <w:color w:val="auto"/>
                <w:vertAlign w:val="baseline"/>
                <w:lang w:val="en-US" w:eastAsia="zh-CN"/>
              </w:rPr>
              <w:t>/</w:t>
            </w:r>
          </w:p>
        </w:tc>
      </w:tr>
    </w:tbl>
    <w:p>
      <w:pPr>
        <w:pStyle w:val="265"/>
        <w:ind w:left="0" w:leftChars="0" w:firstLine="480" w:firstLineChars="200"/>
        <w:rPr>
          <w:rFonts w:hint="default"/>
          <w:color w:val="auto"/>
          <w:lang w:val="en-US" w:eastAsia="zh-CN"/>
        </w:rPr>
      </w:pPr>
      <w:r>
        <w:rPr>
          <w:rFonts w:hint="default"/>
          <w:color w:val="auto"/>
          <w:lang w:val="en-US" w:eastAsia="zh-CN"/>
        </w:rPr>
        <w:t>根据上表地表水现状监测结果可：本项目</w:t>
      </w:r>
      <w:r>
        <w:rPr>
          <w:rFonts w:hint="eastAsia"/>
          <w:color w:val="auto"/>
          <w:lang w:val="en-US" w:eastAsia="zh-CN"/>
        </w:rPr>
        <w:t>东侧魏城河</w:t>
      </w:r>
      <w:r>
        <w:rPr>
          <w:rFonts w:hint="default"/>
          <w:color w:val="auto"/>
          <w:lang w:val="en-US" w:eastAsia="zh-CN"/>
        </w:rPr>
        <w:t>水质各监测指标均满足《地表水环境质量标准》（GB3838-2002）Ⅲ类水域标准要求，由此可见，本项目所在地地表水环境质量良好。</w:t>
      </w:r>
    </w:p>
    <w:p>
      <w:pPr>
        <w:pStyle w:val="8"/>
        <w:tabs>
          <w:tab w:val="clear" w:pos="0"/>
        </w:tabs>
        <w:rPr>
          <w:rFonts w:eastAsia="黑体"/>
          <w:color w:val="auto"/>
          <w:sz w:val="28"/>
          <w:szCs w:val="28"/>
        </w:rPr>
      </w:pPr>
      <w:r>
        <w:rPr>
          <w:rFonts w:eastAsia="黑体"/>
          <w:color w:val="auto"/>
          <w:sz w:val="28"/>
          <w:szCs w:val="28"/>
        </w:rPr>
        <w:t>地下水质量现状监测及评价</w:t>
      </w:r>
    </w:p>
    <w:p>
      <w:pPr>
        <w:pStyle w:val="9"/>
        <w:rPr>
          <w:color w:val="auto"/>
        </w:rPr>
      </w:pPr>
      <w:r>
        <w:rPr>
          <w:rFonts w:hint="eastAsia"/>
          <w:color w:val="auto"/>
        </w:rPr>
        <w:t>地下水水质监测及评价</w:t>
      </w:r>
    </w:p>
    <w:p>
      <w:pPr>
        <w:ind w:firstLine="480"/>
        <w:rPr>
          <w:color w:val="auto"/>
        </w:rPr>
      </w:pPr>
      <w:r>
        <w:rPr>
          <w:color w:val="auto"/>
        </w:rPr>
        <w:t>为了解本项目所在</w:t>
      </w:r>
      <w:r>
        <w:rPr>
          <w:rFonts w:hint="eastAsia"/>
          <w:color w:val="auto"/>
        </w:rPr>
        <w:t>区域</w:t>
      </w:r>
      <w:r>
        <w:rPr>
          <w:color w:val="auto"/>
        </w:rPr>
        <w:t>地下水水质情况，本次评价委托</w:t>
      </w:r>
      <w:r>
        <w:rPr>
          <w:rFonts w:hint="eastAsia"/>
          <w:color w:val="auto"/>
        </w:rPr>
        <w:t>四川良测检测技术有限公司</w:t>
      </w:r>
      <w:r>
        <w:rPr>
          <w:color w:val="auto"/>
        </w:rPr>
        <w:t>于2020年</w:t>
      </w:r>
      <w:r>
        <w:rPr>
          <w:rFonts w:hint="eastAsia"/>
          <w:color w:val="auto"/>
          <w:lang w:val="en-US" w:eastAsia="zh-CN"/>
        </w:rPr>
        <w:t>12</w:t>
      </w:r>
      <w:r>
        <w:rPr>
          <w:color w:val="auto"/>
        </w:rPr>
        <w:t>月</w:t>
      </w:r>
      <w:r>
        <w:rPr>
          <w:rFonts w:hint="eastAsia"/>
          <w:color w:val="auto"/>
          <w:lang w:val="en-US" w:eastAsia="zh-CN"/>
        </w:rPr>
        <w:t>25</w:t>
      </w:r>
      <w:r>
        <w:rPr>
          <w:color w:val="auto"/>
        </w:rPr>
        <w:t>日对项目</w:t>
      </w:r>
      <w:r>
        <w:rPr>
          <w:rFonts w:hint="eastAsia"/>
          <w:color w:val="auto"/>
        </w:rPr>
        <w:t>周</w:t>
      </w:r>
      <w:r>
        <w:rPr>
          <w:color w:val="auto"/>
        </w:rPr>
        <w:t>边地下水水质进行监测。</w:t>
      </w:r>
    </w:p>
    <w:p>
      <w:pPr>
        <w:ind w:firstLine="482"/>
        <w:rPr>
          <w:b/>
          <w:color w:val="auto"/>
        </w:rPr>
      </w:pPr>
      <w:r>
        <w:rPr>
          <w:b/>
          <w:color w:val="auto"/>
        </w:rPr>
        <w:t>1、监测断面</w:t>
      </w:r>
    </w:p>
    <w:p>
      <w:pPr>
        <w:ind w:firstLine="480"/>
        <w:rPr>
          <w:rFonts w:hint="eastAsia"/>
          <w:color w:val="auto"/>
        </w:rPr>
      </w:pPr>
      <w:r>
        <w:rPr>
          <w:rFonts w:hint="eastAsia"/>
          <w:color w:val="auto"/>
        </w:rPr>
        <w:t>本次监测设6个监测点（3个地下水采样点，6个水位采样点），</w:t>
      </w:r>
      <w:r>
        <w:rPr>
          <w:color w:val="auto"/>
        </w:rPr>
        <w:t>项目地</w:t>
      </w:r>
      <w:r>
        <w:rPr>
          <w:rFonts w:hint="eastAsia"/>
          <w:color w:val="auto"/>
        </w:rPr>
        <w:t>下</w:t>
      </w:r>
      <w:r>
        <w:rPr>
          <w:color w:val="auto"/>
        </w:rPr>
        <w:t>水监测</w:t>
      </w:r>
      <w:r>
        <w:rPr>
          <w:rFonts w:hint="eastAsia"/>
          <w:color w:val="auto"/>
        </w:rPr>
        <w:t>点</w:t>
      </w:r>
      <w:r>
        <w:rPr>
          <w:color w:val="auto"/>
        </w:rPr>
        <w:t>位</w:t>
      </w:r>
      <w:r>
        <w:rPr>
          <w:rFonts w:hint="eastAsia"/>
          <w:color w:val="auto"/>
        </w:rPr>
        <w:t>设</w:t>
      </w:r>
      <w:r>
        <w:rPr>
          <w:color w:val="auto"/>
        </w:rPr>
        <w:t>置见表</w:t>
      </w:r>
      <w:r>
        <w:rPr>
          <w:rFonts w:hint="eastAsia"/>
          <w:color w:val="auto"/>
        </w:rPr>
        <w:t>4</w:t>
      </w:r>
      <w:r>
        <w:rPr>
          <w:color w:val="auto"/>
        </w:rPr>
        <w:t>.2-</w:t>
      </w:r>
      <w:r>
        <w:rPr>
          <w:rFonts w:hint="eastAsia"/>
          <w:color w:val="auto"/>
          <w:lang w:val="en-US" w:eastAsia="zh-CN"/>
        </w:rPr>
        <w:t>6</w:t>
      </w:r>
      <w:r>
        <w:rPr>
          <w:color w:val="auto"/>
        </w:rPr>
        <w:t>。</w:t>
      </w:r>
    </w:p>
    <w:p>
      <w:pPr>
        <w:pStyle w:val="166"/>
        <w:spacing w:before="120" w:beforeLines="0"/>
        <w:rPr>
          <w:rFonts w:ascii="黑体" w:eastAsia="黑体" w:cs="黑体"/>
          <w:color w:val="auto"/>
          <w:sz w:val="2"/>
          <w:szCs w:val="2"/>
        </w:rPr>
      </w:pPr>
      <w:r>
        <w:rPr>
          <w:rFonts w:hint="eastAsia"/>
          <w:color w:val="auto"/>
        </w:rPr>
        <w:t>表4</w:t>
      </w:r>
      <w:r>
        <w:rPr>
          <w:color w:val="auto"/>
        </w:rPr>
        <w:t>.2-</w:t>
      </w:r>
      <w:r>
        <w:rPr>
          <w:rFonts w:hint="eastAsia"/>
          <w:color w:val="auto"/>
          <w:lang w:val="en-US" w:eastAsia="zh-CN"/>
        </w:rPr>
        <w:t xml:space="preserve">6 </w:t>
      </w:r>
      <w:r>
        <w:rPr>
          <w:rFonts w:hint="eastAsia"/>
          <w:color w:val="auto"/>
        </w:rPr>
        <w:t>地下水现状监测点位</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742"/>
        <w:gridCol w:w="4434"/>
        <w:gridCol w:w="2611"/>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b/>
                <w:color w:val="auto"/>
                <w:szCs w:val="20"/>
              </w:rPr>
            </w:pPr>
            <w:r>
              <w:rPr>
                <w:b/>
                <w:color w:val="auto"/>
                <w:szCs w:val="20"/>
              </w:rPr>
              <w:t>点位编号</w:t>
            </w:r>
          </w:p>
        </w:tc>
        <w:tc>
          <w:tcPr>
            <w:tcW w:w="4434" w:type="dxa"/>
            <w:noWrap w:val="0"/>
            <w:vAlign w:val="center"/>
          </w:tcPr>
          <w:p>
            <w:pPr>
              <w:pStyle w:val="110"/>
              <w:rPr>
                <w:b/>
                <w:color w:val="auto"/>
                <w:szCs w:val="20"/>
              </w:rPr>
            </w:pPr>
            <w:r>
              <w:rPr>
                <w:b/>
                <w:color w:val="auto"/>
                <w:szCs w:val="20"/>
              </w:rPr>
              <w:t>取样点位置</w:t>
            </w:r>
          </w:p>
        </w:tc>
        <w:tc>
          <w:tcPr>
            <w:tcW w:w="2611" w:type="dxa"/>
            <w:noWrap w:val="0"/>
            <w:vAlign w:val="center"/>
          </w:tcPr>
          <w:p>
            <w:pPr>
              <w:pStyle w:val="110"/>
              <w:rPr>
                <w:b/>
                <w:color w:val="auto"/>
                <w:szCs w:val="20"/>
              </w:rPr>
            </w:pPr>
            <w:r>
              <w:rPr>
                <w:rFonts w:hint="eastAsia"/>
                <w:b/>
                <w:color w:val="auto"/>
                <w:szCs w:val="20"/>
              </w:rPr>
              <w:t>备注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Ⅰ</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1#项目西侧350m处农户家</w:t>
            </w:r>
          </w:p>
        </w:tc>
        <w:tc>
          <w:tcPr>
            <w:tcW w:w="2611" w:type="dxa"/>
            <w:vMerge w:val="restart"/>
            <w:noWrap w:val="0"/>
            <w:vAlign w:val="center"/>
          </w:tcPr>
          <w:p>
            <w:pPr>
              <w:pStyle w:val="110"/>
              <w:rPr>
                <w:color w:val="auto"/>
                <w:szCs w:val="20"/>
              </w:rPr>
            </w:pPr>
            <w:r>
              <w:rPr>
                <w:color w:val="auto"/>
                <w:szCs w:val="20"/>
              </w:rPr>
              <w:t>水质</w:t>
            </w:r>
            <w:r>
              <w:rPr>
                <w:rFonts w:hint="eastAsia"/>
                <w:color w:val="auto"/>
                <w:szCs w:val="20"/>
              </w:rPr>
              <w:t>、</w:t>
            </w:r>
            <w:r>
              <w:rPr>
                <w:color w:val="auto"/>
                <w:szCs w:val="20"/>
              </w:rPr>
              <w:t>水位监测点</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Ⅱ</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2#项目东北侧500m处农户家</w:t>
            </w:r>
          </w:p>
        </w:tc>
        <w:tc>
          <w:tcPr>
            <w:tcW w:w="2611" w:type="dxa"/>
            <w:vMerge w:val="continue"/>
            <w:noWrap w:val="0"/>
            <w:vAlign w:val="center"/>
          </w:tcPr>
          <w:p>
            <w:pPr>
              <w:pStyle w:val="110"/>
              <w:rPr>
                <w:color w:val="auto"/>
                <w:szCs w:val="20"/>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Ⅲ</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3#项目西南侧400m处农户家</w:t>
            </w:r>
          </w:p>
        </w:tc>
        <w:tc>
          <w:tcPr>
            <w:tcW w:w="2611" w:type="dxa"/>
            <w:vMerge w:val="continue"/>
            <w:noWrap w:val="0"/>
            <w:vAlign w:val="center"/>
          </w:tcPr>
          <w:p>
            <w:pPr>
              <w:pStyle w:val="110"/>
              <w:rPr>
                <w:color w:val="auto"/>
                <w:szCs w:val="20"/>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Ⅳ</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4#项目东侧420m处农户家</w:t>
            </w:r>
          </w:p>
        </w:tc>
        <w:tc>
          <w:tcPr>
            <w:tcW w:w="2611" w:type="dxa"/>
            <w:vMerge w:val="restart"/>
            <w:noWrap w:val="0"/>
            <w:vAlign w:val="center"/>
          </w:tcPr>
          <w:p>
            <w:pPr>
              <w:pStyle w:val="110"/>
              <w:rPr>
                <w:color w:val="auto"/>
                <w:szCs w:val="20"/>
              </w:rPr>
            </w:pPr>
            <w:r>
              <w:rPr>
                <w:color w:val="auto"/>
                <w:szCs w:val="20"/>
              </w:rPr>
              <w:t>水位监测点</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Ⅴ</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5#项目西南侧650m处农户家</w:t>
            </w:r>
          </w:p>
        </w:tc>
        <w:tc>
          <w:tcPr>
            <w:tcW w:w="2611" w:type="dxa"/>
            <w:vMerge w:val="continue"/>
            <w:noWrap w:val="0"/>
            <w:vAlign w:val="center"/>
          </w:tcPr>
          <w:p>
            <w:pPr>
              <w:pStyle w:val="110"/>
              <w:rPr>
                <w:color w:val="auto"/>
                <w:szCs w:val="20"/>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trHeight w:val="340" w:hRule="atLeast"/>
          <w:jc w:val="center"/>
        </w:trPr>
        <w:tc>
          <w:tcPr>
            <w:tcW w:w="1742" w:type="dxa"/>
            <w:noWrap w:val="0"/>
            <w:vAlign w:val="center"/>
          </w:tcPr>
          <w:p>
            <w:pPr>
              <w:pStyle w:val="110"/>
              <w:rPr>
                <w:rFonts w:hint="eastAsia"/>
                <w:color w:val="auto"/>
                <w:szCs w:val="20"/>
              </w:rPr>
            </w:pPr>
            <w:r>
              <w:rPr>
                <w:rFonts w:hint="eastAsia"/>
                <w:color w:val="auto"/>
                <w:szCs w:val="20"/>
              </w:rPr>
              <w:t>Ⅵ</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6#项目南侧800m处农户家</w:t>
            </w:r>
          </w:p>
        </w:tc>
        <w:tc>
          <w:tcPr>
            <w:tcW w:w="2611" w:type="dxa"/>
            <w:vMerge w:val="continue"/>
            <w:noWrap w:val="0"/>
            <w:vAlign w:val="center"/>
          </w:tcPr>
          <w:p>
            <w:pPr>
              <w:pStyle w:val="110"/>
              <w:rPr>
                <w:color w:val="auto"/>
                <w:szCs w:val="20"/>
              </w:rPr>
            </w:pPr>
          </w:p>
        </w:tc>
      </w:tr>
    </w:tbl>
    <w:p>
      <w:pPr>
        <w:spacing w:before="120" w:beforeLines="50"/>
        <w:ind w:firstLine="482"/>
        <w:rPr>
          <w:b/>
          <w:color w:val="auto"/>
        </w:rPr>
      </w:pPr>
      <w:r>
        <w:rPr>
          <w:rFonts w:hint="eastAsia"/>
          <w:b/>
          <w:color w:val="auto"/>
        </w:rPr>
        <w:t>2、</w:t>
      </w:r>
      <w:r>
        <w:rPr>
          <w:b/>
          <w:color w:val="auto"/>
        </w:rPr>
        <w:t>监测项目</w:t>
      </w:r>
      <w:r>
        <w:rPr>
          <w:rFonts w:hint="eastAsia"/>
          <w:b/>
          <w:color w:val="auto"/>
        </w:rPr>
        <w:t>及监测方法</w:t>
      </w:r>
    </w:p>
    <w:p>
      <w:pPr>
        <w:ind w:firstLine="480"/>
        <w:rPr>
          <w:color w:val="auto"/>
          <w:szCs w:val="21"/>
        </w:rPr>
      </w:pPr>
      <w:r>
        <w:rPr>
          <w:color w:val="auto"/>
          <w:szCs w:val="21"/>
        </w:rPr>
        <w:t>水质监测因子</w:t>
      </w:r>
      <w:r>
        <w:rPr>
          <w:rFonts w:hint="eastAsia"/>
          <w:color w:val="auto"/>
          <w:szCs w:val="21"/>
        </w:rPr>
        <w:t>：钾、钠、钙、镁、碳酸盐、重碳酸盐、氯化物、硫酸盐、pH、氨氮、硝酸盐、亚硝酸盐、挥发性酚类、氰化物、砷、汞、铬(六价)、总硬度、铅、氟化物、镉、铁、锰、溶解性总固体、耗氧量、总大肠菌群、细菌总数，共2</w:t>
      </w:r>
      <w:r>
        <w:rPr>
          <w:rFonts w:hint="eastAsia"/>
          <w:color w:val="auto"/>
          <w:szCs w:val="21"/>
          <w:lang w:val="en-US" w:eastAsia="zh-CN"/>
        </w:rPr>
        <w:t>7</w:t>
      </w:r>
      <w:r>
        <w:rPr>
          <w:color w:val="auto"/>
          <w:szCs w:val="21"/>
        </w:rPr>
        <w:t>项</w:t>
      </w:r>
      <w:r>
        <w:rPr>
          <w:rFonts w:hint="eastAsia"/>
          <w:color w:val="auto"/>
          <w:szCs w:val="21"/>
        </w:rPr>
        <w:t>。</w:t>
      </w:r>
    </w:p>
    <w:p>
      <w:pPr>
        <w:widowControl/>
        <w:spacing w:line="240" w:lineRule="auto"/>
        <w:ind w:firstLine="0" w:firstLineChars="0"/>
        <w:jc w:val="center"/>
        <w:rPr>
          <w:rFonts w:hAnsi="宋体" w:cs="宋体"/>
          <w:b/>
          <w:color w:val="auto"/>
          <w:kern w:val="0"/>
          <w:sz w:val="21"/>
          <w:szCs w:val="21"/>
        </w:rPr>
      </w:pPr>
      <w:r>
        <w:rPr>
          <w:rFonts w:hAnsi="宋体" w:cs="宋体"/>
          <w:b/>
          <w:color w:val="auto"/>
          <w:kern w:val="0"/>
          <w:sz w:val="21"/>
          <w:szCs w:val="21"/>
        </w:rPr>
        <w:t>表4</w:t>
      </w:r>
      <w:r>
        <w:rPr>
          <w:rFonts w:hint="eastAsia" w:hAnsi="宋体" w:cs="宋体"/>
          <w:b/>
          <w:color w:val="auto"/>
          <w:kern w:val="0"/>
          <w:sz w:val="21"/>
          <w:szCs w:val="21"/>
        </w:rPr>
        <w:t>.2-</w:t>
      </w:r>
      <w:r>
        <w:rPr>
          <w:rFonts w:hint="eastAsia" w:hAnsi="宋体" w:cs="宋体"/>
          <w:b/>
          <w:color w:val="auto"/>
          <w:kern w:val="0"/>
          <w:sz w:val="21"/>
          <w:szCs w:val="21"/>
          <w:lang w:val="en-US" w:eastAsia="zh-CN"/>
        </w:rPr>
        <w:t xml:space="preserve">7 </w:t>
      </w:r>
      <w:r>
        <w:rPr>
          <w:rFonts w:hAnsi="宋体" w:cs="宋体"/>
          <w:b/>
          <w:color w:val="auto"/>
          <w:kern w:val="0"/>
          <w:sz w:val="21"/>
          <w:szCs w:val="21"/>
        </w:rPr>
        <w:t>监测方法、方法来源</w:t>
      </w:r>
      <w:r>
        <w:rPr>
          <w:rFonts w:hint="eastAsia" w:hAnsi="宋体" w:cs="宋体"/>
          <w:b/>
          <w:color w:val="auto"/>
          <w:kern w:val="0"/>
          <w:sz w:val="21"/>
          <w:szCs w:val="21"/>
        </w:rPr>
        <w:t>及检出限</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702"/>
        <w:gridCol w:w="2750"/>
        <w:gridCol w:w="2503"/>
        <w:gridCol w:w="13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74"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序号</w:t>
            </w:r>
          </w:p>
        </w:tc>
        <w:tc>
          <w:tcPr>
            <w:tcW w:w="1702"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监测项目</w:t>
            </w:r>
          </w:p>
        </w:tc>
        <w:tc>
          <w:tcPr>
            <w:tcW w:w="2750"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分析方法</w:t>
            </w:r>
          </w:p>
        </w:tc>
        <w:tc>
          <w:tcPr>
            <w:tcW w:w="2503"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方法来源</w:t>
            </w:r>
          </w:p>
        </w:tc>
        <w:tc>
          <w:tcPr>
            <w:tcW w:w="1374"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检出限度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Ansi="宋体" w:cs="宋体"/>
                <w:color w:val="auto"/>
                <w:kern w:val="0"/>
                <w:sz w:val="20"/>
                <w:szCs w:val="20"/>
              </w:rPr>
            </w:pPr>
          </w:p>
        </w:tc>
        <w:tc>
          <w:tcPr>
            <w:tcW w:w="1702"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pH</w:t>
            </w:r>
          </w:p>
        </w:tc>
        <w:tc>
          <w:tcPr>
            <w:tcW w:w="2750"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《水质 pH值的测定</w:t>
            </w:r>
            <w:r>
              <w:rPr>
                <w:rFonts w:hint="eastAsia" w:hAnsi="宋体" w:cs="宋体"/>
                <w:color w:val="auto"/>
                <w:kern w:val="0"/>
                <w:sz w:val="20"/>
                <w:szCs w:val="20"/>
              </w:rPr>
              <w:t>便携式pH</w:t>
            </w:r>
            <w:r>
              <w:rPr>
                <w:rFonts w:hAnsi="宋体" w:cs="宋体"/>
                <w:color w:val="auto"/>
                <w:kern w:val="0"/>
                <w:sz w:val="20"/>
                <w:szCs w:val="20"/>
              </w:rPr>
              <w:t>计法》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《水和废水监测分析方法（第四版）》</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Ansi="宋体" w:cs="宋体"/>
                <w:color w:val="auto"/>
                <w:kern w:val="0"/>
                <w:sz w:val="20"/>
                <w:szCs w:val="20"/>
              </w:rPr>
            </w:pPr>
          </w:p>
        </w:tc>
        <w:tc>
          <w:tcPr>
            <w:tcW w:w="1702"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 xml:space="preserve">挥发酚 </w:t>
            </w:r>
          </w:p>
        </w:tc>
        <w:tc>
          <w:tcPr>
            <w:tcW w:w="2750"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水质 挥发酚的测定 4-氨基安替比林分光光度法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HJ 503-2009</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HJ 503-2009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Ansi="宋体" w:cs="宋体"/>
                <w:color w:val="auto"/>
                <w:kern w:val="0"/>
                <w:sz w:val="20"/>
                <w:szCs w:val="20"/>
              </w:rPr>
            </w:pPr>
          </w:p>
        </w:tc>
        <w:tc>
          <w:tcPr>
            <w:tcW w:w="1702"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总硬度（以Ca</w:t>
            </w:r>
            <w:r>
              <w:rPr>
                <w:rFonts w:hAnsi="宋体" w:cs="宋体"/>
                <w:color w:val="auto"/>
                <w:kern w:val="0"/>
                <w:sz w:val="20"/>
                <w:szCs w:val="20"/>
              </w:rPr>
              <w:t>CO</w:t>
            </w:r>
            <w:r>
              <w:rPr>
                <w:rFonts w:hAnsi="宋体" w:cs="宋体"/>
                <w:color w:val="auto"/>
                <w:kern w:val="0"/>
                <w:sz w:val="20"/>
                <w:szCs w:val="20"/>
                <w:vertAlign w:val="subscript"/>
              </w:rPr>
              <w:t>3</w:t>
            </w:r>
            <w:r>
              <w:rPr>
                <w:rFonts w:hAnsi="宋体" w:cs="宋体"/>
                <w:color w:val="auto"/>
                <w:kern w:val="0"/>
                <w:sz w:val="20"/>
                <w:szCs w:val="20"/>
              </w:rPr>
              <w:t>计</w:t>
            </w:r>
            <w:r>
              <w:rPr>
                <w:rFonts w:hint="eastAsia" w:hAnsi="宋体" w:cs="宋体"/>
                <w:color w:val="auto"/>
                <w:kern w:val="0"/>
                <w:sz w:val="20"/>
                <w:szCs w:val="20"/>
              </w:rPr>
              <w:t>）</w:t>
            </w:r>
          </w:p>
        </w:tc>
        <w:tc>
          <w:tcPr>
            <w:tcW w:w="2750"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水质 钙和镁总量的测定</w:t>
            </w:r>
          </w:p>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E</w:t>
            </w:r>
            <w:r>
              <w:rPr>
                <w:rFonts w:hAnsi="宋体" w:cs="宋体"/>
                <w:color w:val="auto"/>
                <w:kern w:val="0"/>
                <w:sz w:val="20"/>
                <w:szCs w:val="20"/>
              </w:rPr>
              <w:t>DTA滴定法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GB7477-1987</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0.05mmol/L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氨氮</w:t>
            </w:r>
          </w:p>
        </w:tc>
        <w:tc>
          <w:tcPr>
            <w:tcW w:w="2750"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纳氏试剂分光光度法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H</w:t>
            </w:r>
            <w:r>
              <w:rPr>
                <w:rFonts w:hAnsi="宋体" w:cs="宋体"/>
                <w:color w:val="auto"/>
                <w:kern w:val="0"/>
                <w:sz w:val="20"/>
                <w:szCs w:val="20"/>
              </w:rPr>
              <w:t>J 535-2009</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0.025mg/L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int="eastAsia" w:hAnsi="宋体" w:cs="宋体"/>
                <w:color w:val="auto"/>
                <w:kern w:val="0"/>
                <w:sz w:val="20"/>
                <w:szCs w:val="20"/>
              </w:rPr>
              <w:t>氰化物</w:t>
            </w:r>
          </w:p>
        </w:tc>
        <w:tc>
          <w:tcPr>
            <w:tcW w:w="2750"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 xml:space="preserve">水质 氰化物的测定 容量法和分光光度法 </w:t>
            </w:r>
          </w:p>
        </w:tc>
        <w:tc>
          <w:tcPr>
            <w:tcW w:w="2503"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 xml:space="preserve">HJ484-2009 </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0.0</w:t>
            </w:r>
            <w:r>
              <w:rPr>
                <w:rFonts w:hint="eastAsia" w:hAnsi="宋体" w:cs="宋体"/>
                <w:color w:val="auto"/>
                <w:kern w:val="0"/>
                <w:sz w:val="20"/>
                <w:szCs w:val="20"/>
                <w:lang w:val="en-US" w:eastAsia="zh-CN"/>
              </w:rPr>
              <w:t>04</w:t>
            </w:r>
            <w:r>
              <w:rPr>
                <w:rFonts w:hAnsi="宋体" w:cs="宋体"/>
                <w:color w:val="auto"/>
                <w:kern w:val="0"/>
                <w:sz w:val="20"/>
                <w:szCs w:val="20"/>
              </w:rPr>
              <w:t>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int="eastAsia" w:hAnsi="宋体" w:cs="宋体"/>
                <w:color w:val="auto"/>
                <w:kern w:val="0"/>
                <w:sz w:val="20"/>
                <w:szCs w:val="20"/>
              </w:rPr>
              <w:t>硝酸盐（以N计）</w:t>
            </w:r>
          </w:p>
        </w:tc>
        <w:tc>
          <w:tcPr>
            <w:tcW w:w="2750"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水质 无机阴离子（F</w:t>
            </w:r>
            <w:r>
              <w:rPr>
                <w:rFonts w:hAnsi="宋体" w:cs="宋体"/>
                <w:color w:val="auto"/>
                <w:kern w:val="0"/>
                <w:sz w:val="20"/>
                <w:szCs w:val="20"/>
                <w:vertAlign w:val="superscript"/>
              </w:rPr>
              <w:t>-</w:t>
            </w:r>
            <w:r>
              <w:rPr>
                <w:rFonts w:hint="eastAsia" w:hAnsi="宋体" w:cs="宋体"/>
                <w:color w:val="auto"/>
                <w:kern w:val="0"/>
                <w:sz w:val="20"/>
                <w:szCs w:val="20"/>
              </w:rPr>
              <w:t>、Cl</w:t>
            </w:r>
            <w:r>
              <w:rPr>
                <w:rFonts w:hint="eastAsia" w:hAnsi="宋体" w:cs="宋体"/>
                <w:color w:val="auto"/>
                <w:kern w:val="0"/>
                <w:sz w:val="20"/>
                <w:szCs w:val="20"/>
                <w:vertAlign w:val="superscript"/>
              </w:rPr>
              <w:t>-</w:t>
            </w:r>
            <w:r>
              <w:rPr>
                <w:rFonts w:hint="eastAsia" w:hAnsi="宋体" w:cs="宋体"/>
                <w:color w:val="auto"/>
                <w:kern w:val="0"/>
                <w:sz w:val="20"/>
                <w:szCs w:val="20"/>
              </w:rPr>
              <w:t>、N</w:t>
            </w:r>
            <w:r>
              <w:rPr>
                <w:rFonts w:hAnsi="宋体" w:cs="宋体"/>
                <w:color w:val="auto"/>
                <w:kern w:val="0"/>
                <w:sz w:val="20"/>
                <w:szCs w:val="20"/>
              </w:rPr>
              <w:t>O</w:t>
            </w:r>
            <w:r>
              <w:rPr>
                <w:rFonts w:hAnsi="宋体" w:cs="宋体"/>
                <w:color w:val="auto"/>
                <w:kern w:val="0"/>
                <w:sz w:val="20"/>
                <w:szCs w:val="20"/>
                <w:vertAlign w:val="superscript"/>
              </w:rPr>
              <w:t>2-</w:t>
            </w:r>
            <w:r>
              <w:rPr>
                <w:rFonts w:hint="eastAsia" w:hAnsi="宋体" w:cs="宋体"/>
                <w:color w:val="auto"/>
                <w:kern w:val="0"/>
                <w:sz w:val="20"/>
                <w:szCs w:val="20"/>
              </w:rPr>
              <w:t>、Br</w:t>
            </w:r>
            <w:r>
              <w:rPr>
                <w:rFonts w:hint="eastAsia" w:hAnsi="宋体" w:cs="宋体"/>
                <w:color w:val="auto"/>
                <w:kern w:val="0"/>
                <w:sz w:val="20"/>
                <w:szCs w:val="20"/>
                <w:vertAlign w:val="superscript"/>
              </w:rPr>
              <w:t>-</w:t>
            </w:r>
            <w:r>
              <w:rPr>
                <w:rFonts w:hint="eastAsia" w:hAnsi="宋体" w:cs="宋体"/>
                <w:color w:val="auto"/>
                <w:kern w:val="0"/>
                <w:sz w:val="20"/>
                <w:szCs w:val="20"/>
              </w:rPr>
              <w:t>、N</w:t>
            </w:r>
            <w:r>
              <w:rPr>
                <w:rFonts w:hAnsi="宋体" w:cs="宋体"/>
                <w:color w:val="auto"/>
                <w:kern w:val="0"/>
                <w:sz w:val="20"/>
                <w:szCs w:val="20"/>
              </w:rPr>
              <w:t>O</w:t>
            </w:r>
            <w:r>
              <w:rPr>
                <w:rFonts w:hAnsi="宋体" w:cs="宋体"/>
                <w:color w:val="auto"/>
                <w:kern w:val="0"/>
                <w:sz w:val="20"/>
                <w:szCs w:val="20"/>
                <w:vertAlign w:val="superscript"/>
              </w:rPr>
              <w:t>3</w:t>
            </w:r>
            <w:r>
              <w:rPr>
                <w:rFonts w:hint="eastAsia" w:hAnsi="宋体" w:cs="宋体"/>
                <w:color w:val="auto"/>
                <w:kern w:val="0"/>
                <w:sz w:val="20"/>
                <w:szCs w:val="20"/>
                <w:vertAlign w:val="superscript"/>
              </w:rPr>
              <w:t>-</w:t>
            </w:r>
            <w:r>
              <w:rPr>
                <w:rFonts w:hint="eastAsia" w:hAnsi="宋体" w:cs="宋体"/>
                <w:color w:val="auto"/>
                <w:kern w:val="0"/>
                <w:sz w:val="20"/>
                <w:szCs w:val="20"/>
              </w:rPr>
              <w:t>、P</w:t>
            </w:r>
            <w:r>
              <w:rPr>
                <w:rFonts w:hAnsi="宋体" w:cs="宋体"/>
                <w:color w:val="auto"/>
                <w:kern w:val="0"/>
                <w:sz w:val="20"/>
                <w:szCs w:val="20"/>
              </w:rPr>
              <w:t>O</w:t>
            </w:r>
            <w:r>
              <w:rPr>
                <w:rFonts w:hAnsi="宋体" w:cs="宋体"/>
                <w:color w:val="auto"/>
                <w:kern w:val="0"/>
                <w:sz w:val="20"/>
                <w:szCs w:val="20"/>
                <w:vertAlign w:val="subscript"/>
              </w:rPr>
              <w:t>4</w:t>
            </w:r>
            <w:r>
              <w:rPr>
                <w:rFonts w:hAnsi="宋体" w:cs="宋体"/>
                <w:color w:val="auto"/>
                <w:kern w:val="0"/>
                <w:sz w:val="20"/>
                <w:szCs w:val="20"/>
                <w:vertAlign w:val="superscript"/>
              </w:rPr>
              <w:t>3</w:t>
            </w:r>
            <w:r>
              <w:rPr>
                <w:rFonts w:hint="eastAsia" w:hAnsi="宋体" w:cs="宋体"/>
                <w:color w:val="auto"/>
                <w:kern w:val="0"/>
                <w:sz w:val="20"/>
                <w:szCs w:val="20"/>
                <w:vertAlign w:val="superscript"/>
              </w:rPr>
              <w:t>-</w:t>
            </w:r>
            <w:r>
              <w:rPr>
                <w:rFonts w:hint="eastAsia" w:hAnsi="宋体" w:cs="宋体"/>
                <w:color w:val="auto"/>
                <w:kern w:val="0"/>
                <w:sz w:val="20"/>
                <w:szCs w:val="20"/>
              </w:rPr>
              <w:t>、S</w:t>
            </w:r>
            <w:r>
              <w:rPr>
                <w:rFonts w:hAnsi="宋体" w:cs="宋体"/>
                <w:color w:val="auto"/>
                <w:kern w:val="0"/>
                <w:sz w:val="20"/>
                <w:szCs w:val="20"/>
              </w:rPr>
              <w:t>O</w:t>
            </w:r>
            <w:r>
              <w:rPr>
                <w:rFonts w:hAnsi="宋体" w:cs="宋体"/>
                <w:color w:val="auto"/>
                <w:kern w:val="0"/>
                <w:sz w:val="20"/>
                <w:szCs w:val="20"/>
                <w:vertAlign w:val="subscript"/>
              </w:rPr>
              <w:t>3</w:t>
            </w:r>
            <w:r>
              <w:rPr>
                <w:rFonts w:hAnsi="宋体" w:cs="宋体"/>
                <w:color w:val="auto"/>
                <w:kern w:val="0"/>
                <w:sz w:val="20"/>
                <w:szCs w:val="20"/>
                <w:vertAlign w:val="superscript"/>
              </w:rPr>
              <w:t>2-</w:t>
            </w:r>
            <w:r>
              <w:rPr>
                <w:rFonts w:hint="eastAsia" w:hAnsi="宋体" w:cs="宋体"/>
                <w:color w:val="auto"/>
                <w:kern w:val="0"/>
                <w:sz w:val="20"/>
                <w:szCs w:val="20"/>
              </w:rPr>
              <w:t>、S</w:t>
            </w:r>
            <w:r>
              <w:rPr>
                <w:rFonts w:hAnsi="宋体" w:cs="宋体"/>
                <w:color w:val="auto"/>
                <w:kern w:val="0"/>
                <w:sz w:val="20"/>
                <w:szCs w:val="20"/>
              </w:rPr>
              <w:t>O</w:t>
            </w:r>
            <w:r>
              <w:rPr>
                <w:rFonts w:hAnsi="宋体" w:cs="宋体"/>
                <w:color w:val="auto"/>
                <w:kern w:val="0"/>
                <w:sz w:val="20"/>
                <w:szCs w:val="20"/>
                <w:vertAlign w:val="subscript"/>
              </w:rPr>
              <w:t>4</w:t>
            </w:r>
            <w:r>
              <w:rPr>
                <w:rFonts w:hAnsi="宋体" w:cs="宋体"/>
                <w:color w:val="auto"/>
                <w:kern w:val="0"/>
                <w:sz w:val="20"/>
                <w:szCs w:val="20"/>
                <w:vertAlign w:val="superscript"/>
              </w:rPr>
              <w:t>2-</w:t>
            </w:r>
            <w:r>
              <w:rPr>
                <w:rFonts w:hint="eastAsia" w:hAnsi="宋体" w:cs="宋体"/>
                <w:color w:val="auto"/>
                <w:kern w:val="0"/>
                <w:sz w:val="20"/>
                <w:szCs w:val="20"/>
              </w:rPr>
              <w:t>）的测定 离子色谱法</w:t>
            </w:r>
          </w:p>
        </w:tc>
        <w:tc>
          <w:tcPr>
            <w:tcW w:w="2503"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H</w:t>
            </w:r>
            <w:r>
              <w:rPr>
                <w:rFonts w:hAnsi="宋体" w:cs="宋体"/>
                <w:color w:val="auto"/>
                <w:kern w:val="0"/>
                <w:sz w:val="20"/>
                <w:szCs w:val="20"/>
              </w:rPr>
              <w:t>J84-2016</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.016mg/L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氟化物</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.006mg/L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氯化物</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.007mg/L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亚硝酸盐</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.016mg/L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硫酸盐</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.018mg/L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 xml:space="preserve">细菌总数 </w:t>
            </w:r>
          </w:p>
        </w:tc>
        <w:tc>
          <w:tcPr>
            <w:tcW w:w="2750"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 xml:space="preserve">生活饮用水标准检验方法 微生物指标（1.1 平皿计数法） </w:t>
            </w:r>
          </w:p>
        </w:tc>
        <w:tc>
          <w:tcPr>
            <w:tcW w:w="2503"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GB/T 5750.12-2006</w:t>
            </w:r>
          </w:p>
        </w:tc>
        <w:tc>
          <w:tcPr>
            <w:tcW w:w="1374" w:type="dxa"/>
            <w:noWrap w:val="0"/>
            <w:vAlign w:val="center"/>
          </w:tcPr>
          <w:p>
            <w:pPr>
              <w:widowControl/>
              <w:spacing w:line="240" w:lineRule="auto"/>
              <w:ind w:firstLine="0" w:firstLineChars="0"/>
              <w:jc w:val="center"/>
              <w:rPr>
                <w:rFonts w:hint="eastAsia" w:hAnsi="宋体" w:eastAsia="宋体" w:cs="宋体"/>
                <w:color w:val="auto"/>
                <w:kern w:val="0"/>
                <w:sz w:val="20"/>
                <w:szCs w:val="20"/>
                <w:lang w:val="en-US" w:eastAsia="zh-CN"/>
              </w:rPr>
            </w:pPr>
            <w:r>
              <w:rPr>
                <w:rFonts w:hint="eastAsia" w:hAnsi="宋体" w:cs="宋体"/>
                <w:color w:val="auto"/>
                <w:kern w:val="0"/>
                <w:sz w:val="20"/>
                <w:szCs w:val="20"/>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耗氧量</w:t>
            </w:r>
          </w:p>
        </w:tc>
        <w:tc>
          <w:tcPr>
            <w:tcW w:w="2750"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酸性高猛酸钾滴定法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G</w:t>
            </w:r>
            <w:r>
              <w:rPr>
                <w:rFonts w:hAnsi="宋体" w:cs="宋体"/>
                <w:color w:val="auto"/>
                <w:kern w:val="0"/>
                <w:sz w:val="20"/>
                <w:szCs w:val="20"/>
              </w:rPr>
              <w:t>B/T 5750.7-2006</w:t>
            </w:r>
            <w:r>
              <w:rPr>
                <w:rFonts w:hint="eastAsia" w:hAnsi="宋体" w:cs="宋体"/>
                <w:color w:val="auto"/>
                <w:kern w:val="0"/>
                <w:sz w:val="20"/>
                <w:szCs w:val="20"/>
              </w:rPr>
              <w:t>（1</w:t>
            </w:r>
            <w:r>
              <w:rPr>
                <w:rFonts w:hAnsi="宋体" w:cs="宋体"/>
                <w:color w:val="auto"/>
                <w:kern w:val="0"/>
                <w:sz w:val="20"/>
                <w:szCs w:val="20"/>
              </w:rPr>
              <w:t>.1</w:t>
            </w:r>
            <w:r>
              <w:rPr>
                <w:rFonts w:hint="eastAsia" w:hAnsi="宋体" w:cs="宋体"/>
                <w:color w:val="auto"/>
                <w:kern w:val="0"/>
                <w:sz w:val="20"/>
                <w:szCs w:val="20"/>
              </w:rPr>
              <w:t>）</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0.05mg/L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总大肠菌群</w:t>
            </w:r>
          </w:p>
        </w:tc>
        <w:tc>
          <w:tcPr>
            <w:tcW w:w="2750"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多管发酵法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《水和废水监测分析方法（第四版）》</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int="eastAsia" w:hAnsi="宋体" w:cs="宋体"/>
                <w:color w:val="auto"/>
                <w:kern w:val="0"/>
                <w:sz w:val="20"/>
                <w:szCs w:val="20"/>
              </w:rPr>
              <w:t>铁</w:t>
            </w:r>
          </w:p>
        </w:tc>
        <w:tc>
          <w:tcPr>
            <w:tcW w:w="2750" w:type="dxa"/>
            <w:vMerge w:val="restart"/>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水质 铁、锰的测定</w:t>
            </w:r>
          </w:p>
          <w:p>
            <w:pPr>
              <w:spacing w:line="240" w:lineRule="auto"/>
              <w:ind w:firstLine="0" w:firstLineChars="0"/>
              <w:jc w:val="center"/>
              <w:rPr>
                <w:rFonts w:hint="eastAsia" w:hAnsi="宋体" w:cs="宋体"/>
                <w:color w:val="auto"/>
                <w:kern w:val="0"/>
                <w:sz w:val="20"/>
                <w:szCs w:val="20"/>
              </w:rPr>
            </w:pPr>
            <w:r>
              <w:rPr>
                <w:rFonts w:hAnsi="宋体" w:cs="宋体"/>
                <w:color w:val="auto"/>
                <w:kern w:val="0"/>
                <w:sz w:val="20"/>
                <w:szCs w:val="20"/>
              </w:rPr>
              <w:t>火焰原子吸收分光光度计</w:t>
            </w:r>
          </w:p>
        </w:tc>
        <w:tc>
          <w:tcPr>
            <w:tcW w:w="2503" w:type="dxa"/>
            <w:vMerge w:val="restart"/>
            <w:noWrap w:val="0"/>
            <w:vAlign w:val="center"/>
          </w:tcPr>
          <w:p>
            <w:pPr>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G</w:t>
            </w:r>
            <w:r>
              <w:rPr>
                <w:rFonts w:hAnsi="宋体" w:cs="宋体"/>
                <w:color w:val="auto"/>
                <w:kern w:val="0"/>
                <w:sz w:val="20"/>
                <w:szCs w:val="20"/>
              </w:rPr>
              <w:t>B 11911-1989</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.03mg/L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锰</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.01mg/L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溶解性总固体</w:t>
            </w:r>
          </w:p>
        </w:tc>
        <w:tc>
          <w:tcPr>
            <w:tcW w:w="2750"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重量法</w:t>
            </w:r>
          </w:p>
        </w:tc>
        <w:tc>
          <w:tcPr>
            <w:tcW w:w="2503"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G</w:t>
            </w:r>
            <w:r>
              <w:rPr>
                <w:rFonts w:hAnsi="宋体" w:cs="宋体"/>
                <w:color w:val="auto"/>
                <w:kern w:val="0"/>
                <w:sz w:val="20"/>
                <w:szCs w:val="20"/>
              </w:rPr>
              <w:t>B/T5750.4-2006</w:t>
            </w:r>
            <w:r>
              <w:rPr>
                <w:rFonts w:hint="eastAsia" w:hAnsi="宋体" w:cs="宋体"/>
                <w:color w:val="auto"/>
                <w:kern w:val="0"/>
                <w:sz w:val="20"/>
                <w:szCs w:val="20"/>
              </w:rPr>
              <w:t>（8</w:t>
            </w:r>
            <w:r>
              <w:rPr>
                <w:rFonts w:hAnsi="宋体" w:cs="宋体"/>
                <w:color w:val="auto"/>
                <w:kern w:val="0"/>
                <w:sz w:val="20"/>
                <w:szCs w:val="20"/>
              </w:rPr>
              <w:t>.1</w:t>
            </w:r>
            <w:r>
              <w:rPr>
                <w:rFonts w:hint="eastAsia" w:hAnsi="宋体" w:cs="宋体"/>
                <w:color w:val="auto"/>
                <w:kern w:val="0"/>
                <w:sz w:val="20"/>
                <w:szCs w:val="20"/>
              </w:rPr>
              <w:t>）</w:t>
            </w:r>
          </w:p>
        </w:tc>
        <w:tc>
          <w:tcPr>
            <w:tcW w:w="1374"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六价铬</w:t>
            </w:r>
          </w:p>
        </w:tc>
        <w:tc>
          <w:tcPr>
            <w:tcW w:w="2750"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水质 六价铬的测定 二苯碳酰二肼分光光度法</w:t>
            </w:r>
          </w:p>
        </w:tc>
        <w:tc>
          <w:tcPr>
            <w:tcW w:w="2503"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GB7467-1987</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0.004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镉</w:t>
            </w:r>
          </w:p>
        </w:tc>
        <w:tc>
          <w:tcPr>
            <w:tcW w:w="2750"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水质 铜、锌、铅、镉的测定 原子吸收分光光度法</w:t>
            </w:r>
          </w:p>
        </w:tc>
        <w:tc>
          <w:tcPr>
            <w:tcW w:w="2503" w:type="dxa"/>
            <w:vMerge w:val="restart"/>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GB 7475-1987</w:t>
            </w:r>
          </w:p>
        </w:tc>
        <w:tc>
          <w:tcPr>
            <w:tcW w:w="1374"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.1</w:t>
            </w:r>
            <w:r>
              <w:rPr>
                <w:color w:val="auto"/>
                <w:kern w:val="0"/>
                <w:sz w:val="20"/>
                <w:szCs w:val="20"/>
              </w:rPr>
              <w:t>μg/L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铅</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1</w:t>
            </w:r>
            <w:r>
              <w:rPr>
                <w:color w:val="auto"/>
                <w:kern w:val="0"/>
                <w:sz w:val="20"/>
                <w:szCs w:val="20"/>
              </w:rPr>
              <w:t>μg/L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汞</w:t>
            </w:r>
          </w:p>
        </w:tc>
        <w:tc>
          <w:tcPr>
            <w:tcW w:w="2750"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水质 汞、砷、硒、铋和锑的测定原子荧光法</w:t>
            </w:r>
          </w:p>
        </w:tc>
        <w:tc>
          <w:tcPr>
            <w:tcW w:w="2503"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H</w:t>
            </w:r>
            <w:r>
              <w:rPr>
                <w:rFonts w:hAnsi="宋体" w:cs="宋体"/>
                <w:color w:val="auto"/>
                <w:kern w:val="0"/>
                <w:sz w:val="20"/>
                <w:szCs w:val="20"/>
              </w:rPr>
              <w:t>J694-2014</w:t>
            </w:r>
          </w:p>
        </w:tc>
        <w:tc>
          <w:tcPr>
            <w:tcW w:w="1374"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.04</w:t>
            </w:r>
            <w:r>
              <w:rPr>
                <w:color w:val="auto"/>
                <w:kern w:val="0"/>
                <w:sz w:val="20"/>
                <w:szCs w:val="20"/>
              </w:rPr>
              <w:t>μg/L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砷</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.3</w:t>
            </w:r>
            <w:r>
              <w:rPr>
                <w:color w:val="auto"/>
                <w:kern w:val="0"/>
                <w:sz w:val="20"/>
                <w:szCs w:val="20"/>
              </w:rPr>
              <w:t>μg/L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钾</w:t>
            </w:r>
          </w:p>
        </w:tc>
        <w:tc>
          <w:tcPr>
            <w:tcW w:w="2750" w:type="dxa"/>
            <w:vMerge w:val="restart"/>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水质</w:t>
            </w:r>
            <w:r>
              <w:rPr>
                <w:rFonts w:hint="eastAsia" w:hAnsi="宋体" w:cs="宋体"/>
                <w:color w:val="auto"/>
                <w:kern w:val="0"/>
                <w:sz w:val="20"/>
                <w:szCs w:val="20"/>
              </w:rPr>
              <w:t xml:space="preserve"> 钾和钠的测定</w:t>
            </w:r>
          </w:p>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火焰原子吸收分光光度计</w:t>
            </w:r>
          </w:p>
        </w:tc>
        <w:tc>
          <w:tcPr>
            <w:tcW w:w="2503"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G</w:t>
            </w:r>
            <w:r>
              <w:rPr>
                <w:rFonts w:hAnsi="宋体" w:cs="宋体"/>
                <w:color w:val="auto"/>
                <w:kern w:val="0"/>
                <w:sz w:val="20"/>
                <w:szCs w:val="20"/>
              </w:rPr>
              <w:t>B/T11904-1989</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.05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钠</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.01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钙</w:t>
            </w:r>
          </w:p>
        </w:tc>
        <w:tc>
          <w:tcPr>
            <w:tcW w:w="2750" w:type="dxa"/>
            <w:vMerge w:val="restart"/>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水质</w:t>
            </w:r>
            <w:r>
              <w:rPr>
                <w:rFonts w:hint="eastAsia" w:hAnsi="宋体" w:cs="宋体"/>
                <w:color w:val="auto"/>
                <w:kern w:val="0"/>
                <w:sz w:val="20"/>
                <w:szCs w:val="20"/>
              </w:rPr>
              <w:t xml:space="preserve"> 钙和镁的测定</w:t>
            </w:r>
          </w:p>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火焰原子吸收分光光度计</w:t>
            </w:r>
          </w:p>
        </w:tc>
        <w:tc>
          <w:tcPr>
            <w:tcW w:w="2503"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G</w:t>
            </w:r>
            <w:r>
              <w:rPr>
                <w:rFonts w:hAnsi="宋体" w:cs="宋体"/>
                <w:color w:val="auto"/>
                <w:kern w:val="0"/>
                <w:sz w:val="20"/>
                <w:szCs w:val="20"/>
              </w:rPr>
              <w:t>B/T11905-1989</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.02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Ansi="宋体" w:cs="宋体"/>
                <w:color w:val="auto"/>
                <w:kern w:val="0"/>
                <w:sz w:val="20"/>
                <w:szCs w:val="20"/>
              </w:rPr>
              <w:t>镁</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0</w:t>
            </w:r>
            <w:r>
              <w:rPr>
                <w:rFonts w:hAnsi="宋体" w:cs="宋体"/>
                <w:color w:val="auto"/>
                <w:kern w:val="0"/>
                <w:sz w:val="20"/>
                <w:szCs w:val="20"/>
              </w:rPr>
              <w:t>.02 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int="eastAsia" w:hAnsi="宋体" w:cs="宋体"/>
                <w:color w:val="auto"/>
                <w:kern w:val="0"/>
                <w:sz w:val="20"/>
                <w:szCs w:val="20"/>
              </w:rPr>
            </w:pPr>
            <w:r>
              <w:rPr>
                <w:rFonts w:hint="eastAsia" w:hAnsi="宋体" w:cs="宋体"/>
                <w:color w:val="auto"/>
                <w:kern w:val="0"/>
                <w:sz w:val="20"/>
                <w:szCs w:val="20"/>
              </w:rPr>
              <w:t>碳酸盐</w:t>
            </w:r>
          </w:p>
        </w:tc>
        <w:tc>
          <w:tcPr>
            <w:tcW w:w="2750"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酸碱指示剂滴定法</w:t>
            </w:r>
          </w:p>
        </w:tc>
        <w:tc>
          <w:tcPr>
            <w:tcW w:w="2503" w:type="dxa"/>
            <w:vMerge w:val="restart"/>
            <w:noWrap w:val="0"/>
            <w:vAlign w:val="center"/>
          </w:tcPr>
          <w:p>
            <w:pPr>
              <w:widowControl/>
              <w:spacing w:line="240" w:lineRule="auto"/>
              <w:ind w:firstLine="0" w:firstLineChars="0"/>
              <w:jc w:val="center"/>
              <w:rPr>
                <w:rFonts w:hint="eastAsia" w:hAnsi="宋体" w:cs="宋体"/>
                <w:color w:val="auto"/>
                <w:kern w:val="0"/>
                <w:sz w:val="20"/>
                <w:szCs w:val="20"/>
              </w:rPr>
            </w:pPr>
            <w:r>
              <w:rPr>
                <w:rFonts w:hint="eastAsia" w:hAnsi="宋体" w:cs="宋体"/>
                <w:color w:val="auto"/>
                <w:kern w:val="0"/>
                <w:sz w:val="20"/>
                <w:szCs w:val="20"/>
              </w:rPr>
              <w:t>《水和废水监测分析方法》（第四版）国家环境保护总局（2</w:t>
            </w:r>
            <w:r>
              <w:rPr>
                <w:rFonts w:hAnsi="宋体" w:cs="宋体"/>
                <w:color w:val="auto"/>
                <w:kern w:val="0"/>
                <w:sz w:val="20"/>
                <w:szCs w:val="20"/>
              </w:rPr>
              <w:t>002年</w:t>
            </w:r>
            <w:r>
              <w:rPr>
                <w:rFonts w:hint="eastAsia" w:hAnsi="宋体" w:cs="宋体"/>
                <w:color w:val="auto"/>
                <w:kern w:val="0"/>
                <w:sz w:val="20"/>
                <w:szCs w:val="20"/>
              </w:rPr>
              <w:t>）</w:t>
            </w: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noWrap w:val="0"/>
            <w:vAlign w:val="center"/>
          </w:tcPr>
          <w:p>
            <w:pPr>
              <w:widowControl/>
              <w:numPr>
                <w:ilvl w:val="0"/>
                <w:numId w:val="13"/>
              </w:numPr>
              <w:spacing w:line="240" w:lineRule="auto"/>
              <w:ind w:left="425" w:leftChars="0" w:hanging="425" w:firstLineChars="0"/>
              <w:jc w:val="center"/>
              <w:rPr>
                <w:rFonts w:hint="eastAsia" w:hAnsi="宋体" w:cs="宋体"/>
                <w:color w:val="auto"/>
                <w:kern w:val="0"/>
                <w:sz w:val="20"/>
                <w:szCs w:val="20"/>
              </w:rPr>
            </w:pPr>
          </w:p>
        </w:tc>
        <w:tc>
          <w:tcPr>
            <w:tcW w:w="1702" w:type="dxa"/>
            <w:noWrap w:val="0"/>
            <w:vAlign w:val="center"/>
          </w:tcPr>
          <w:p>
            <w:pPr>
              <w:widowControl/>
              <w:spacing w:line="220" w:lineRule="atLeast"/>
              <w:ind w:firstLine="0" w:firstLineChars="0"/>
              <w:jc w:val="center"/>
              <w:rPr>
                <w:rFonts w:hAnsi="宋体" w:cs="宋体"/>
                <w:color w:val="auto"/>
                <w:kern w:val="0"/>
                <w:sz w:val="20"/>
                <w:szCs w:val="20"/>
              </w:rPr>
            </w:pPr>
            <w:r>
              <w:rPr>
                <w:rFonts w:hint="eastAsia" w:hAnsi="宋体" w:cs="宋体"/>
                <w:color w:val="auto"/>
                <w:kern w:val="0"/>
                <w:sz w:val="20"/>
                <w:szCs w:val="20"/>
              </w:rPr>
              <w:t>重碳酸盐</w:t>
            </w:r>
          </w:p>
        </w:tc>
        <w:tc>
          <w:tcPr>
            <w:tcW w:w="2750"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2503" w:type="dxa"/>
            <w:vMerge w:val="continue"/>
            <w:noWrap w:val="0"/>
            <w:vAlign w:val="center"/>
          </w:tcPr>
          <w:p>
            <w:pPr>
              <w:widowControl/>
              <w:spacing w:line="240" w:lineRule="auto"/>
              <w:ind w:firstLine="0" w:firstLineChars="0"/>
              <w:jc w:val="center"/>
              <w:rPr>
                <w:rFonts w:hint="eastAsia" w:hAnsi="宋体" w:cs="宋体"/>
                <w:color w:val="auto"/>
                <w:kern w:val="0"/>
                <w:sz w:val="20"/>
                <w:szCs w:val="20"/>
              </w:rPr>
            </w:pPr>
          </w:p>
        </w:tc>
        <w:tc>
          <w:tcPr>
            <w:tcW w:w="1374" w:type="dxa"/>
            <w:noWrap w:val="0"/>
            <w:vAlign w:val="center"/>
          </w:tcPr>
          <w:p>
            <w:pPr>
              <w:widowControl/>
              <w:spacing w:line="240" w:lineRule="auto"/>
              <w:ind w:firstLine="0" w:firstLineChars="0"/>
              <w:jc w:val="center"/>
              <w:rPr>
                <w:rFonts w:hAnsi="宋体" w:cs="宋体"/>
                <w:color w:val="auto"/>
                <w:kern w:val="0"/>
                <w:sz w:val="20"/>
                <w:szCs w:val="20"/>
              </w:rPr>
            </w:pPr>
            <w:r>
              <w:rPr>
                <w:rFonts w:hint="eastAsia" w:hAnsi="宋体" w:cs="宋体"/>
                <w:color w:val="auto"/>
                <w:kern w:val="0"/>
                <w:sz w:val="20"/>
                <w:szCs w:val="20"/>
              </w:rPr>
              <w:t>/</w:t>
            </w:r>
          </w:p>
        </w:tc>
      </w:tr>
    </w:tbl>
    <w:p>
      <w:pPr>
        <w:spacing w:before="120" w:beforeLines="50"/>
        <w:ind w:firstLine="482"/>
        <w:rPr>
          <w:rFonts w:hint="eastAsia"/>
          <w:b/>
          <w:color w:val="auto"/>
        </w:rPr>
      </w:pPr>
      <w:r>
        <w:rPr>
          <w:rFonts w:hint="eastAsia"/>
          <w:b/>
          <w:color w:val="auto"/>
        </w:rPr>
        <w:t>3、监测周期及频率</w:t>
      </w:r>
    </w:p>
    <w:p>
      <w:pPr>
        <w:ind w:firstLine="480"/>
        <w:rPr>
          <w:rFonts w:hint="eastAsia"/>
          <w:color w:val="auto"/>
        </w:rPr>
      </w:pPr>
      <w:r>
        <w:rPr>
          <w:rFonts w:hint="eastAsia"/>
          <w:color w:val="auto"/>
        </w:rPr>
        <w:t>监测时间为2020年</w:t>
      </w:r>
      <w:r>
        <w:rPr>
          <w:rFonts w:hint="eastAsia"/>
          <w:color w:val="auto"/>
          <w:lang w:val="en-US" w:eastAsia="zh-CN"/>
        </w:rPr>
        <w:t>12</w:t>
      </w:r>
      <w:r>
        <w:rPr>
          <w:rFonts w:hint="eastAsia"/>
          <w:color w:val="auto"/>
        </w:rPr>
        <w:t>月</w:t>
      </w:r>
      <w:r>
        <w:rPr>
          <w:rFonts w:hint="eastAsia"/>
          <w:color w:val="auto"/>
          <w:lang w:val="en-US" w:eastAsia="zh-CN"/>
        </w:rPr>
        <w:t>25</w:t>
      </w:r>
      <w:r>
        <w:rPr>
          <w:rFonts w:hint="eastAsia"/>
          <w:color w:val="auto"/>
        </w:rPr>
        <w:t>日，连续监测</w:t>
      </w:r>
      <w:r>
        <w:rPr>
          <w:rFonts w:hint="eastAsia"/>
          <w:color w:val="auto"/>
          <w:lang w:val="en-US" w:eastAsia="zh-CN"/>
        </w:rPr>
        <w:t>1</w:t>
      </w:r>
      <w:r>
        <w:rPr>
          <w:rFonts w:hint="eastAsia"/>
          <w:color w:val="auto"/>
        </w:rPr>
        <w:t>天，每天采样1次。</w:t>
      </w:r>
    </w:p>
    <w:p>
      <w:pPr>
        <w:ind w:firstLine="482"/>
        <w:rPr>
          <w:rFonts w:hint="eastAsia"/>
          <w:b/>
          <w:color w:val="auto"/>
        </w:rPr>
      </w:pPr>
      <w:r>
        <w:rPr>
          <w:rFonts w:hint="eastAsia"/>
          <w:b/>
          <w:color w:val="auto"/>
        </w:rPr>
        <w:t>4、监测结果</w:t>
      </w:r>
    </w:p>
    <w:p>
      <w:pPr>
        <w:ind w:firstLine="480"/>
        <w:rPr>
          <w:rFonts w:hint="eastAsia"/>
          <w:color w:val="auto"/>
        </w:rPr>
      </w:pPr>
      <w:r>
        <w:rPr>
          <w:rFonts w:hint="eastAsia"/>
          <w:color w:val="auto"/>
        </w:rPr>
        <w:t>地下水质量现状监测结果见表</w:t>
      </w:r>
      <w:r>
        <w:rPr>
          <w:color w:val="auto"/>
        </w:rPr>
        <w:t>4.2-</w:t>
      </w:r>
      <w:r>
        <w:rPr>
          <w:rFonts w:hint="eastAsia"/>
          <w:color w:val="auto"/>
          <w:lang w:val="en-US" w:eastAsia="zh-CN"/>
        </w:rPr>
        <w:t>8</w:t>
      </w:r>
      <w:r>
        <w:rPr>
          <w:rFonts w:hint="eastAsia"/>
          <w:color w:val="auto"/>
        </w:rPr>
        <w:t>。</w:t>
      </w:r>
    </w:p>
    <w:p>
      <w:pPr>
        <w:pStyle w:val="166"/>
        <w:spacing w:before="0" w:beforeLines="0" w:line="240" w:lineRule="auto"/>
        <w:rPr>
          <w:rFonts w:ascii="黑体" w:eastAsia="黑体" w:cs="黑体"/>
          <w:color w:val="auto"/>
          <w:sz w:val="2"/>
          <w:szCs w:val="2"/>
        </w:rPr>
      </w:pPr>
      <w:r>
        <w:rPr>
          <w:rFonts w:hint="eastAsia"/>
          <w:color w:val="auto"/>
        </w:rPr>
        <w:t>表</w:t>
      </w:r>
      <w:r>
        <w:rPr>
          <w:color w:val="auto"/>
        </w:rPr>
        <w:t>4.2-</w:t>
      </w:r>
      <w:r>
        <w:rPr>
          <w:rFonts w:hint="eastAsia"/>
          <w:color w:val="auto"/>
          <w:lang w:val="en-US" w:eastAsia="zh-CN"/>
        </w:rPr>
        <w:t xml:space="preserve">8 </w:t>
      </w:r>
      <w:r>
        <w:rPr>
          <w:rFonts w:hint="eastAsia"/>
          <w:color w:val="auto"/>
        </w:rPr>
        <w:t>地下水环境质量现状监测结果</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1960"/>
        <w:gridCol w:w="1497"/>
        <w:gridCol w:w="1621"/>
        <w:gridCol w:w="1514"/>
        <w:gridCol w:w="1061"/>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1134" w:type="dxa"/>
            <w:vMerge w:val="restart"/>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b/>
                <w:color w:val="auto"/>
                <w:szCs w:val="20"/>
                <w:highlight w:val="none"/>
              </w:rPr>
            </w:pPr>
            <w:r>
              <w:rPr>
                <w:b/>
                <w:color w:val="auto"/>
                <w:szCs w:val="20"/>
                <w:highlight w:val="none"/>
              </w:rPr>
              <w:t>检测日期</w:t>
            </w:r>
          </w:p>
        </w:tc>
        <w:tc>
          <w:tcPr>
            <w:tcW w:w="1960" w:type="dxa"/>
            <w:vMerge w:val="restart"/>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b/>
                <w:color w:val="auto"/>
                <w:szCs w:val="20"/>
                <w:highlight w:val="none"/>
              </w:rPr>
            </w:pPr>
            <w:r>
              <w:rPr>
                <w:b/>
                <w:color w:val="auto"/>
                <w:szCs w:val="20"/>
                <w:highlight w:val="none"/>
              </w:rPr>
              <w:t>检测项目</w:t>
            </w:r>
          </w:p>
        </w:tc>
        <w:tc>
          <w:tcPr>
            <w:tcW w:w="4632" w:type="dxa"/>
            <w:gridSpan w:val="3"/>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b/>
                <w:color w:val="auto"/>
                <w:szCs w:val="20"/>
                <w:highlight w:val="none"/>
              </w:rPr>
            </w:pPr>
            <w:r>
              <w:rPr>
                <w:b/>
                <w:color w:val="auto"/>
                <w:szCs w:val="20"/>
                <w:highlight w:val="none"/>
              </w:rPr>
              <w:t>检测结果</w:t>
            </w:r>
          </w:p>
        </w:tc>
        <w:tc>
          <w:tcPr>
            <w:tcW w:w="1061" w:type="dxa"/>
            <w:vMerge w:val="restart"/>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b/>
                <w:color w:val="auto"/>
                <w:szCs w:val="20"/>
                <w:highlight w:val="none"/>
              </w:rPr>
            </w:pPr>
            <w:r>
              <w:rPr>
                <w:b/>
                <w:color w:val="auto"/>
                <w:szCs w:val="20"/>
                <w:highlight w:val="none"/>
              </w:rPr>
              <w:t>单位</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497"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jc w:val="both"/>
              <w:textAlignment w:val="auto"/>
              <w:rPr>
                <w:rFonts w:hint="eastAsia"/>
                <w:b/>
                <w:color w:val="auto"/>
                <w:szCs w:val="20"/>
                <w:highlight w:val="none"/>
              </w:rPr>
            </w:pPr>
            <w:r>
              <w:rPr>
                <w:rFonts w:hint="eastAsia"/>
                <w:b/>
                <w:color w:val="auto"/>
                <w:szCs w:val="20"/>
                <w:highlight w:val="none"/>
              </w:rPr>
              <w:t>1#项目西侧350m处农户家（E:104.986114</w:t>
            </w:r>
            <w:r>
              <w:rPr>
                <w:rFonts w:hint="eastAsia"/>
                <w:b/>
                <w:color w:val="auto"/>
                <w:szCs w:val="20"/>
                <w:highlight w:val="none"/>
                <w:lang w:eastAsia="zh-CN"/>
              </w:rPr>
              <w:t>，</w:t>
            </w:r>
            <w:r>
              <w:rPr>
                <w:rFonts w:hint="eastAsia"/>
                <w:b/>
                <w:color w:val="auto"/>
                <w:szCs w:val="20"/>
                <w:highlight w:val="none"/>
              </w:rPr>
              <w:t>N:31.407601）</w:t>
            </w:r>
          </w:p>
        </w:tc>
        <w:tc>
          <w:tcPr>
            <w:tcW w:w="162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jc w:val="both"/>
              <w:textAlignment w:val="auto"/>
              <w:rPr>
                <w:b/>
                <w:color w:val="auto"/>
                <w:szCs w:val="20"/>
                <w:highlight w:val="none"/>
              </w:rPr>
            </w:pPr>
            <w:r>
              <w:rPr>
                <w:rFonts w:hint="eastAsia"/>
                <w:b/>
                <w:color w:val="auto"/>
                <w:szCs w:val="20"/>
                <w:highlight w:val="none"/>
              </w:rPr>
              <w:t>2#项目东北侧500m处农户家（E:104.99538</w:t>
            </w:r>
            <w:r>
              <w:rPr>
                <w:rFonts w:hint="eastAsia"/>
                <w:b/>
                <w:color w:val="auto"/>
                <w:szCs w:val="20"/>
                <w:highlight w:val="none"/>
                <w:lang w:val="en-US" w:eastAsia="zh-CN"/>
              </w:rPr>
              <w:t>1</w:t>
            </w:r>
            <w:r>
              <w:rPr>
                <w:rFonts w:hint="eastAsia"/>
                <w:b/>
                <w:color w:val="auto"/>
                <w:szCs w:val="20"/>
                <w:highlight w:val="none"/>
                <w:lang w:eastAsia="zh-CN"/>
              </w:rPr>
              <w:t>，</w:t>
            </w:r>
            <w:r>
              <w:rPr>
                <w:rFonts w:hint="eastAsia"/>
                <w:b/>
                <w:color w:val="auto"/>
                <w:szCs w:val="20"/>
                <w:highlight w:val="none"/>
              </w:rPr>
              <w:t>N:31.41181</w:t>
            </w:r>
            <w:r>
              <w:rPr>
                <w:rFonts w:hint="eastAsia"/>
                <w:b/>
                <w:color w:val="auto"/>
                <w:szCs w:val="20"/>
                <w:highlight w:val="none"/>
                <w:lang w:val="en-US" w:eastAsia="zh-CN"/>
              </w:rPr>
              <w:t>1</w:t>
            </w:r>
            <w:r>
              <w:rPr>
                <w:rFonts w:hint="eastAsia"/>
                <w:b/>
                <w:color w:val="auto"/>
                <w:szCs w:val="20"/>
                <w:highlight w:val="none"/>
              </w:rPr>
              <w:t>）</w:t>
            </w:r>
          </w:p>
        </w:tc>
        <w:tc>
          <w:tcPr>
            <w:tcW w:w="1514"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jc w:val="both"/>
              <w:textAlignment w:val="auto"/>
              <w:rPr>
                <w:b/>
                <w:color w:val="auto"/>
                <w:szCs w:val="20"/>
                <w:highlight w:val="none"/>
              </w:rPr>
            </w:pPr>
            <w:r>
              <w:rPr>
                <w:rFonts w:hint="eastAsia"/>
                <w:b/>
                <w:color w:val="auto"/>
                <w:szCs w:val="20"/>
                <w:highlight w:val="none"/>
              </w:rPr>
              <w:t>3#项目西南侧400m</w:t>
            </w:r>
            <w:r>
              <w:rPr>
                <w:rFonts w:hint="eastAsia"/>
                <w:b/>
                <w:color w:val="auto"/>
                <w:szCs w:val="20"/>
                <w:highlight w:val="none"/>
                <w:lang w:val="en-US" w:eastAsia="zh-CN"/>
              </w:rPr>
              <w:t>处</w:t>
            </w:r>
            <w:r>
              <w:rPr>
                <w:rFonts w:hint="eastAsia"/>
                <w:b/>
                <w:color w:val="auto"/>
                <w:szCs w:val="20"/>
                <w:highlight w:val="none"/>
              </w:rPr>
              <w:t>农户</w:t>
            </w:r>
            <w:r>
              <w:rPr>
                <w:rFonts w:hint="eastAsia"/>
                <w:b/>
                <w:color w:val="auto"/>
                <w:szCs w:val="20"/>
                <w:highlight w:val="none"/>
                <w:lang w:val="en-US" w:eastAsia="zh-CN"/>
              </w:rPr>
              <w:t>家</w:t>
            </w:r>
            <w:r>
              <w:rPr>
                <w:rFonts w:hint="eastAsia"/>
                <w:b/>
                <w:color w:val="auto"/>
                <w:szCs w:val="20"/>
                <w:highlight w:val="none"/>
                <w:lang w:eastAsia="zh-CN"/>
              </w:rPr>
              <w:t>（</w:t>
            </w:r>
            <w:r>
              <w:rPr>
                <w:rFonts w:hint="eastAsia"/>
                <w:b/>
                <w:color w:val="auto"/>
                <w:szCs w:val="20"/>
                <w:highlight w:val="none"/>
              </w:rPr>
              <w:t>E:104.9866</w:t>
            </w:r>
            <w:r>
              <w:rPr>
                <w:rFonts w:hint="eastAsia"/>
                <w:b/>
                <w:color w:val="auto"/>
                <w:szCs w:val="20"/>
                <w:highlight w:val="none"/>
                <w:lang w:val="en-US" w:eastAsia="zh-CN"/>
              </w:rPr>
              <w:t>15</w:t>
            </w:r>
            <w:r>
              <w:rPr>
                <w:rFonts w:hint="eastAsia"/>
                <w:b/>
                <w:color w:val="auto"/>
                <w:szCs w:val="20"/>
                <w:highlight w:val="none"/>
                <w:lang w:eastAsia="zh-CN"/>
              </w:rPr>
              <w:t>，</w:t>
            </w:r>
            <w:r>
              <w:rPr>
                <w:rFonts w:hint="eastAsia"/>
                <w:b/>
                <w:color w:val="auto"/>
                <w:szCs w:val="20"/>
                <w:highlight w:val="none"/>
              </w:rPr>
              <w:t>N:31.40476</w:t>
            </w:r>
            <w:r>
              <w:rPr>
                <w:rFonts w:hint="eastAsia"/>
                <w:b/>
                <w:color w:val="auto"/>
                <w:szCs w:val="20"/>
                <w:highlight w:val="none"/>
                <w:lang w:val="en-US" w:eastAsia="zh-CN"/>
              </w:rPr>
              <w:t>5</w:t>
            </w:r>
            <w:r>
              <w:rPr>
                <w:rFonts w:hint="eastAsia"/>
                <w:b/>
                <w:color w:val="auto"/>
                <w:szCs w:val="20"/>
                <w:highlight w:val="none"/>
              </w:rPr>
              <w:t>）</w:t>
            </w:r>
          </w:p>
        </w:tc>
        <w:tc>
          <w:tcPr>
            <w:tcW w:w="1061"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134" w:type="dxa"/>
            <w:vMerge w:val="restart"/>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rFonts w:hint="default" w:eastAsia="宋体"/>
                <w:color w:val="auto"/>
                <w:szCs w:val="20"/>
                <w:highlight w:val="none"/>
                <w:lang w:val="en-US" w:eastAsia="zh-CN"/>
              </w:rPr>
            </w:pPr>
            <w:r>
              <w:rPr>
                <w:color w:val="auto"/>
                <w:szCs w:val="20"/>
                <w:highlight w:val="none"/>
              </w:rPr>
              <w:t>2020.</w:t>
            </w:r>
            <w:r>
              <w:rPr>
                <w:rFonts w:hint="eastAsia"/>
                <w:color w:val="auto"/>
                <w:szCs w:val="20"/>
                <w:highlight w:val="none"/>
                <w:lang w:val="en-US" w:eastAsia="zh-CN"/>
              </w:rPr>
              <w:t>12</w:t>
            </w:r>
            <w:r>
              <w:rPr>
                <w:color w:val="auto"/>
                <w:szCs w:val="20"/>
                <w:highlight w:val="none"/>
              </w:rPr>
              <w:t>.</w:t>
            </w:r>
            <w:r>
              <w:rPr>
                <w:rFonts w:hint="eastAsia"/>
                <w:color w:val="auto"/>
                <w:szCs w:val="20"/>
                <w:highlight w:val="none"/>
                <w:lang w:val="en-US" w:eastAsia="zh-CN"/>
              </w:rPr>
              <w:t>25</w:t>
            </w: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eastAsia="zh-CN"/>
              </w:rPr>
            </w:pPr>
            <w:r>
              <w:rPr>
                <w:rFonts w:hAnsi="宋体" w:cs="宋体"/>
                <w:color w:val="auto"/>
                <w:kern w:val="0"/>
                <w:sz w:val="20"/>
                <w:szCs w:val="20"/>
                <w:highlight w:val="none"/>
              </w:rPr>
              <w:t>pH</w:t>
            </w:r>
            <w:r>
              <w:rPr>
                <w:rFonts w:hint="eastAsia" w:hAnsi="宋体" w:cs="宋体"/>
                <w:color w:val="auto"/>
                <w:kern w:val="0"/>
                <w:sz w:val="20"/>
                <w:szCs w:val="20"/>
                <w:highlight w:val="none"/>
                <w:lang w:eastAsia="zh-CN"/>
              </w:rPr>
              <w:t>（</w:t>
            </w:r>
            <w:r>
              <w:rPr>
                <w:rFonts w:hint="eastAsia" w:hAnsi="宋体" w:cs="宋体"/>
                <w:color w:val="auto"/>
                <w:kern w:val="0"/>
                <w:sz w:val="20"/>
                <w:szCs w:val="20"/>
                <w:highlight w:val="none"/>
                <w:lang w:val="en-US" w:eastAsia="zh-CN"/>
              </w:rPr>
              <w:t>无量纲</w:t>
            </w:r>
            <w:r>
              <w:rPr>
                <w:rFonts w:hint="eastAsia" w:hAnsi="宋体" w:cs="宋体"/>
                <w:color w:val="auto"/>
                <w:kern w:val="0"/>
                <w:sz w:val="20"/>
                <w:szCs w:val="20"/>
                <w:highlight w:val="none"/>
                <w:lang w:eastAsia="zh-CN"/>
              </w:rPr>
              <w:t>）</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6.74</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6.83</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6.81</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无量纲</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rFonts w:hint="eastAsia"/>
                <w:color w:val="auto"/>
                <w:kern w:val="2"/>
                <w:sz w:val="20"/>
                <w:szCs w:val="20"/>
                <w:highlight w:val="none"/>
                <w:lang w:val="en-US" w:eastAsia="zh-CN" w:bidi="ar-SA"/>
              </w:rPr>
            </w:pPr>
            <w:r>
              <w:rPr>
                <w:rFonts w:hint="eastAsia" w:hAnsi="宋体" w:cs="宋体"/>
                <w:color w:val="auto"/>
                <w:kern w:val="0"/>
                <w:szCs w:val="20"/>
                <w:highlight w:val="none"/>
              </w:rPr>
              <w:t>耗氧量</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0.26</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0.91</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0.23</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rFonts w:hint="eastAsia" w:hAnsi="宋体" w:cs="宋体"/>
                <w:color w:val="auto"/>
                <w:kern w:val="0"/>
                <w:sz w:val="20"/>
                <w:szCs w:val="20"/>
                <w:highlight w:val="none"/>
              </w:rPr>
            </w:pPr>
            <w:r>
              <w:rPr>
                <w:rFonts w:hAnsi="宋体" w:cs="宋体"/>
                <w:color w:val="auto"/>
                <w:kern w:val="0"/>
                <w:szCs w:val="20"/>
                <w:highlight w:val="none"/>
              </w:rPr>
              <w:t>氨氮</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0.074</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0.082</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highlight w:val="none"/>
                <w:lang w:val="en-US" w:eastAsia="zh-CN"/>
              </w:rPr>
            </w:pPr>
            <w:r>
              <w:rPr>
                <w:rFonts w:hint="eastAsia"/>
                <w:color w:val="auto"/>
                <w:sz w:val="20"/>
                <w:szCs w:val="20"/>
                <w:highlight w:val="none"/>
                <w:lang w:val="en-US" w:eastAsia="zh-CN"/>
              </w:rPr>
              <w:t>0.068</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rFonts w:hint="eastAsia"/>
                <w:color w:val="auto"/>
                <w:szCs w:val="20"/>
                <w:highlight w:val="none"/>
              </w:rPr>
              <w:t>溶解性总固体</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561</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579</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428</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rFonts w:hint="eastAsia" w:hAnsi="宋体" w:eastAsia="宋体" w:cs="宋体"/>
                <w:color w:val="auto"/>
                <w:kern w:val="0"/>
                <w:szCs w:val="20"/>
                <w:highlight w:val="none"/>
                <w:lang w:val="en-US" w:eastAsia="zh-CN"/>
              </w:rPr>
            </w:pPr>
            <w:r>
              <w:rPr>
                <w:rFonts w:hint="eastAsia" w:hAnsi="宋体" w:cs="宋体"/>
                <w:color w:val="auto"/>
                <w:kern w:val="0"/>
                <w:szCs w:val="20"/>
                <w:highlight w:val="none"/>
                <w:lang w:val="en-US" w:eastAsia="zh-CN"/>
              </w:rPr>
              <w:t>挥发酚</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ND</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rPr>
              <w:t>总硬度</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197</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320</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244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rFonts w:hint="eastAsia" w:hAnsi="宋体" w:cs="宋体"/>
                <w:color w:val="auto"/>
                <w:kern w:val="0"/>
                <w:szCs w:val="20"/>
                <w:highlight w:val="none"/>
              </w:rPr>
              <w:t>硫酸盐</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37.2</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71.0</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72.5</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Ansi="宋体" w:cs="宋体"/>
                <w:color w:val="auto"/>
                <w:kern w:val="0"/>
                <w:sz w:val="20"/>
                <w:szCs w:val="20"/>
                <w:highlight w:val="none"/>
              </w:rPr>
              <w:t>钾</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1.32</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2.94</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1.84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lang w:val="en-US" w:eastAsia="zh-CN" w:bidi="ar-SA"/>
              </w:rPr>
            </w:pPr>
            <w:r>
              <w:rPr>
                <w:rFonts w:hAnsi="宋体" w:cs="宋体"/>
                <w:color w:val="auto"/>
                <w:kern w:val="0"/>
                <w:sz w:val="20"/>
                <w:szCs w:val="20"/>
                <w:highlight w:val="none"/>
              </w:rPr>
              <w:t>钠</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84.0</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28.2</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b/>
                <w:color w:val="auto"/>
                <w:kern w:val="2"/>
                <w:sz w:val="20"/>
                <w:szCs w:val="20"/>
                <w:highlight w:val="none"/>
                <w:lang w:val="en-US" w:eastAsia="zh-CN" w:bidi="ar-SA"/>
              </w:rPr>
            </w:pPr>
            <w:r>
              <w:rPr>
                <w:rFonts w:hint="eastAsia"/>
                <w:b w:val="0"/>
                <w:bCs/>
                <w:color w:val="auto"/>
                <w:sz w:val="20"/>
                <w:szCs w:val="20"/>
                <w:highlight w:val="none"/>
                <w:lang w:val="en-US" w:eastAsia="zh-CN"/>
              </w:rPr>
              <w:t>16.4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Ansi="宋体" w:cs="宋体"/>
                <w:color w:val="auto"/>
                <w:kern w:val="0"/>
                <w:sz w:val="20"/>
                <w:szCs w:val="20"/>
                <w:highlight w:val="none"/>
              </w:rPr>
              <w:t>钙</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60.0</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b/>
                <w:color w:val="auto"/>
                <w:kern w:val="2"/>
                <w:sz w:val="20"/>
                <w:szCs w:val="20"/>
                <w:highlight w:val="none"/>
                <w:lang w:val="en-US" w:eastAsia="zh-CN" w:bidi="ar-SA"/>
              </w:rPr>
            </w:pPr>
            <w:r>
              <w:rPr>
                <w:rFonts w:hint="eastAsia"/>
                <w:b w:val="0"/>
                <w:bCs/>
                <w:color w:val="auto"/>
                <w:sz w:val="20"/>
                <w:szCs w:val="20"/>
                <w:highlight w:val="none"/>
                <w:lang w:val="en-US" w:eastAsia="zh-CN"/>
              </w:rPr>
              <w:t>104</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78.4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lang w:val="en-US" w:eastAsia="zh-CN" w:bidi="ar-SA"/>
              </w:rPr>
            </w:pPr>
            <w:r>
              <w:rPr>
                <w:rFonts w:hAnsi="宋体" w:cs="宋体"/>
                <w:color w:val="auto"/>
                <w:kern w:val="0"/>
                <w:sz w:val="20"/>
                <w:szCs w:val="20"/>
                <w:highlight w:val="none"/>
              </w:rPr>
              <w:t>镁</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12.4</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18.6</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14.4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lang w:val="en-US" w:eastAsia="zh-CN" w:bidi="ar-SA"/>
              </w:rPr>
            </w:pPr>
            <w:r>
              <w:rPr>
                <w:rFonts w:hAnsi="宋体" w:cs="宋体"/>
                <w:color w:val="auto"/>
                <w:kern w:val="0"/>
                <w:sz w:val="20"/>
                <w:szCs w:val="20"/>
                <w:highlight w:val="none"/>
              </w:rPr>
              <w:t>砷</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Ansi="宋体" w:cs="宋体"/>
                <w:color w:val="auto"/>
                <w:kern w:val="0"/>
                <w:sz w:val="20"/>
                <w:szCs w:val="20"/>
                <w:highlight w:val="none"/>
              </w:rPr>
              <w:t>汞</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default" w:hAnsi="宋体" w:cs="宋体"/>
                <w:color w:val="auto"/>
                <w:kern w:val="0"/>
                <w:sz w:val="20"/>
                <w:szCs w:val="20"/>
                <w:highlight w:val="none"/>
                <w:lang w:val="en-US" w:eastAsia="zh-CN"/>
              </w:rPr>
              <w:t>2.4×10</w:t>
            </w:r>
            <w:r>
              <w:rPr>
                <w:rFonts w:hint="default" w:hAnsi="宋体" w:cs="宋体"/>
                <w:color w:val="auto"/>
                <w:kern w:val="0"/>
                <w:sz w:val="20"/>
                <w:szCs w:val="20"/>
                <w:highlight w:val="none"/>
                <w:vertAlign w:val="superscript"/>
                <w:lang w:val="en-US" w:eastAsia="zh-CN"/>
              </w:rPr>
              <w:t xml:space="preserve"> -4</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2.9×10</w:t>
            </w:r>
            <w:r>
              <w:rPr>
                <w:rFonts w:hint="eastAsia" w:hAnsi="宋体" w:cs="宋体"/>
                <w:color w:val="auto"/>
                <w:kern w:val="0"/>
                <w:sz w:val="20"/>
                <w:szCs w:val="20"/>
                <w:highlight w:val="none"/>
                <w:vertAlign w:val="superscript"/>
                <w:lang w:val="en-US" w:eastAsia="zh-CN"/>
              </w:rPr>
              <w:t xml:space="preserve"> -4</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2.4×10</w:t>
            </w:r>
            <w:r>
              <w:rPr>
                <w:rFonts w:hint="eastAsia" w:hAnsi="宋体" w:cs="宋体"/>
                <w:color w:val="auto"/>
                <w:kern w:val="0"/>
                <w:sz w:val="20"/>
                <w:szCs w:val="20"/>
                <w:highlight w:val="none"/>
                <w:vertAlign w:val="superscript"/>
                <w:lang w:val="en-US" w:eastAsia="zh-CN"/>
              </w:rPr>
              <w:t xml:space="preserve"> -4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Ansi="宋体" w:cs="宋体"/>
                <w:color w:val="auto"/>
                <w:kern w:val="0"/>
                <w:szCs w:val="20"/>
                <w:highlight w:val="none"/>
              </w:rPr>
              <w:t>铅</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2×10</w:t>
            </w:r>
            <w:r>
              <w:rPr>
                <w:rFonts w:hint="eastAsia" w:hAnsi="宋体" w:cs="宋体"/>
                <w:color w:val="auto"/>
                <w:kern w:val="0"/>
                <w:sz w:val="20"/>
                <w:szCs w:val="20"/>
                <w:highlight w:val="none"/>
                <w:vertAlign w:val="superscript"/>
                <w:lang w:val="en-US" w:eastAsia="zh-CN"/>
              </w:rPr>
              <w:t xml:space="preserve"> -3</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 xml:space="preserve">2×10 </w:t>
            </w:r>
            <w:r>
              <w:rPr>
                <w:rFonts w:hint="eastAsia" w:hAnsi="宋体" w:cs="宋体"/>
                <w:color w:val="auto"/>
                <w:kern w:val="0"/>
                <w:sz w:val="20"/>
                <w:szCs w:val="20"/>
                <w:highlight w:val="none"/>
                <w:vertAlign w:val="superscript"/>
                <w:lang w:val="en-US" w:eastAsia="zh-CN"/>
              </w:rPr>
              <w:t>-3</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1×10</w:t>
            </w:r>
            <w:r>
              <w:rPr>
                <w:rFonts w:hint="eastAsia" w:hAnsi="宋体" w:cs="宋体"/>
                <w:color w:val="auto"/>
                <w:kern w:val="0"/>
                <w:sz w:val="20"/>
                <w:szCs w:val="20"/>
                <w:highlight w:val="none"/>
                <w:vertAlign w:val="superscript"/>
                <w:lang w:val="en-US" w:eastAsia="zh-CN"/>
              </w:rPr>
              <w:t xml:space="preserve"> -3</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Ansi="宋体" w:cs="宋体"/>
                <w:color w:val="auto"/>
                <w:kern w:val="0"/>
                <w:szCs w:val="20"/>
                <w:highlight w:val="none"/>
              </w:rPr>
              <w:t>镉</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1.6×10</w:t>
            </w:r>
            <w:r>
              <w:rPr>
                <w:rFonts w:hint="eastAsia" w:hAnsi="宋体" w:cs="宋体"/>
                <w:color w:val="auto"/>
                <w:kern w:val="0"/>
                <w:sz w:val="20"/>
                <w:szCs w:val="20"/>
                <w:highlight w:val="none"/>
                <w:vertAlign w:val="superscript"/>
                <w:lang w:val="en-US" w:eastAsia="zh-CN"/>
              </w:rPr>
              <w:t xml:space="preserve"> -3</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1.1×10</w:t>
            </w:r>
            <w:r>
              <w:rPr>
                <w:rFonts w:hint="eastAsia" w:hAnsi="宋体" w:cs="宋体"/>
                <w:color w:val="auto"/>
                <w:kern w:val="0"/>
                <w:sz w:val="20"/>
                <w:szCs w:val="20"/>
                <w:highlight w:val="none"/>
                <w:vertAlign w:val="superscript"/>
                <w:lang w:val="en-US" w:eastAsia="zh-CN"/>
              </w:rPr>
              <w:t xml:space="preserve"> -3</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1.8×10</w:t>
            </w:r>
            <w:r>
              <w:rPr>
                <w:rFonts w:hint="eastAsia" w:hAnsi="宋体" w:cs="宋体"/>
                <w:color w:val="auto"/>
                <w:kern w:val="0"/>
                <w:sz w:val="20"/>
                <w:szCs w:val="20"/>
                <w:highlight w:val="none"/>
                <w:vertAlign w:val="superscript"/>
                <w:lang w:val="en-US" w:eastAsia="zh-CN"/>
              </w:rPr>
              <w:t xml:space="preserve"> -3</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lang w:val="en-US" w:eastAsia="zh-CN" w:bidi="ar-SA"/>
              </w:rPr>
            </w:pPr>
            <w:r>
              <w:rPr>
                <w:rFonts w:hint="eastAsia" w:hAnsi="宋体" w:cs="宋体"/>
                <w:color w:val="auto"/>
                <w:kern w:val="0"/>
                <w:sz w:val="20"/>
                <w:szCs w:val="20"/>
                <w:highlight w:val="none"/>
              </w:rPr>
              <w:t>铁</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0.08</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0.10</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0.10</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Ansi="宋体" w:cs="宋体"/>
                <w:color w:val="auto"/>
                <w:kern w:val="0"/>
                <w:sz w:val="20"/>
                <w:szCs w:val="20"/>
                <w:highlight w:val="none"/>
              </w:rPr>
              <w:t>锰</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0.02</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color w:val="auto"/>
                <w:kern w:val="2"/>
                <w:sz w:val="20"/>
                <w:szCs w:val="20"/>
                <w:highlight w:val="none"/>
                <w:lang w:val="en-US" w:eastAsia="zh-CN" w:bidi="ar-SA"/>
              </w:rPr>
            </w:pPr>
            <w:r>
              <w:rPr>
                <w:rFonts w:hint="eastAsia"/>
                <w:color w:val="auto"/>
                <w:sz w:val="20"/>
                <w:szCs w:val="20"/>
                <w:highlight w:val="none"/>
              </w:rPr>
              <w:t>N</w:t>
            </w:r>
            <w:r>
              <w:rPr>
                <w:color w:val="auto"/>
                <w:sz w:val="20"/>
                <w:szCs w:val="20"/>
                <w:highlight w:val="none"/>
              </w:rPr>
              <w:t>D</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color w:val="auto"/>
                <w:kern w:val="2"/>
                <w:sz w:val="20"/>
                <w:szCs w:val="20"/>
                <w:highlight w:val="none"/>
                <w:lang w:val="en-US" w:eastAsia="zh-CN" w:bidi="ar-SA"/>
              </w:rPr>
            </w:pPr>
            <w:r>
              <w:rPr>
                <w:rFonts w:hint="eastAsia"/>
                <w:color w:val="auto"/>
                <w:sz w:val="20"/>
                <w:szCs w:val="20"/>
                <w:highlight w:val="none"/>
              </w:rPr>
              <w:t>N</w:t>
            </w:r>
            <w:r>
              <w:rPr>
                <w:color w:val="auto"/>
                <w:sz w:val="20"/>
                <w:szCs w:val="20"/>
                <w:highlight w:val="none"/>
              </w:rPr>
              <w:t>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rFonts w:hint="eastAsia" w:eastAsia="宋体"/>
                <w:color w:val="auto"/>
                <w:kern w:val="2"/>
                <w:sz w:val="20"/>
                <w:szCs w:val="20"/>
                <w:highlight w:val="none"/>
                <w:lang w:val="en-US" w:eastAsia="zh-CN" w:bidi="ar-SA"/>
              </w:rPr>
            </w:pPr>
            <w:r>
              <w:rPr>
                <w:rFonts w:hAnsi="宋体" w:cs="宋体"/>
                <w:color w:val="auto"/>
                <w:kern w:val="0"/>
                <w:szCs w:val="20"/>
                <w:highlight w:val="none"/>
              </w:rPr>
              <w:t>铬</w:t>
            </w:r>
            <w:r>
              <w:rPr>
                <w:rFonts w:hint="eastAsia" w:hAnsi="宋体" w:cs="宋体"/>
                <w:color w:val="auto"/>
                <w:kern w:val="0"/>
                <w:szCs w:val="20"/>
                <w:highlight w:val="none"/>
                <w:lang w:eastAsia="zh-CN"/>
              </w:rPr>
              <w:t>（</w:t>
            </w:r>
            <w:r>
              <w:rPr>
                <w:rFonts w:hAnsi="宋体" w:cs="宋体"/>
                <w:color w:val="auto"/>
                <w:kern w:val="0"/>
                <w:szCs w:val="20"/>
                <w:highlight w:val="none"/>
              </w:rPr>
              <w:t>六价</w:t>
            </w:r>
            <w:r>
              <w:rPr>
                <w:rFonts w:hint="eastAsia" w:hAnsi="宋体" w:cs="宋体"/>
                <w:color w:val="auto"/>
                <w:kern w:val="0"/>
                <w:szCs w:val="20"/>
                <w:highlight w:val="none"/>
                <w:lang w:eastAsia="zh-CN"/>
              </w:rPr>
              <w:t>）</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514"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lang w:val="en-US" w:eastAsia="zh-CN" w:bidi="ar-SA"/>
              </w:rPr>
            </w:pPr>
            <w:r>
              <w:rPr>
                <w:rFonts w:hint="eastAsia" w:hAnsi="宋体" w:cs="宋体"/>
                <w:color w:val="auto"/>
                <w:kern w:val="0"/>
                <w:sz w:val="20"/>
                <w:szCs w:val="20"/>
                <w:highlight w:val="none"/>
              </w:rPr>
              <w:t>硝酸盐（以N计）</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7.71</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9.40</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8.14</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rFonts w:hint="eastAsia"/>
                <w:color w:val="auto"/>
                <w:kern w:val="2"/>
                <w:sz w:val="20"/>
                <w:szCs w:val="20"/>
                <w:highlight w:val="none"/>
                <w:lang w:val="en-US" w:eastAsia="zh-CN" w:bidi="ar-SA"/>
              </w:rPr>
            </w:pPr>
            <w:r>
              <w:rPr>
                <w:rFonts w:hint="eastAsia" w:hAnsi="宋体" w:cs="宋体"/>
                <w:color w:val="auto"/>
                <w:kern w:val="0"/>
                <w:szCs w:val="20"/>
                <w:highlight w:val="none"/>
              </w:rPr>
              <w:t>亚硝酸盐</w:t>
            </w:r>
            <w:r>
              <w:rPr>
                <w:rFonts w:hint="eastAsia" w:hAnsi="宋体" w:cs="宋体"/>
                <w:color w:val="auto"/>
                <w:kern w:val="0"/>
                <w:sz w:val="20"/>
                <w:szCs w:val="20"/>
                <w:highlight w:val="none"/>
              </w:rPr>
              <w:t>（以N计）</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ND</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rFonts w:hint="eastAsia" w:eastAsia="宋体"/>
                <w:color w:val="auto"/>
                <w:szCs w:val="20"/>
                <w:highlight w:val="none"/>
                <w:lang w:eastAsia="zh-CN"/>
              </w:rPr>
            </w:pPr>
            <w:r>
              <w:rPr>
                <w:rFonts w:hint="eastAsia" w:hAnsi="宋体" w:cs="宋体"/>
                <w:color w:val="auto"/>
                <w:kern w:val="0"/>
                <w:szCs w:val="20"/>
                <w:highlight w:val="none"/>
                <w:lang w:val="en-US" w:eastAsia="zh-CN"/>
              </w:rPr>
              <w:t>碳酸盐</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ND</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rFonts w:hint="eastAsia" w:hAnsi="宋体" w:cs="宋体"/>
                <w:color w:val="auto"/>
                <w:kern w:val="0"/>
                <w:szCs w:val="20"/>
                <w:highlight w:val="none"/>
              </w:rPr>
            </w:pPr>
            <w:r>
              <w:rPr>
                <w:rFonts w:hint="eastAsia" w:hAnsi="宋体" w:cs="宋体"/>
                <w:color w:val="auto"/>
                <w:kern w:val="0"/>
                <w:szCs w:val="20"/>
                <w:highlight w:val="none"/>
                <w:lang w:val="en-US" w:eastAsia="zh-CN"/>
              </w:rPr>
              <w:t>重碳酸盐</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353</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336</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color w:val="auto"/>
                <w:sz w:val="20"/>
                <w:szCs w:val="20"/>
                <w:highlight w:val="none"/>
                <w:lang w:val="en-US" w:eastAsia="zh-CN"/>
              </w:rPr>
            </w:pPr>
            <w:r>
              <w:rPr>
                <w:rFonts w:hint="eastAsia"/>
                <w:color w:val="auto"/>
                <w:sz w:val="20"/>
                <w:szCs w:val="20"/>
                <w:highlight w:val="none"/>
                <w:lang w:val="en-US" w:eastAsia="zh-CN"/>
              </w:rPr>
              <w:t>218</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氯化物</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eastAsia="宋体" w:cs="宋体"/>
                <w:color w:val="auto"/>
                <w:kern w:val="0"/>
                <w:sz w:val="20"/>
                <w:szCs w:val="20"/>
                <w:highlight w:val="none"/>
                <w:lang w:val="en-US" w:eastAsia="zh-CN"/>
              </w:rPr>
              <w:t>35.0</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eastAsia="宋体"/>
                <w:color w:val="auto"/>
                <w:sz w:val="20"/>
                <w:szCs w:val="20"/>
                <w:highlight w:val="none"/>
                <w:lang w:val="en-US" w:eastAsia="zh-CN"/>
              </w:rPr>
              <w:t>21.7</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eastAsia="宋体"/>
                <w:color w:val="auto"/>
                <w:sz w:val="20"/>
                <w:szCs w:val="20"/>
                <w:highlight w:val="none"/>
                <w:lang w:val="en-US" w:eastAsia="zh-CN"/>
              </w:rPr>
              <w:t>19.5</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rFonts w:hint="default" w:hAnsi="宋体" w:eastAsia="宋体" w:cs="宋体"/>
                <w:color w:val="auto"/>
                <w:kern w:val="0"/>
                <w:szCs w:val="20"/>
                <w:highlight w:val="none"/>
                <w:lang w:val="en-US" w:eastAsia="zh-CN"/>
              </w:rPr>
            </w:pPr>
            <w:r>
              <w:rPr>
                <w:rFonts w:hint="eastAsia" w:hAnsi="宋体" w:cs="宋体"/>
                <w:color w:val="auto"/>
                <w:kern w:val="0"/>
                <w:szCs w:val="20"/>
                <w:highlight w:val="none"/>
                <w:lang w:val="en-US" w:eastAsia="zh-CN"/>
              </w:rPr>
              <w:t>氰化物</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eastAsia"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ND</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ND</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kern w:val="2"/>
                <w:sz w:val="20"/>
                <w:szCs w:val="20"/>
                <w:highlight w:val="none"/>
                <w:lang w:val="en-US" w:eastAsia="zh-CN" w:bidi="ar-SA"/>
              </w:rPr>
            </w:pPr>
            <w:r>
              <w:rPr>
                <w:rFonts w:hint="eastAsia"/>
                <w:color w:val="auto"/>
                <w:sz w:val="20"/>
                <w:szCs w:val="20"/>
                <w:highlight w:val="none"/>
                <w:lang w:val="en-US" w:eastAsia="zh-CN"/>
              </w:rPr>
              <w:t>ND</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hAnsi="宋体" w:cs="宋体"/>
                <w:color w:val="auto"/>
                <w:kern w:val="0"/>
                <w:szCs w:val="20"/>
                <w:highlight w:val="none"/>
              </w:rPr>
              <w:t>氟化物</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bidi="ar-SA"/>
              </w:rPr>
            </w:pPr>
            <w:r>
              <w:rPr>
                <w:rFonts w:hint="eastAsia" w:hAnsi="宋体" w:cs="宋体"/>
                <w:color w:val="auto"/>
                <w:kern w:val="0"/>
                <w:sz w:val="20"/>
                <w:szCs w:val="20"/>
                <w:highlight w:val="none"/>
                <w:lang w:val="en-US" w:eastAsia="zh-CN"/>
              </w:rPr>
              <w:t>0.310</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kern w:val="2"/>
                <w:sz w:val="20"/>
                <w:szCs w:val="20"/>
                <w:highlight w:val="none"/>
                <w:lang w:val="en-US" w:eastAsia="zh-CN" w:bidi="ar-SA"/>
              </w:rPr>
            </w:pPr>
            <w:r>
              <w:rPr>
                <w:rFonts w:hint="eastAsia"/>
                <w:color w:val="auto"/>
                <w:sz w:val="20"/>
                <w:szCs w:val="20"/>
                <w:highlight w:val="none"/>
                <w:lang w:val="en-US" w:eastAsia="zh-CN"/>
              </w:rPr>
              <w:t>0.140</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kern w:val="2"/>
                <w:sz w:val="20"/>
                <w:szCs w:val="20"/>
                <w:highlight w:val="none"/>
                <w:lang w:val="en-US" w:eastAsia="zh-CN" w:bidi="ar-SA"/>
              </w:rPr>
            </w:pPr>
            <w:r>
              <w:rPr>
                <w:rFonts w:hint="eastAsia"/>
                <w:color w:val="auto"/>
                <w:sz w:val="20"/>
                <w:szCs w:val="20"/>
                <w:highlight w:val="none"/>
                <w:lang w:val="en-US" w:eastAsia="zh-CN"/>
              </w:rPr>
              <w:t>0.169</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细菌总数（CFU/ml）</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29</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38</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highlight w:val="none"/>
                <w:lang w:val="en-US" w:eastAsia="zh-CN"/>
              </w:rPr>
            </w:pPr>
            <w:r>
              <w:rPr>
                <w:rFonts w:hint="eastAsia"/>
                <w:color w:val="auto"/>
                <w:sz w:val="20"/>
                <w:szCs w:val="20"/>
                <w:highlight w:val="none"/>
                <w:lang w:val="en-US" w:eastAsia="zh-CN"/>
              </w:rPr>
              <w:t>63</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mg/L</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34" w:type="dxa"/>
            <w:vMerge w:val="continue"/>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p>
        </w:tc>
        <w:tc>
          <w:tcPr>
            <w:tcW w:w="1960"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rFonts w:hint="eastAsia" w:eastAsia="宋体"/>
                <w:color w:val="auto"/>
                <w:szCs w:val="20"/>
                <w:highlight w:val="none"/>
                <w:lang w:eastAsia="zh-CN"/>
              </w:rPr>
            </w:pPr>
            <w:r>
              <w:rPr>
                <w:rFonts w:hAnsi="宋体" w:cs="宋体"/>
                <w:color w:val="auto"/>
                <w:kern w:val="0"/>
                <w:szCs w:val="20"/>
                <w:highlight w:val="none"/>
              </w:rPr>
              <w:t>总大肠菌群</w:t>
            </w:r>
            <w:r>
              <w:rPr>
                <w:rFonts w:hint="eastAsia" w:hAnsi="宋体" w:cs="宋体"/>
                <w:color w:val="auto"/>
                <w:kern w:val="0"/>
                <w:szCs w:val="20"/>
                <w:highlight w:val="none"/>
                <w:lang w:eastAsia="zh-CN"/>
              </w:rPr>
              <w:t>（</w:t>
            </w:r>
            <w:r>
              <w:rPr>
                <w:rFonts w:hint="eastAsia" w:hAnsi="宋体" w:cs="宋体"/>
                <w:color w:val="auto"/>
                <w:kern w:val="0"/>
                <w:szCs w:val="20"/>
                <w:highlight w:val="none"/>
                <w:lang w:val="en-US" w:eastAsia="zh-CN"/>
              </w:rPr>
              <w:t>MPN/100ml</w:t>
            </w:r>
            <w:r>
              <w:rPr>
                <w:rFonts w:hint="eastAsia" w:hAnsi="宋体" w:cs="宋体"/>
                <w:color w:val="auto"/>
                <w:kern w:val="0"/>
                <w:szCs w:val="20"/>
                <w:highlight w:val="none"/>
                <w:lang w:eastAsia="zh-CN"/>
              </w:rPr>
              <w:t>）</w:t>
            </w:r>
          </w:p>
        </w:tc>
        <w:tc>
          <w:tcPr>
            <w:tcW w:w="1497" w:type="dxa"/>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0" w:firstLineChars="0"/>
              <w:jc w:val="center"/>
              <w:textAlignment w:val="auto"/>
              <w:rPr>
                <w:rFonts w:hAnsi="宋体" w:cs="宋体"/>
                <w:color w:val="auto"/>
                <w:kern w:val="0"/>
                <w:sz w:val="20"/>
                <w:szCs w:val="20"/>
                <w:highlight w:val="none"/>
              </w:rPr>
            </w:pPr>
            <w:r>
              <w:rPr>
                <w:rFonts w:hAnsi="宋体" w:cs="宋体"/>
                <w:color w:val="auto"/>
                <w:kern w:val="0"/>
                <w:sz w:val="20"/>
                <w:szCs w:val="20"/>
                <w:highlight w:val="none"/>
              </w:rPr>
              <w:t>＜</w:t>
            </w:r>
            <w:r>
              <w:rPr>
                <w:rFonts w:hint="eastAsia" w:hAnsi="宋体" w:cs="宋体"/>
                <w:color w:val="auto"/>
                <w:kern w:val="0"/>
                <w:sz w:val="20"/>
                <w:szCs w:val="20"/>
                <w:highlight w:val="none"/>
              </w:rPr>
              <w:t>2</w:t>
            </w:r>
          </w:p>
        </w:tc>
        <w:tc>
          <w:tcPr>
            <w:tcW w:w="1621"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color w:val="auto"/>
                <w:sz w:val="20"/>
                <w:szCs w:val="20"/>
                <w:highlight w:val="none"/>
              </w:rPr>
            </w:pPr>
            <w:r>
              <w:rPr>
                <w:rFonts w:hAnsi="宋体" w:cs="宋体"/>
                <w:color w:val="auto"/>
                <w:kern w:val="0"/>
                <w:sz w:val="20"/>
                <w:szCs w:val="20"/>
                <w:highlight w:val="none"/>
              </w:rPr>
              <w:t>＜</w:t>
            </w:r>
            <w:r>
              <w:rPr>
                <w:rFonts w:hint="eastAsia" w:hAnsi="宋体" w:cs="宋体"/>
                <w:color w:val="auto"/>
                <w:kern w:val="0"/>
                <w:sz w:val="20"/>
                <w:szCs w:val="20"/>
                <w:highlight w:val="none"/>
              </w:rPr>
              <w:t>2</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0"/>
                <w:szCs w:val="20"/>
                <w:highlight w:val="none"/>
                <w:lang w:eastAsia="zh-CN"/>
              </w:rPr>
            </w:pPr>
            <w:r>
              <w:rPr>
                <w:rFonts w:hint="eastAsia" w:hAnsi="宋体" w:cs="宋体"/>
                <w:color w:val="auto"/>
                <w:kern w:val="0"/>
                <w:sz w:val="20"/>
                <w:szCs w:val="20"/>
                <w:highlight w:val="none"/>
                <w:lang w:val="en-US" w:eastAsia="zh-CN"/>
              </w:rPr>
              <w:t>2</w:t>
            </w:r>
          </w:p>
        </w:tc>
        <w:tc>
          <w:tcPr>
            <w:tcW w:w="1061" w:type="dxa"/>
            <w:noWrap w:val="0"/>
            <w:vAlign w:val="center"/>
          </w:tcPr>
          <w:p>
            <w:pPr>
              <w:pStyle w:val="110"/>
              <w:keepNext w:val="0"/>
              <w:keepLines w:val="0"/>
              <w:pageBreakBefore w:val="0"/>
              <w:kinsoku/>
              <w:wordWrap/>
              <w:overflowPunct/>
              <w:topLinePunct w:val="0"/>
              <w:autoSpaceDE/>
              <w:autoSpaceDN/>
              <w:bidi w:val="0"/>
              <w:adjustRightInd/>
              <w:snapToGrid/>
              <w:spacing w:line="0" w:lineRule="atLeast"/>
              <w:textAlignment w:val="auto"/>
              <w:rPr>
                <w:color w:val="auto"/>
                <w:szCs w:val="20"/>
                <w:highlight w:val="none"/>
              </w:rPr>
            </w:pPr>
            <w:r>
              <w:rPr>
                <w:color w:val="auto"/>
                <w:szCs w:val="20"/>
                <w:highlight w:val="none"/>
              </w:rPr>
              <w:t>MPN/100mL</w:t>
            </w:r>
          </w:p>
        </w:tc>
      </w:tr>
    </w:tbl>
    <w:p>
      <w:pPr>
        <w:spacing w:before="120" w:beforeLines="50"/>
        <w:ind w:firstLine="482"/>
        <w:rPr>
          <w:b/>
          <w:color w:val="auto"/>
        </w:rPr>
      </w:pPr>
      <w:r>
        <w:rPr>
          <w:b/>
          <w:color w:val="auto"/>
        </w:rPr>
        <w:t>5</w:t>
      </w:r>
      <w:r>
        <w:rPr>
          <w:rFonts w:hint="eastAsia"/>
          <w:b/>
          <w:color w:val="auto"/>
        </w:rPr>
        <w:t>、评价方法</w:t>
      </w:r>
    </w:p>
    <w:p>
      <w:pPr>
        <w:ind w:firstLine="480"/>
        <w:rPr>
          <w:color w:val="auto"/>
        </w:rPr>
      </w:pPr>
      <w:r>
        <w:rPr>
          <w:color w:val="auto"/>
        </w:rPr>
        <w:t>采用单项</w:t>
      </w:r>
      <w:r>
        <w:rPr>
          <w:rFonts w:hint="eastAsia"/>
          <w:color w:val="auto"/>
        </w:rPr>
        <w:t>水质</w:t>
      </w:r>
      <w:r>
        <w:rPr>
          <w:color w:val="auto"/>
        </w:rPr>
        <w:t>指数评价法，一般性水质因子（随着浓度增加而水质变差的水质因子）的指数计算</w:t>
      </w:r>
      <w:r>
        <w:rPr>
          <w:rFonts w:hint="eastAsia"/>
          <w:color w:val="auto"/>
        </w:rPr>
        <w:t>公式</w:t>
      </w:r>
      <w:r>
        <w:rPr>
          <w:color w:val="auto"/>
        </w:rPr>
        <w:t>为：</w:t>
      </w:r>
    </w:p>
    <w:p>
      <w:pPr>
        <w:spacing w:line="240" w:lineRule="auto"/>
        <w:ind w:firstLine="0" w:firstLineChars="0"/>
        <w:jc w:val="center"/>
        <w:rPr>
          <w:color w:val="auto"/>
        </w:rPr>
      </w:pPr>
      <w:r>
        <w:rPr>
          <w:color w:val="auto"/>
          <w:lang/>
        </w:rPr>
        <w:drawing>
          <wp:inline distT="0" distB="0" distL="114300" distR="114300">
            <wp:extent cx="605155" cy="405765"/>
            <wp:effectExtent l="0" t="0" r="4445" b="1333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55"/>
                    <a:stretch>
                      <a:fillRect/>
                    </a:stretch>
                  </pic:blipFill>
                  <pic:spPr>
                    <a:xfrm>
                      <a:off x="0" y="0"/>
                      <a:ext cx="605155" cy="405765"/>
                    </a:xfrm>
                    <a:prstGeom prst="rect">
                      <a:avLst/>
                    </a:prstGeom>
                    <a:noFill/>
                    <a:ln>
                      <a:noFill/>
                    </a:ln>
                  </pic:spPr>
                </pic:pic>
              </a:graphicData>
            </a:graphic>
          </wp:inline>
        </w:drawing>
      </w:r>
    </w:p>
    <w:p>
      <w:pPr>
        <w:ind w:firstLine="480"/>
        <w:rPr>
          <w:color w:val="auto"/>
        </w:rPr>
      </w:pPr>
      <w:r>
        <w:rPr>
          <w:color w:val="auto"/>
        </w:rPr>
        <w:t>式中：</w:t>
      </w:r>
      <w:r>
        <w:rPr>
          <w:i/>
          <w:color w:val="auto"/>
        </w:rPr>
        <w:t>P</w:t>
      </w:r>
      <w:r>
        <w:rPr>
          <w:i/>
          <w:color w:val="auto"/>
          <w:vertAlign w:val="subscript"/>
        </w:rPr>
        <w:t>i</w:t>
      </w:r>
      <w:r>
        <w:rPr>
          <w:color w:val="auto"/>
        </w:rPr>
        <w:t>——</w:t>
      </w:r>
      <w:r>
        <w:rPr>
          <w:rFonts w:hint="eastAsia"/>
          <w:color w:val="auto"/>
        </w:rPr>
        <w:t>第</w:t>
      </w:r>
      <w:r>
        <w:rPr>
          <w:rFonts w:hint="eastAsia"/>
          <w:i/>
          <w:color w:val="auto"/>
        </w:rPr>
        <w:t>i</w:t>
      </w:r>
      <w:r>
        <w:rPr>
          <w:rFonts w:hint="eastAsia"/>
          <w:color w:val="auto"/>
        </w:rPr>
        <w:t>个水质因子的标准指数，无量纲</w:t>
      </w:r>
      <w:r>
        <w:rPr>
          <w:color w:val="auto"/>
        </w:rPr>
        <w:t>；</w:t>
      </w:r>
    </w:p>
    <w:p>
      <w:pPr>
        <w:ind w:firstLine="1200" w:firstLineChars="500"/>
        <w:rPr>
          <w:color w:val="auto"/>
        </w:rPr>
      </w:pPr>
      <w:r>
        <w:rPr>
          <w:i/>
          <w:color w:val="auto"/>
        </w:rPr>
        <w:t>C</w:t>
      </w:r>
      <w:r>
        <w:rPr>
          <w:i/>
          <w:color w:val="auto"/>
          <w:vertAlign w:val="subscript"/>
        </w:rPr>
        <w:t>i</w:t>
      </w:r>
      <w:r>
        <w:rPr>
          <w:color w:val="auto"/>
        </w:rPr>
        <w:t>——</w:t>
      </w:r>
      <w:r>
        <w:rPr>
          <w:rFonts w:hint="eastAsia"/>
          <w:color w:val="auto"/>
        </w:rPr>
        <w:t>第</w:t>
      </w:r>
      <w:r>
        <w:rPr>
          <w:rFonts w:hint="eastAsia"/>
          <w:i/>
          <w:color w:val="auto"/>
        </w:rPr>
        <w:t>i</w:t>
      </w:r>
      <w:r>
        <w:rPr>
          <w:rFonts w:hint="eastAsia"/>
          <w:color w:val="auto"/>
        </w:rPr>
        <w:t>个水质因子的监测浓度值，</w:t>
      </w:r>
      <w:r>
        <w:rPr>
          <w:color w:val="auto"/>
        </w:rPr>
        <w:t>mg/L；</w:t>
      </w:r>
    </w:p>
    <w:p>
      <w:pPr>
        <w:ind w:firstLine="1200" w:firstLineChars="500"/>
        <w:rPr>
          <w:color w:val="auto"/>
        </w:rPr>
      </w:pPr>
      <w:r>
        <w:rPr>
          <w:i/>
          <w:color w:val="auto"/>
        </w:rPr>
        <w:t>C</w:t>
      </w:r>
      <w:r>
        <w:rPr>
          <w:i/>
          <w:color w:val="auto"/>
          <w:vertAlign w:val="subscript"/>
        </w:rPr>
        <w:t>si</w:t>
      </w:r>
      <w:r>
        <w:rPr>
          <w:color w:val="auto"/>
        </w:rPr>
        <w:t>——</w:t>
      </w:r>
      <w:r>
        <w:rPr>
          <w:rFonts w:hint="eastAsia"/>
          <w:color w:val="auto"/>
        </w:rPr>
        <w:t>第</w:t>
      </w:r>
      <w:r>
        <w:rPr>
          <w:rFonts w:hint="eastAsia"/>
          <w:i/>
          <w:color w:val="auto"/>
        </w:rPr>
        <w:t>i</w:t>
      </w:r>
      <w:r>
        <w:rPr>
          <w:rFonts w:hint="eastAsia"/>
          <w:color w:val="auto"/>
        </w:rPr>
        <w:t>个水质因子的标准浓度值，</w:t>
      </w:r>
      <w:r>
        <w:rPr>
          <w:color w:val="auto"/>
        </w:rPr>
        <w:t>mg/L。</w:t>
      </w:r>
    </w:p>
    <w:p>
      <w:pPr>
        <w:pStyle w:val="16"/>
        <w:spacing w:line="440" w:lineRule="exact"/>
        <w:ind w:firstLine="480"/>
        <w:rPr>
          <w:rFonts w:ascii="Times New Roman" w:hAnsi="Times New Roman"/>
          <w:color w:val="auto"/>
        </w:rPr>
      </w:pPr>
      <w:r>
        <w:rPr>
          <w:rFonts w:ascii="Times New Roman" w:hAnsi="Times New Roman"/>
          <w:color w:val="auto"/>
        </w:rPr>
        <w:t>pH值的指数计算公式为：</w:t>
      </w:r>
    </w:p>
    <w:p>
      <w:pPr>
        <w:ind w:firstLine="0" w:firstLineChars="0"/>
        <w:jc w:val="center"/>
        <w:rPr>
          <w:bCs/>
          <w:color w:val="auto"/>
        </w:rPr>
      </w:pPr>
      <w:r>
        <w:rPr>
          <w:color w:val="auto"/>
          <w:lang/>
        </w:rPr>
        <w:drawing>
          <wp:inline distT="0" distB="0" distL="114300" distR="114300">
            <wp:extent cx="1944370" cy="473075"/>
            <wp:effectExtent l="0" t="0" r="17780" b="3175"/>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56"/>
                    <a:srcRect r="7121"/>
                    <a:stretch>
                      <a:fillRect/>
                    </a:stretch>
                  </pic:blipFill>
                  <pic:spPr>
                    <a:xfrm>
                      <a:off x="0" y="0"/>
                      <a:ext cx="1944370" cy="473075"/>
                    </a:xfrm>
                    <a:prstGeom prst="rect">
                      <a:avLst/>
                    </a:prstGeom>
                    <a:noFill/>
                    <a:ln>
                      <a:noFill/>
                    </a:ln>
                  </pic:spPr>
                </pic:pic>
              </a:graphicData>
            </a:graphic>
          </wp:inline>
        </w:drawing>
      </w:r>
    </w:p>
    <w:p>
      <w:pPr>
        <w:ind w:firstLine="0" w:firstLineChars="0"/>
        <w:jc w:val="center"/>
        <w:rPr>
          <w:bCs/>
          <w:color w:val="auto"/>
        </w:rPr>
      </w:pPr>
      <w:r>
        <w:rPr>
          <w:color w:val="auto"/>
          <w:lang/>
        </w:rPr>
        <w:drawing>
          <wp:inline distT="0" distB="0" distL="114300" distR="114300">
            <wp:extent cx="1849120" cy="448945"/>
            <wp:effectExtent l="0" t="0" r="17780" b="825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57"/>
                    <a:stretch>
                      <a:fillRect/>
                    </a:stretch>
                  </pic:blipFill>
                  <pic:spPr>
                    <a:xfrm>
                      <a:off x="0" y="0"/>
                      <a:ext cx="1849120" cy="448945"/>
                    </a:xfrm>
                    <a:prstGeom prst="rect">
                      <a:avLst/>
                    </a:prstGeom>
                    <a:noFill/>
                    <a:ln>
                      <a:noFill/>
                    </a:ln>
                  </pic:spPr>
                </pic:pic>
              </a:graphicData>
            </a:graphic>
          </wp:inline>
        </w:drawing>
      </w:r>
    </w:p>
    <w:p>
      <w:pPr>
        <w:adjustRightInd w:val="0"/>
        <w:snapToGrid w:val="0"/>
        <w:ind w:firstLine="840" w:firstLineChars="350"/>
        <w:rPr>
          <w:rFonts w:hint="eastAsia"/>
          <w:bCs/>
          <w:color w:val="auto"/>
        </w:rPr>
      </w:pPr>
      <w:r>
        <w:rPr>
          <w:rFonts w:hint="eastAsia"/>
          <w:bCs/>
          <w:color w:val="auto"/>
        </w:rPr>
        <w:t>式中：</w:t>
      </w:r>
      <w:r>
        <w:rPr>
          <w:bCs/>
          <w:i/>
          <w:color w:val="auto"/>
        </w:rPr>
        <w:t>P</w:t>
      </w:r>
      <w:r>
        <w:rPr>
          <w:rFonts w:hint="eastAsia"/>
          <w:bCs/>
          <w:i/>
          <w:color w:val="auto"/>
          <w:vertAlign w:val="subscript"/>
        </w:rPr>
        <w:t>pH</w:t>
      </w:r>
      <w:r>
        <w:rPr>
          <w:bCs/>
          <w:color w:val="auto"/>
        </w:rPr>
        <w:t>——</w:t>
      </w:r>
      <w:r>
        <w:rPr>
          <w:rFonts w:hint="eastAsia"/>
          <w:bCs/>
          <w:color w:val="auto"/>
        </w:rPr>
        <w:t>pH的标准指数，无量纲；</w:t>
      </w:r>
    </w:p>
    <w:p>
      <w:pPr>
        <w:adjustRightInd w:val="0"/>
        <w:snapToGrid w:val="0"/>
        <w:ind w:firstLine="1560" w:firstLineChars="650"/>
        <w:rPr>
          <w:rFonts w:hint="eastAsia"/>
          <w:bCs/>
          <w:color w:val="auto"/>
        </w:rPr>
      </w:pPr>
      <w:r>
        <w:rPr>
          <w:rFonts w:hint="eastAsia"/>
          <w:bCs/>
          <w:i/>
          <w:color w:val="auto"/>
        </w:rPr>
        <w:t>pH</w:t>
      </w:r>
      <w:r>
        <w:rPr>
          <w:bCs/>
          <w:color w:val="auto"/>
        </w:rPr>
        <w:t>——</w:t>
      </w:r>
      <w:r>
        <w:rPr>
          <w:rFonts w:hint="eastAsia"/>
          <w:bCs/>
          <w:color w:val="auto"/>
        </w:rPr>
        <w:t>pH监测值；</w:t>
      </w:r>
    </w:p>
    <w:p>
      <w:pPr>
        <w:adjustRightInd w:val="0"/>
        <w:snapToGrid w:val="0"/>
        <w:ind w:firstLine="1560" w:firstLineChars="650"/>
        <w:rPr>
          <w:rFonts w:hint="eastAsia"/>
          <w:bCs/>
          <w:color w:val="auto"/>
        </w:rPr>
      </w:pPr>
      <w:r>
        <w:rPr>
          <w:rFonts w:hint="eastAsia"/>
          <w:bCs/>
          <w:i/>
          <w:color w:val="auto"/>
        </w:rPr>
        <w:t>pH</w:t>
      </w:r>
      <w:r>
        <w:rPr>
          <w:rFonts w:hint="eastAsia"/>
          <w:bCs/>
          <w:i/>
          <w:color w:val="auto"/>
          <w:vertAlign w:val="subscript"/>
        </w:rPr>
        <w:t>su</w:t>
      </w:r>
      <w:r>
        <w:rPr>
          <w:bCs/>
          <w:color w:val="auto"/>
        </w:rPr>
        <w:t>——</w:t>
      </w:r>
      <w:r>
        <w:rPr>
          <w:rFonts w:hint="eastAsia"/>
          <w:bCs/>
          <w:color w:val="auto"/>
        </w:rPr>
        <w:t>标准中pH的上限值；</w:t>
      </w:r>
    </w:p>
    <w:p>
      <w:pPr>
        <w:adjustRightInd w:val="0"/>
        <w:snapToGrid w:val="0"/>
        <w:ind w:firstLine="1560" w:firstLineChars="650"/>
        <w:rPr>
          <w:bCs/>
          <w:color w:val="auto"/>
        </w:rPr>
      </w:pPr>
      <w:r>
        <w:rPr>
          <w:rFonts w:hint="eastAsia"/>
          <w:bCs/>
          <w:i/>
          <w:color w:val="auto"/>
        </w:rPr>
        <w:t>pH</w:t>
      </w:r>
      <w:r>
        <w:rPr>
          <w:rFonts w:hint="eastAsia"/>
          <w:bCs/>
          <w:i/>
          <w:color w:val="auto"/>
          <w:vertAlign w:val="subscript"/>
        </w:rPr>
        <w:t>sd</w:t>
      </w:r>
      <w:r>
        <w:rPr>
          <w:bCs/>
          <w:color w:val="auto"/>
        </w:rPr>
        <w:t>——</w:t>
      </w:r>
      <w:r>
        <w:rPr>
          <w:rFonts w:hint="eastAsia"/>
          <w:bCs/>
          <w:color w:val="auto"/>
        </w:rPr>
        <w:t>标准中pH的下限值。</w:t>
      </w:r>
    </w:p>
    <w:p>
      <w:pPr>
        <w:ind w:firstLine="482"/>
        <w:rPr>
          <w:b/>
          <w:color w:val="auto"/>
        </w:rPr>
      </w:pPr>
      <w:r>
        <w:rPr>
          <w:b/>
          <w:color w:val="auto"/>
        </w:rPr>
        <w:t>6、</w:t>
      </w:r>
      <w:r>
        <w:rPr>
          <w:rFonts w:hint="eastAsia"/>
          <w:b/>
          <w:color w:val="auto"/>
        </w:rPr>
        <w:t>评价</w:t>
      </w:r>
      <w:r>
        <w:rPr>
          <w:b/>
          <w:color w:val="auto"/>
        </w:rPr>
        <w:t>结果</w:t>
      </w:r>
    </w:p>
    <w:p>
      <w:pPr>
        <w:ind w:firstLine="480"/>
        <w:rPr>
          <w:rFonts w:hint="eastAsia"/>
          <w:color w:val="auto"/>
        </w:rPr>
      </w:pPr>
      <w:r>
        <w:rPr>
          <w:rFonts w:hint="eastAsia"/>
          <w:color w:val="auto"/>
        </w:rPr>
        <w:t>采用上述单项水质指数评价法，本项目地下水水质评价</w:t>
      </w:r>
      <w:r>
        <w:rPr>
          <w:color w:val="auto"/>
        </w:rPr>
        <w:t>结果</w:t>
      </w:r>
      <w:r>
        <w:rPr>
          <w:rFonts w:hint="eastAsia"/>
          <w:color w:val="auto"/>
        </w:rPr>
        <w:t>见</w:t>
      </w:r>
      <w:r>
        <w:rPr>
          <w:color w:val="auto"/>
        </w:rPr>
        <w:t>表4.2-13。</w:t>
      </w:r>
    </w:p>
    <w:p>
      <w:pPr>
        <w:pStyle w:val="166"/>
        <w:spacing w:before="0" w:beforeLines="0" w:line="240" w:lineRule="auto"/>
        <w:rPr>
          <w:color w:val="auto"/>
        </w:rPr>
      </w:pPr>
      <w:r>
        <w:rPr>
          <w:color w:val="auto"/>
        </w:rPr>
        <w:t>表4.2-</w:t>
      </w:r>
      <w:r>
        <w:rPr>
          <w:rFonts w:hint="eastAsia"/>
          <w:color w:val="auto"/>
          <w:lang w:val="en-US" w:eastAsia="zh-CN"/>
        </w:rPr>
        <w:t xml:space="preserve">9 </w:t>
      </w:r>
      <w:r>
        <w:rPr>
          <w:color w:val="auto"/>
        </w:rPr>
        <w:t>地下水</w:t>
      </w:r>
      <w:r>
        <w:rPr>
          <w:rFonts w:hint="eastAsia"/>
          <w:color w:val="auto"/>
        </w:rPr>
        <w:t>水质</w:t>
      </w:r>
      <w:r>
        <w:rPr>
          <w:color w:val="auto"/>
        </w:rPr>
        <w:t>评价结果统计表  单位：mg/L</w:t>
      </w:r>
    </w:p>
    <w:tbl>
      <w:tblPr>
        <w:tblStyle w:val="5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5"/>
        <w:gridCol w:w="1231"/>
        <w:gridCol w:w="1757"/>
        <w:gridCol w:w="1768"/>
        <w:gridCol w:w="1768"/>
        <w:gridCol w:w="11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20" w:type="pct"/>
            <w:gridSpan w:val="2"/>
            <w:tcBorders>
              <w:tl2br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
                <w:bCs/>
                <w:color w:val="auto"/>
                <w:sz w:val="20"/>
                <w:szCs w:val="20"/>
                <w:highlight w:val="none"/>
              </w:rPr>
            </w:pPr>
            <w:r>
              <w:rPr>
                <w:b/>
                <w:bCs/>
                <w:color w:val="auto"/>
                <w:sz w:val="20"/>
                <w:szCs w:val="20"/>
                <w:highlight w:val="none"/>
              </w:rPr>
              <w:t xml:space="preserve">          </w:t>
            </w:r>
            <w:r>
              <w:rPr>
                <w:rFonts w:hint="eastAsia"/>
                <w:b/>
                <w:bCs/>
                <w:color w:val="auto"/>
                <w:sz w:val="20"/>
                <w:szCs w:val="20"/>
                <w:highlight w:val="none"/>
              </w:rPr>
              <w:t>监测点位</w:t>
            </w:r>
          </w:p>
          <w:p>
            <w:pPr>
              <w:keepNext w:val="0"/>
              <w:keepLines w:val="0"/>
              <w:pageBreakBefore w:val="0"/>
              <w:kinsoku/>
              <w:wordWrap/>
              <w:overflowPunct/>
              <w:topLinePunct w:val="0"/>
              <w:autoSpaceDE/>
              <w:autoSpaceDN/>
              <w:bidi w:val="0"/>
              <w:adjustRightInd w:val="0"/>
              <w:snapToGrid w:val="0"/>
              <w:spacing w:line="0" w:lineRule="atLeast"/>
              <w:ind w:firstLine="0" w:firstLineChars="0"/>
              <w:textAlignment w:val="auto"/>
              <w:rPr>
                <w:b/>
                <w:bCs/>
                <w:color w:val="auto"/>
                <w:sz w:val="20"/>
                <w:szCs w:val="20"/>
                <w:highlight w:val="none"/>
              </w:rPr>
            </w:pPr>
            <w:r>
              <w:rPr>
                <w:rFonts w:hint="eastAsia"/>
                <w:b/>
                <w:bCs/>
                <w:color w:val="auto"/>
                <w:sz w:val="20"/>
                <w:szCs w:val="20"/>
                <w:highlight w:val="none"/>
              </w:rPr>
              <w:t>监测指标</w:t>
            </w:r>
          </w:p>
        </w:tc>
        <w:tc>
          <w:tcPr>
            <w:tcW w:w="976" w:type="pc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jc w:val="both"/>
              <w:textAlignment w:val="auto"/>
              <w:rPr>
                <w:rFonts w:hint="eastAsia"/>
                <w:b/>
                <w:color w:val="auto"/>
                <w:szCs w:val="20"/>
                <w:highlight w:val="none"/>
              </w:rPr>
            </w:pPr>
            <w:r>
              <w:rPr>
                <w:rFonts w:hint="eastAsia"/>
                <w:b/>
                <w:color w:val="auto"/>
                <w:szCs w:val="20"/>
                <w:highlight w:val="none"/>
              </w:rPr>
              <w:t>1#项目西侧350m处农户家（E:104.986114</w:t>
            </w:r>
            <w:r>
              <w:rPr>
                <w:rFonts w:hint="eastAsia"/>
                <w:b/>
                <w:color w:val="auto"/>
                <w:szCs w:val="20"/>
                <w:highlight w:val="none"/>
                <w:lang w:eastAsia="zh-CN"/>
              </w:rPr>
              <w:t>，</w:t>
            </w:r>
            <w:r>
              <w:rPr>
                <w:rFonts w:hint="eastAsia"/>
                <w:b/>
                <w:color w:val="auto"/>
                <w:szCs w:val="20"/>
                <w:highlight w:val="none"/>
              </w:rPr>
              <w:t>N:31.407601）</w:t>
            </w:r>
          </w:p>
        </w:tc>
        <w:tc>
          <w:tcPr>
            <w:tcW w:w="982" w:type="pc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jc w:val="both"/>
              <w:textAlignment w:val="auto"/>
              <w:rPr>
                <w:b/>
                <w:color w:val="auto"/>
                <w:szCs w:val="20"/>
                <w:highlight w:val="none"/>
              </w:rPr>
            </w:pPr>
            <w:r>
              <w:rPr>
                <w:rFonts w:hint="eastAsia"/>
                <w:b/>
                <w:color w:val="auto"/>
                <w:szCs w:val="20"/>
                <w:highlight w:val="none"/>
              </w:rPr>
              <w:t>2#项目东北侧500m处农户家（E:104.99538</w:t>
            </w:r>
            <w:r>
              <w:rPr>
                <w:rFonts w:hint="eastAsia"/>
                <w:b/>
                <w:color w:val="auto"/>
                <w:szCs w:val="20"/>
                <w:highlight w:val="none"/>
                <w:lang w:val="en-US" w:eastAsia="zh-CN"/>
              </w:rPr>
              <w:t>1</w:t>
            </w:r>
            <w:r>
              <w:rPr>
                <w:rFonts w:hint="eastAsia"/>
                <w:b/>
                <w:color w:val="auto"/>
                <w:szCs w:val="20"/>
                <w:highlight w:val="none"/>
                <w:lang w:eastAsia="zh-CN"/>
              </w:rPr>
              <w:t>，</w:t>
            </w:r>
            <w:r>
              <w:rPr>
                <w:rFonts w:hint="eastAsia"/>
                <w:b/>
                <w:color w:val="auto"/>
                <w:szCs w:val="20"/>
                <w:highlight w:val="none"/>
              </w:rPr>
              <w:t>N:31.41181</w:t>
            </w:r>
            <w:r>
              <w:rPr>
                <w:rFonts w:hint="eastAsia"/>
                <w:b/>
                <w:color w:val="auto"/>
                <w:szCs w:val="20"/>
                <w:highlight w:val="none"/>
                <w:lang w:val="en-US" w:eastAsia="zh-CN"/>
              </w:rPr>
              <w:t>1</w:t>
            </w:r>
            <w:r>
              <w:rPr>
                <w:rFonts w:hint="eastAsia"/>
                <w:b/>
                <w:color w:val="auto"/>
                <w:szCs w:val="20"/>
                <w:highlight w:val="none"/>
              </w:rPr>
              <w:t>）</w:t>
            </w:r>
          </w:p>
        </w:tc>
        <w:tc>
          <w:tcPr>
            <w:tcW w:w="982" w:type="pc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jc w:val="both"/>
              <w:textAlignment w:val="auto"/>
              <w:rPr>
                <w:b/>
                <w:color w:val="auto"/>
                <w:szCs w:val="20"/>
                <w:highlight w:val="none"/>
              </w:rPr>
            </w:pPr>
            <w:r>
              <w:rPr>
                <w:rFonts w:hint="eastAsia"/>
                <w:b/>
                <w:color w:val="auto"/>
                <w:szCs w:val="20"/>
                <w:highlight w:val="none"/>
              </w:rPr>
              <w:t>3#项目西南侧400m</w:t>
            </w:r>
            <w:r>
              <w:rPr>
                <w:rFonts w:hint="eastAsia"/>
                <w:b/>
                <w:color w:val="auto"/>
                <w:szCs w:val="20"/>
                <w:highlight w:val="none"/>
                <w:lang w:val="en-US" w:eastAsia="zh-CN"/>
              </w:rPr>
              <w:t>处</w:t>
            </w:r>
            <w:r>
              <w:rPr>
                <w:rFonts w:hint="eastAsia"/>
                <w:b/>
                <w:color w:val="auto"/>
                <w:szCs w:val="20"/>
                <w:highlight w:val="none"/>
              </w:rPr>
              <w:t>农户</w:t>
            </w:r>
            <w:r>
              <w:rPr>
                <w:rFonts w:hint="eastAsia"/>
                <w:b/>
                <w:color w:val="auto"/>
                <w:szCs w:val="20"/>
                <w:highlight w:val="none"/>
                <w:lang w:val="en-US" w:eastAsia="zh-CN"/>
              </w:rPr>
              <w:t>家</w:t>
            </w:r>
            <w:r>
              <w:rPr>
                <w:rFonts w:hint="eastAsia"/>
                <w:b/>
                <w:color w:val="auto"/>
                <w:szCs w:val="20"/>
                <w:highlight w:val="none"/>
                <w:lang w:eastAsia="zh-CN"/>
              </w:rPr>
              <w:t>（</w:t>
            </w:r>
            <w:r>
              <w:rPr>
                <w:rFonts w:hint="eastAsia"/>
                <w:b/>
                <w:color w:val="auto"/>
                <w:szCs w:val="20"/>
                <w:highlight w:val="none"/>
              </w:rPr>
              <w:t>E:104.9866</w:t>
            </w:r>
            <w:r>
              <w:rPr>
                <w:rFonts w:hint="eastAsia"/>
                <w:b/>
                <w:color w:val="auto"/>
                <w:szCs w:val="20"/>
                <w:highlight w:val="none"/>
                <w:lang w:val="en-US" w:eastAsia="zh-CN"/>
              </w:rPr>
              <w:t>15</w:t>
            </w:r>
            <w:r>
              <w:rPr>
                <w:rFonts w:hint="eastAsia"/>
                <w:b/>
                <w:color w:val="auto"/>
                <w:szCs w:val="20"/>
                <w:highlight w:val="none"/>
                <w:lang w:eastAsia="zh-CN"/>
              </w:rPr>
              <w:t>，</w:t>
            </w:r>
            <w:r>
              <w:rPr>
                <w:rFonts w:hint="eastAsia"/>
                <w:b/>
                <w:color w:val="auto"/>
                <w:szCs w:val="20"/>
                <w:highlight w:val="none"/>
              </w:rPr>
              <w:t>N:31.40476</w:t>
            </w:r>
            <w:r>
              <w:rPr>
                <w:rFonts w:hint="eastAsia"/>
                <w:b/>
                <w:color w:val="auto"/>
                <w:szCs w:val="20"/>
                <w:highlight w:val="none"/>
                <w:lang w:val="en-US" w:eastAsia="zh-CN"/>
              </w:rPr>
              <w:t>5</w:t>
            </w:r>
            <w:r>
              <w:rPr>
                <w:rFonts w:hint="eastAsia"/>
                <w:b/>
                <w:color w:val="auto"/>
                <w:szCs w:val="20"/>
                <w:highlight w:val="none"/>
              </w:rPr>
              <w:t>）</w:t>
            </w:r>
          </w:p>
        </w:tc>
        <w:tc>
          <w:tcPr>
            <w:tcW w:w="638" w:type="pc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jc w:val="both"/>
              <w:textAlignment w:val="auto"/>
              <w:rPr>
                <w:rFonts w:hint="default" w:eastAsia="宋体"/>
                <w:b/>
                <w:color w:val="auto"/>
                <w:szCs w:val="20"/>
                <w:highlight w:val="none"/>
                <w:lang w:val="en-US" w:eastAsia="zh-CN"/>
              </w:rPr>
            </w:pPr>
            <w:r>
              <w:rPr>
                <w:rFonts w:hint="eastAsia"/>
                <w:b/>
                <w:color w:val="auto"/>
                <w:szCs w:val="20"/>
                <w:highlight w:val="none"/>
                <w:lang w:val="en-US" w:eastAsia="zh-CN"/>
              </w:rPr>
              <w:t>地下水Ⅲ类标准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Ansi="宋体" w:cs="宋体"/>
                <w:color w:val="auto"/>
                <w:kern w:val="0"/>
                <w:sz w:val="20"/>
                <w:szCs w:val="20"/>
                <w:highlight w:val="none"/>
              </w:rPr>
            </w:pPr>
            <w:r>
              <w:rPr>
                <w:rFonts w:hAnsi="宋体" w:cs="宋体"/>
                <w:color w:val="auto"/>
                <w:kern w:val="0"/>
                <w:sz w:val="20"/>
                <w:szCs w:val="20"/>
                <w:highlight w:val="none"/>
              </w:rPr>
              <w:t>pH</w:t>
            </w:r>
            <w:r>
              <w:rPr>
                <w:rFonts w:hint="eastAsia" w:hAnsi="宋体" w:cs="宋体"/>
                <w:color w:val="auto"/>
                <w:kern w:val="0"/>
                <w:sz w:val="20"/>
                <w:szCs w:val="20"/>
                <w:highlight w:val="none"/>
                <w:lang w:eastAsia="zh-CN"/>
              </w:rPr>
              <w:t>（</w:t>
            </w:r>
            <w:r>
              <w:rPr>
                <w:rFonts w:hint="eastAsia" w:hAnsi="宋体" w:cs="宋体"/>
                <w:color w:val="auto"/>
                <w:kern w:val="0"/>
                <w:sz w:val="20"/>
                <w:szCs w:val="20"/>
                <w:highlight w:val="none"/>
                <w:lang w:val="en-US" w:eastAsia="zh-CN"/>
              </w:rPr>
              <w:t>无量纲</w:t>
            </w:r>
            <w:r>
              <w:rPr>
                <w:rFonts w:hint="eastAsia" w:hAnsi="宋体" w:cs="宋体"/>
                <w:color w:val="auto"/>
                <w:kern w:val="0"/>
                <w:sz w:val="20"/>
                <w:szCs w:val="20"/>
                <w:highlight w:val="none"/>
                <w:lang w:eastAsia="zh-CN"/>
              </w:rPr>
              <w:t>）</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0.520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0.340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0.380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6.5≤pH≤8.5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int="eastAsia" w:hAnsi="宋体" w:cs="宋体"/>
                <w:color w:val="auto"/>
                <w:kern w:val="0"/>
                <w:szCs w:val="20"/>
                <w:highlight w:val="none"/>
              </w:rPr>
              <w:t>耗氧量</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rPr>
              <w:t>0</w:t>
            </w:r>
            <w:r>
              <w:rPr>
                <w:bCs/>
                <w:color w:val="auto"/>
                <w:sz w:val="20"/>
                <w:szCs w:val="20"/>
                <w:highlight w:val="none"/>
              </w:rPr>
              <w:t>.</w:t>
            </w:r>
            <w:r>
              <w:rPr>
                <w:rFonts w:hint="eastAsia"/>
                <w:bCs/>
                <w:color w:val="auto"/>
                <w:sz w:val="20"/>
                <w:szCs w:val="20"/>
                <w:highlight w:val="none"/>
                <w:lang w:val="en-US" w:eastAsia="zh-CN"/>
              </w:rPr>
              <w:t>087</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0.303</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0.077</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Ansi="宋体" w:cs="宋体"/>
                <w:color w:val="auto"/>
                <w:kern w:val="0"/>
                <w:szCs w:val="20"/>
                <w:highlight w:val="none"/>
              </w:rPr>
              <w:t>氨氮</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0.148</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0.164</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0.136</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int="eastAsia"/>
                <w:color w:val="auto"/>
                <w:szCs w:val="20"/>
                <w:highlight w:val="none"/>
              </w:rPr>
              <w:t>溶解性总固体</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rFonts w:hint="default" w:eastAsia="宋体"/>
                <w:color w:val="auto"/>
                <w:szCs w:val="20"/>
                <w:highlight w:val="none"/>
                <w:lang w:val="en-US" w:eastAsia="zh-CN"/>
              </w:rPr>
            </w:pPr>
            <w:r>
              <w:rPr>
                <w:rFonts w:hint="eastAsia"/>
                <w:color w:val="auto"/>
                <w:szCs w:val="20"/>
                <w:highlight w:val="none"/>
                <w:lang w:val="en-US" w:eastAsia="zh-CN"/>
              </w:rPr>
              <w:t>0.561</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0.579</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0.428</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color w:val="auto"/>
                <w:szCs w:val="20"/>
                <w:highlight w:val="none"/>
              </w:rPr>
            </w:pPr>
            <w:r>
              <w:rPr>
                <w:rFonts w:hint="eastAsia"/>
                <w:color w:val="auto"/>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int="eastAsia" w:hAnsi="宋体" w:cs="宋体"/>
                <w:color w:val="auto"/>
                <w:kern w:val="0"/>
                <w:szCs w:val="20"/>
                <w:highlight w:val="none"/>
                <w:lang w:val="en-US" w:eastAsia="zh-CN"/>
              </w:rPr>
              <w:t>挥发酚</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Ansi="宋体" w:cs="宋体"/>
                <w:color w:val="auto"/>
                <w:kern w:val="0"/>
                <w:sz w:val="20"/>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color w:val="auto"/>
                <w:sz w:val="20"/>
                <w:szCs w:val="20"/>
                <w:highlight w:val="none"/>
              </w:rPr>
            </w:pPr>
            <w:r>
              <w:rPr>
                <w:rFonts w:hint="eastAsia" w:hAnsi="宋体" w:cs="宋体"/>
                <w:color w:val="auto"/>
                <w:kern w:val="0"/>
                <w:sz w:val="20"/>
                <w:szCs w:val="20"/>
                <w:highlight w:val="none"/>
              </w:rPr>
              <w:t>总硬度</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0.438</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0.711</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0.542</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≤450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color w:val="auto"/>
                <w:szCs w:val="20"/>
                <w:highlight w:val="none"/>
              </w:rPr>
            </w:pPr>
            <w:r>
              <w:rPr>
                <w:rFonts w:hint="eastAsia"/>
                <w:color w:val="auto"/>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int="eastAsia" w:hAnsi="宋体" w:cs="宋体"/>
                <w:color w:val="auto"/>
                <w:kern w:val="0"/>
                <w:szCs w:val="20"/>
                <w:highlight w:val="none"/>
              </w:rPr>
              <w:t>硫酸盐</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rFonts w:hint="default" w:eastAsia="宋体"/>
                <w:color w:val="auto"/>
                <w:szCs w:val="20"/>
                <w:highlight w:val="none"/>
                <w:lang w:val="en-US" w:eastAsia="zh-CN"/>
              </w:rPr>
            </w:pPr>
            <w:r>
              <w:rPr>
                <w:rFonts w:hint="eastAsia"/>
                <w:color w:val="auto"/>
                <w:szCs w:val="20"/>
                <w:highlight w:val="none"/>
                <w:lang w:val="en-US" w:eastAsia="zh-CN"/>
              </w:rPr>
              <w:t>0.149</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0.284</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0.290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left"/>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color w:val="auto"/>
                <w:szCs w:val="20"/>
                <w:highlight w:val="none"/>
              </w:rPr>
            </w:pPr>
            <w:r>
              <w:rPr>
                <w:rFonts w:hint="eastAsia"/>
                <w:color w:val="auto"/>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color w:val="auto"/>
                <w:sz w:val="20"/>
                <w:szCs w:val="20"/>
                <w:highlight w:val="none"/>
              </w:rPr>
            </w:pPr>
            <w:r>
              <w:rPr>
                <w:rFonts w:hAnsi="宋体" w:cs="宋体"/>
                <w:color w:val="auto"/>
                <w:kern w:val="0"/>
                <w:sz w:val="20"/>
                <w:szCs w:val="20"/>
                <w:highlight w:val="none"/>
              </w:rPr>
              <w:t>钾</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color w:val="auto"/>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Ansi="宋体" w:cs="宋体"/>
                <w:color w:val="auto"/>
                <w:kern w:val="0"/>
                <w:sz w:val="20"/>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bCs/>
                <w:color w:val="auto"/>
                <w:sz w:val="20"/>
                <w:szCs w:val="20"/>
                <w:highlight w:val="none"/>
              </w:rPr>
            </w:pPr>
            <w:r>
              <w:rPr>
                <w:rFonts w:hAnsi="宋体" w:cs="宋体"/>
                <w:color w:val="auto"/>
                <w:kern w:val="0"/>
                <w:sz w:val="20"/>
                <w:szCs w:val="20"/>
                <w:highlight w:val="none"/>
              </w:rPr>
              <w:t>钠</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rFonts w:hint="default" w:eastAsia="宋体"/>
                <w:color w:val="auto"/>
                <w:szCs w:val="20"/>
                <w:highlight w:val="none"/>
                <w:lang w:val="en-US" w:eastAsia="zh-CN"/>
              </w:rPr>
            </w:pPr>
            <w:r>
              <w:rPr>
                <w:rFonts w:hint="eastAsia"/>
                <w:color w:val="auto"/>
                <w:szCs w:val="20"/>
                <w:highlight w:val="none"/>
                <w:lang w:val="en-US" w:eastAsia="zh-CN"/>
              </w:rPr>
              <w:t>0.420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0.141</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0.082</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Ansi="宋体" w:cs="宋体"/>
                <w:color w:val="auto"/>
                <w:kern w:val="0"/>
                <w:sz w:val="20"/>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color w:val="auto"/>
                <w:sz w:val="20"/>
                <w:szCs w:val="20"/>
                <w:highlight w:val="none"/>
              </w:rPr>
            </w:pPr>
            <w:r>
              <w:rPr>
                <w:rFonts w:hAnsi="宋体" w:cs="宋体"/>
                <w:color w:val="auto"/>
                <w:kern w:val="0"/>
                <w:sz w:val="20"/>
                <w:szCs w:val="20"/>
                <w:highlight w:val="none"/>
              </w:rPr>
              <w:t>钙</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Ansi="宋体" w:cs="宋体"/>
                <w:color w:val="auto"/>
                <w:kern w:val="0"/>
                <w:sz w:val="20"/>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eastAsia="宋体"/>
                <w:bCs/>
                <w:color w:val="auto"/>
                <w:sz w:val="20"/>
                <w:szCs w:val="20"/>
                <w:highlight w:val="none"/>
                <w:lang w:val="en-US" w:eastAsia="zh-CN"/>
              </w:rPr>
            </w:pPr>
            <w:r>
              <w:rPr>
                <w:rFonts w:hint="eastAsia"/>
                <w:bCs/>
                <w:color w:val="auto"/>
                <w:sz w:val="20"/>
                <w:szCs w:val="2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color w:val="auto"/>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color w:val="auto"/>
                <w:sz w:val="20"/>
                <w:szCs w:val="20"/>
                <w:highlight w:val="none"/>
              </w:rPr>
            </w:pPr>
            <w:r>
              <w:rPr>
                <w:rFonts w:hAnsi="宋体" w:cs="宋体"/>
                <w:color w:val="auto"/>
                <w:kern w:val="0"/>
                <w:sz w:val="20"/>
                <w:szCs w:val="20"/>
                <w:highlight w:val="none"/>
              </w:rPr>
              <w:t>镁</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color w:val="auto"/>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eastAsia="宋体"/>
                <w:bCs/>
                <w:color w:val="auto"/>
                <w:sz w:val="20"/>
                <w:szCs w:val="20"/>
                <w:highlight w:val="none"/>
                <w:lang w:val="en-US" w:eastAsia="zh-CN"/>
              </w:rPr>
            </w:pPr>
            <w:r>
              <w:rPr>
                <w:rFonts w:hint="eastAsia"/>
                <w:bCs/>
                <w:color w:val="auto"/>
                <w:sz w:val="20"/>
                <w:szCs w:val="2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color w:val="auto"/>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color w:val="auto"/>
                <w:szCs w:val="20"/>
                <w:highlight w:val="none"/>
              </w:rPr>
            </w:pPr>
            <w:r>
              <w:rPr>
                <w:rFonts w:hAnsi="宋体" w:cs="宋体"/>
                <w:color w:val="auto"/>
                <w:kern w:val="0"/>
                <w:sz w:val="20"/>
                <w:szCs w:val="20"/>
                <w:highlight w:val="none"/>
              </w:rPr>
              <w:t>砷</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Ansi="宋体" w:cs="宋体"/>
                <w:color w:val="auto"/>
                <w:kern w:val="0"/>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color w:val="auto"/>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Ansi="宋体" w:cs="宋体"/>
                <w:color w:val="auto"/>
                <w:kern w:val="0"/>
                <w:sz w:val="20"/>
                <w:szCs w:val="20"/>
                <w:highlight w:val="none"/>
              </w:rPr>
            </w:pPr>
            <w:r>
              <w:rPr>
                <w:rFonts w:hAnsi="宋体" w:cs="宋体"/>
                <w:color w:val="auto"/>
                <w:kern w:val="0"/>
                <w:sz w:val="20"/>
                <w:szCs w:val="20"/>
                <w:highlight w:val="none"/>
              </w:rPr>
              <w:t>汞</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rFonts w:hint="default" w:eastAsia="宋体"/>
                <w:color w:val="auto"/>
                <w:szCs w:val="20"/>
                <w:highlight w:val="none"/>
                <w:lang w:val="en-US" w:eastAsia="zh-CN"/>
              </w:rPr>
            </w:pPr>
            <w:r>
              <w:rPr>
                <w:rFonts w:hint="eastAsia"/>
                <w:color w:val="auto"/>
                <w:szCs w:val="20"/>
                <w:highlight w:val="none"/>
                <w:lang w:val="en-US" w:eastAsia="zh-CN"/>
              </w:rPr>
              <w:t>0.240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0.290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0.240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color w:val="auto"/>
                <w:szCs w:val="20"/>
                <w:highlight w:val="none"/>
              </w:rPr>
            </w:pPr>
            <w:r>
              <w:rPr>
                <w:rFonts w:hint="eastAsia"/>
                <w:color w:val="auto"/>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Ansi="宋体" w:cs="宋体"/>
                <w:color w:val="auto"/>
                <w:kern w:val="0"/>
                <w:szCs w:val="20"/>
                <w:highlight w:val="none"/>
              </w:rPr>
              <w:t>铅</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rFonts w:hint="default" w:hAnsi="宋体" w:eastAsia="宋体" w:cs="宋体"/>
                <w:color w:val="auto"/>
                <w:kern w:val="0"/>
                <w:sz w:val="20"/>
                <w:szCs w:val="20"/>
                <w:highlight w:val="none"/>
                <w:lang w:val="en-US" w:eastAsia="zh-CN"/>
              </w:rPr>
            </w:pPr>
            <w:r>
              <w:rPr>
                <w:rFonts w:hint="eastAsia" w:hAnsi="宋体" w:cs="宋体"/>
                <w:color w:val="auto"/>
                <w:kern w:val="0"/>
                <w:sz w:val="20"/>
                <w:szCs w:val="20"/>
                <w:highlight w:val="none"/>
                <w:lang w:val="en-US" w:eastAsia="zh-CN"/>
              </w:rPr>
              <w:t>0.200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0.200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0.100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color w:val="auto"/>
                <w:szCs w:val="20"/>
                <w:highlight w:val="none"/>
              </w:rPr>
            </w:pPr>
            <w:r>
              <w:rPr>
                <w:rFonts w:hint="eastAsia"/>
                <w:color w:val="auto"/>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Ansi="宋体" w:cs="宋体"/>
                <w:color w:val="auto"/>
                <w:kern w:val="0"/>
                <w:szCs w:val="20"/>
                <w:highlight w:val="none"/>
              </w:rPr>
              <w:t>镉</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pStyle w:val="110"/>
              <w:keepNext w:val="0"/>
              <w:keepLines w:val="0"/>
              <w:pageBreakBefore w:val="0"/>
              <w:kinsoku/>
              <w:wordWrap/>
              <w:overflowPunct/>
              <w:topLinePunct w:val="0"/>
              <w:autoSpaceDE/>
              <w:autoSpaceDN/>
              <w:bidi w:val="0"/>
              <w:adjustRightInd w:val="0"/>
              <w:snapToGrid w:val="0"/>
              <w:spacing w:line="0" w:lineRule="atLeast"/>
              <w:textAlignment w:val="auto"/>
              <w:rPr>
                <w:rFonts w:hint="default" w:eastAsia="宋体"/>
                <w:color w:val="auto"/>
                <w:szCs w:val="20"/>
                <w:highlight w:val="none"/>
                <w:lang w:val="en-US" w:eastAsia="zh-CN"/>
              </w:rPr>
            </w:pPr>
            <w:r>
              <w:rPr>
                <w:rFonts w:hint="eastAsia"/>
                <w:color w:val="auto"/>
                <w:szCs w:val="20"/>
                <w:highlight w:val="none"/>
                <w:lang w:val="en-US" w:eastAsia="zh-CN"/>
              </w:rPr>
              <w:t>0.320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color w:val="auto"/>
                <w:sz w:val="20"/>
                <w:szCs w:val="20"/>
                <w:highlight w:val="none"/>
                <w:lang w:val="en-US" w:eastAsia="zh-CN"/>
              </w:rPr>
              <w:t>0.220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color w:val="auto"/>
                <w:sz w:val="20"/>
                <w:szCs w:val="20"/>
                <w:highlight w:val="none"/>
                <w:lang w:val="en-US" w:eastAsia="zh-CN"/>
              </w:rPr>
              <w:t>0.360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color w:val="auto"/>
                <w:sz w:val="20"/>
                <w:szCs w:val="20"/>
                <w:highlight w:val="none"/>
                <w:lang w:val="en-US"/>
              </w:rPr>
            </w:pPr>
            <w:r>
              <w:rPr>
                <w:rFonts w:hint="eastAsia"/>
                <w:bCs/>
                <w:color w:val="auto"/>
                <w:sz w:val="20"/>
                <w:szCs w:val="20"/>
                <w:highlight w:val="none"/>
                <w:lang w:val="en-US" w:eastAsia="zh-CN"/>
              </w:rPr>
              <w:t>≤0.005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rPr>
              <w:t>铁</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0.267</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color w:val="auto"/>
                <w:sz w:val="20"/>
                <w:szCs w:val="20"/>
                <w:highlight w:val="none"/>
                <w:lang w:val="en-US" w:eastAsia="zh-CN"/>
              </w:rPr>
              <w:t>0.333</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color w:val="auto"/>
                <w:sz w:val="20"/>
                <w:szCs w:val="20"/>
                <w:highlight w:val="none"/>
                <w:lang w:val="en-US" w:eastAsia="zh-CN"/>
              </w:rPr>
              <w:t>0.333</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color w:val="auto"/>
                <w:sz w:val="20"/>
                <w:szCs w:val="20"/>
                <w:highlight w:val="none"/>
                <w:lang w:val="en-US"/>
              </w:rPr>
            </w:pPr>
            <w:r>
              <w:rPr>
                <w:rFonts w:hint="eastAsia"/>
                <w:bCs/>
                <w:color w:val="auto"/>
                <w:sz w:val="20"/>
                <w:szCs w:val="20"/>
                <w:highlight w:val="none"/>
                <w:lang w:val="en-US" w:eastAsia="zh-CN"/>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bCs/>
                <w:color w:val="auto"/>
                <w:sz w:val="20"/>
                <w:szCs w:val="20"/>
                <w:highlight w:val="none"/>
              </w:rPr>
            </w:pPr>
            <w:r>
              <w:rPr>
                <w:rFonts w:hAnsi="宋体" w:cs="宋体"/>
                <w:color w:val="auto"/>
                <w:kern w:val="0"/>
                <w:sz w:val="20"/>
                <w:szCs w:val="20"/>
                <w:highlight w:val="none"/>
              </w:rPr>
              <w:t>锰</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0.200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color w:val="auto"/>
                <w:sz w:val="20"/>
                <w:szCs w:val="20"/>
                <w:highlight w:val="none"/>
                <w:lang w:val="en-US"/>
              </w:rPr>
            </w:pPr>
            <w:r>
              <w:rPr>
                <w:rFonts w:hint="eastAsia"/>
                <w:bCs/>
                <w:color w:val="auto"/>
                <w:sz w:val="20"/>
                <w:szCs w:val="20"/>
                <w:highlight w:val="none"/>
                <w:lang w:val="en-US" w:eastAsia="zh-CN"/>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bCs/>
                <w:color w:val="auto"/>
                <w:sz w:val="20"/>
                <w:szCs w:val="20"/>
                <w:highlight w:val="none"/>
              </w:rPr>
            </w:pPr>
            <w:r>
              <w:rPr>
                <w:rFonts w:hAnsi="宋体" w:cs="宋体"/>
                <w:color w:val="auto"/>
                <w:kern w:val="0"/>
                <w:szCs w:val="20"/>
                <w:highlight w:val="none"/>
              </w:rPr>
              <w:t>铬</w:t>
            </w:r>
            <w:r>
              <w:rPr>
                <w:rFonts w:hint="eastAsia" w:hAnsi="宋体" w:cs="宋体"/>
                <w:color w:val="auto"/>
                <w:kern w:val="0"/>
                <w:szCs w:val="20"/>
                <w:highlight w:val="none"/>
                <w:lang w:eastAsia="zh-CN"/>
              </w:rPr>
              <w:t>（</w:t>
            </w:r>
            <w:r>
              <w:rPr>
                <w:rFonts w:hAnsi="宋体" w:cs="宋体"/>
                <w:color w:val="auto"/>
                <w:kern w:val="0"/>
                <w:szCs w:val="20"/>
                <w:highlight w:val="none"/>
              </w:rPr>
              <w:t>六价</w:t>
            </w:r>
            <w:r>
              <w:rPr>
                <w:rFonts w:hint="eastAsia" w:hAnsi="宋体" w:cs="宋体"/>
                <w:color w:val="auto"/>
                <w:kern w:val="0"/>
                <w:szCs w:val="20"/>
                <w:highlight w:val="none"/>
                <w:lang w:eastAsia="zh-CN"/>
              </w:rPr>
              <w:t>）</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color w:val="auto"/>
                <w:sz w:val="20"/>
                <w:szCs w:val="20"/>
                <w:highlight w:val="none"/>
                <w:lang w:val="en-US"/>
              </w:rPr>
            </w:pPr>
            <w:r>
              <w:rPr>
                <w:rFonts w:hint="eastAsia"/>
                <w:bCs/>
                <w:color w:val="auto"/>
                <w:sz w:val="20"/>
                <w:szCs w:val="20"/>
                <w:highlight w:val="none"/>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Ansi="宋体" w:cs="宋体"/>
                <w:color w:val="auto"/>
                <w:kern w:val="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rPr>
              <w:t>硝酸盐（以N计）</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0.386</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0.470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0.407</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hAnsi="宋体" w:cs="宋体"/>
                <w:color w:val="auto"/>
                <w:kern w:val="0"/>
                <w:sz w:val="2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int="eastAsia" w:hAnsi="宋体" w:cs="宋体"/>
                <w:color w:val="auto"/>
                <w:kern w:val="0"/>
                <w:szCs w:val="20"/>
                <w:highlight w:val="none"/>
              </w:rPr>
              <w:t>亚硝酸盐</w:t>
            </w:r>
            <w:r>
              <w:rPr>
                <w:rFonts w:hint="eastAsia" w:hAnsi="宋体" w:cs="宋体"/>
                <w:color w:val="auto"/>
                <w:kern w:val="0"/>
                <w:sz w:val="20"/>
                <w:szCs w:val="20"/>
                <w:highlight w:val="none"/>
              </w:rPr>
              <w:t>（以N计）</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int="eastAsia" w:hAnsi="宋体" w:cs="宋体"/>
                <w:color w:val="auto"/>
                <w:kern w:val="0"/>
                <w:szCs w:val="20"/>
                <w:highlight w:val="none"/>
                <w:lang w:val="en-US" w:eastAsia="zh-CN"/>
              </w:rPr>
              <w:t>碳酸盐</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eastAsia="宋体"/>
                <w:bCs/>
                <w:color w:val="auto"/>
                <w:sz w:val="20"/>
                <w:szCs w:val="20"/>
                <w:highlight w:val="none"/>
                <w:lang w:val="en-US" w:eastAsia="zh-CN"/>
              </w:rPr>
            </w:pPr>
            <w:r>
              <w:rPr>
                <w:rFonts w:hint="eastAsia"/>
                <w:bCs/>
                <w:color w:val="auto"/>
                <w:sz w:val="20"/>
                <w:szCs w:val="2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Cs w:val="20"/>
                <w:highlight w:val="none"/>
                <w:lang w:val="en-US" w:eastAsia="zh-CN"/>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int="eastAsia" w:hAnsi="宋体" w:cs="宋体"/>
                <w:color w:val="auto"/>
                <w:kern w:val="0"/>
                <w:szCs w:val="20"/>
                <w:highlight w:val="none"/>
                <w:lang w:val="en-US" w:eastAsia="zh-CN"/>
              </w:rPr>
              <w:t>重碳酸盐</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eastAsia="宋体"/>
                <w:bCs/>
                <w:color w:val="auto"/>
                <w:sz w:val="20"/>
                <w:szCs w:val="20"/>
                <w:highlight w:val="none"/>
                <w:lang w:val="en-US" w:eastAsia="zh-CN"/>
              </w:rPr>
            </w:pPr>
            <w:r>
              <w:rPr>
                <w:rFonts w:hint="eastAsia"/>
                <w:bCs/>
                <w:color w:val="auto"/>
                <w:sz w:val="20"/>
                <w:szCs w:val="2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Cs w:val="20"/>
                <w:highlight w:val="none"/>
                <w:lang w:val="en-US" w:eastAsia="zh-CN"/>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hAnsi="宋体" w:cs="宋体"/>
                <w:color w:val="auto"/>
                <w:kern w:val="0"/>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hAnsi="宋体" w:cs="宋体"/>
                <w:color w:val="auto"/>
                <w:kern w:val="0"/>
                <w:sz w:val="20"/>
                <w:szCs w:val="20"/>
                <w:highlight w:val="none"/>
              </w:rPr>
            </w:pPr>
            <w:r>
              <w:rPr>
                <w:rFonts w:hint="eastAsia" w:hAnsi="宋体" w:cs="宋体"/>
                <w:color w:val="auto"/>
                <w:kern w:val="0"/>
                <w:sz w:val="20"/>
                <w:szCs w:val="20"/>
                <w:highlight w:val="none"/>
                <w:lang w:val="en-US" w:eastAsia="zh-CN"/>
              </w:rPr>
              <w:t>氯化物</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0.140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0.087</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eastAsia="宋体"/>
                <w:bCs/>
                <w:color w:val="auto"/>
                <w:sz w:val="20"/>
                <w:szCs w:val="20"/>
                <w:highlight w:val="none"/>
                <w:lang w:val="en-US" w:eastAsia="zh-CN"/>
              </w:rPr>
            </w:pPr>
            <w:r>
              <w:rPr>
                <w:rFonts w:hint="eastAsia"/>
                <w:bCs/>
                <w:color w:val="auto"/>
                <w:sz w:val="20"/>
                <w:szCs w:val="20"/>
                <w:highlight w:val="none"/>
                <w:lang w:val="en-US" w:eastAsia="zh-CN"/>
              </w:rPr>
              <w:t>0.078</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hAnsi="宋体" w:cs="宋体"/>
                <w:color w:val="auto"/>
                <w:kern w:val="0"/>
                <w:sz w:val="20"/>
                <w:szCs w:val="20"/>
                <w:highlight w:val="none"/>
                <w:lang w:val="en-US" w:eastAsia="zh-CN"/>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int="eastAsia" w:hAnsi="宋体" w:cs="宋体"/>
                <w:color w:val="auto"/>
                <w:kern w:val="0"/>
                <w:szCs w:val="20"/>
                <w:highlight w:val="none"/>
                <w:lang w:val="en-US" w:eastAsia="zh-CN"/>
              </w:rPr>
              <w:t>氰化物</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lang w:val="en-US" w:eastAsia="zh-CN"/>
              </w:rPr>
              <w:t>ND</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Cs w:val="20"/>
                <w:highlight w:val="none"/>
                <w:lang w:val="en-US" w:eastAsia="zh-CN"/>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int="eastAsia" w:hAnsi="宋体" w:cs="宋体"/>
                <w:color w:val="auto"/>
                <w:kern w:val="0"/>
                <w:szCs w:val="20"/>
                <w:highlight w:val="none"/>
              </w:rPr>
              <w:t>氟化物</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0.310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0.140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0.169</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hAnsi="宋体" w:cs="宋体"/>
                <w:color w:val="auto"/>
                <w:kern w:val="0"/>
                <w:sz w:val="20"/>
                <w:szCs w:val="20"/>
                <w:highlight w:val="none"/>
              </w:rPr>
            </w:pPr>
            <w:r>
              <w:rPr>
                <w:rFonts w:hint="eastAsia" w:hAnsi="宋体" w:cs="宋体"/>
                <w:color w:val="auto"/>
                <w:kern w:val="0"/>
                <w:sz w:val="20"/>
                <w:szCs w:val="20"/>
                <w:highlight w:val="none"/>
                <w:lang w:val="en-US" w:eastAsia="zh-CN"/>
              </w:rPr>
              <w:t>细菌总数（CFU/ml）</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0.290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0.380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0.630</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keepNext w:val="0"/>
              <w:keepLines w:val="0"/>
              <w:pageBreakBefore w:val="0"/>
              <w:widowControl/>
              <w:kinsoku/>
              <w:wordWrap/>
              <w:overflowPunct/>
              <w:topLinePunct w:val="0"/>
              <w:autoSpaceDE/>
              <w:autoSpaceDN/>
              <w:bidi w:val="0"/>
              <w:spacing w:line="0" w:lineRule="atLeast"/>
              <w:ind w:firstLine="0" w:firstLineChars="0"/>
              <w:jc w:val="center"/>
              <w:textAlignment w:val="auto"/>
              <w:rPr>
                <w:rFonts w:hint="eastAsia" w:hAnsi="宋体" w:cs="宋体"/>
                <w:color w:val="auto"/>
                <w:kern w:val="0"/>
                <w:sz w:val="20"/>
                <w:szCs w:val="20"/>
                <w:highlight w:val="none"/>
                <w:lang w:val="en-US" w:eastAsia="zh-CN"/>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restart"/>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int="eastAsia" w:hAnsi="宋体" w:cs="宋体"/>
                <w:color w:val="auto"/>
                <w:kern w:val="0"/>
                <w:sz w:val="20"/>
                <w:szCs w:val="20"/>
                <w:highlight w:val="none"/>
              </w:rPr>
            </w:pPr>
            <w:r>
              <w:rPr>
                <w:rFonts w:hAnsi="宋体" w:cs="宋体"/>
                <w:color w:val="auto"/>
                <w:kern w:val="0"/>
                <w:szCs w:val="20"/>
                <w:highlight w:val="none"/>
              </w:rPr>
              <w:t>总大肠菌群</w:t>
            </w:r>
            <w:r>
              <w:rPr>
                <w:rFonts w:hint="eastAsia" w:hAnsi="宋体" w:cs="宋体"/>
                <w:color w:val="auto"/>
                <w:kern w:val="0"/>
                <w:szCs w:val="20"/>
                <w:highlight w:val="none"/>
                <w:lang w:eastAsia="zh-CN"/>
              </w:rPr>
              <w:t>（</w:t>
            </w:r>
            <w:r>
              <w:rPr>
                <w:rFonts w:hint="eastAsia" w:hAnsi="宋体" w:cs="宋体"/>
                <w:color w:val="auto"/>
                <w:kern w:val="0"/>
                <w:szCs w:val="20"/>
                <w:highlight w:val="none"/>
                <w:lang w:val="en-US" w:eastAsia="zh-CN"/>
              </w:rPr>
              <w:t>MPN/100ml</w:t>
            </w:r>
            <w:r>
              <w:rPr>
                <w:rFonts w:hint="eastAsia" w:hAnsi="宋体" w:cs="宋体"/>
                <w:color w:val="auto"/>
                <w:kern w:val="0"/>
                <w:szCs w:val="20"/>
                <w:highlight w:val="none"/>
                <w:lang w:eastAsia="zh-CN"/>
              </w:rPr>
              <w:t>）</w:t>
            </w: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bCs/>
                <w:color w:val="auto"/>
                <w:sz w:val="20"/>
                <w:szCs w:val="20"/>
                <w:highlight w:val="none"/>
              </w:rPr>
              <w:t>Pi</w:t>
            </w:r>
            <w:r>
              <w:rPr>
                <w:rFonts w:hint="eastAsia"/>
                <w:bCs/>
                <w:color w:val="auto"/>
                <w:sz w:val="20"/>
                <w:szCs w:val="20"/>
                <w:highlight w:val="none"/>
              </w:rPr>
              <w:t>范围</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0.667</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0.667</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eastAsia="zh-CN"/>
              </w:rPr>
            </w:pPr>
            <w:r>
              <w:rPr>
                <w:rFonts w:hint="eastAsia"/>
                <w:bCs/>
                <w:color w:val="auto"/>
                <w:sz w:val="20"/>
                <w:szCs w:val="20"/>
                <w:highlight w:val="none"/>
                <w:lang w:val="en-US" w:eastAsia="zh-CN"/>
              </w:rPr>
              <w:t>0.667</w:t>
            </w:r>
          </w:p>
        </w:tc>
        <w:tc>
          <w:tcPr>
            <w:tcW w:w="638" w:type="pct"/>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default"/>
                <w:bCs/>
                <w:color w:val="auto"/>
                <w:sz w:val="20"/>
                <w:szCs w:val="20"/>
                <w:highlight w:val="none"/>
                <w:lang w:val="en-US"/>
              </w:rPr>
            </w:pPr>
            <w:r>
              <w:rPr>
                <w:rFonts w:hint="eastAsia"/>
                <w:bCs/>
                <w:color w:val="auto"/>
                <w:sz w:val="20"/>
                <w:szCs w:val="20"/>
                <w:highlight w:val="none"/>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6" w:type="pct"/>
            <w:vMerge w:val="continue"/>
            <w:noWrap w:val="0"/>
            <w:vAlign w:val="center"/>
          </w:tcPr>
          <w:p>
            <w:pPr>
              <w:pStyle w:val="110"/>
              <w:keepNext w:val="0"/>
              <w:keepLines w:val="0"/>
              <w:pageBreakBefore w:val="0"/>
              <w:kinsoku/>
              <w:wordWrap/>
              <w:overflowPunct/>
              <w:topLinePunct w:val="0"/>
              <w:autoSpaceDE/>
              <w:autoSpaceDN/>
              <w:bidi w:val="0"/>
              <w:spacing w:line="0" w:lineRule="atLeast"/>
              <w:ind w:firstLine="0" w:firstLineChars="0"/>
              <w:textAlignment w:val="auto"/>
              <w:rPr>
                <w:rFonts w:hAnsi="宋体" w:cs="宋体"/>
                <w:color w:val="auto"/>
                <w:kern w:val="0"/>
                <w:szCs w:val="20"/>
                <w:highlight w:val="none"/>
              </w:rPr>
            </w:pPr>
          </w:p>
        </w:tc>
        <w:tc>
          <w:tcPr>
            <w:tcW w:w="683"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rPr>
            </w:pPr>
            <w:r>
              <w:rPr>
                <w:rFonts w:hint="eastAsia"/>
                <w:bCs/>
                <w:color w:val="auto"/>
                <w:sz w:val="20"/>
                <w:szCs w:val="20"/>
                <w:highlight w:val="none"/>
              </w:rPr>
              <w:t>超标率</w:t>
            </w:r>
            <w:r>
              <w:rPr>
                <w:bCs/>
                <w:color w:val="auto"/>
                <w:sz w:val="20"/>
                <w:szCs w:val="20"/>
                <w:highlight w:val="none"/>
              </w:rPr>
              <w:t>%</w:t>
            </w:r>
          </w:p>
        </w:tc>
        <w:tc>
          <w:tcPr>
            <w:tcW w:w="976"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982" w:type="pc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rFonts w:hint="eastAsia"/>
                <w:bCs/>
                <w:color w:val="auto"/>
                <w:sz w:val="20"/>
                <w:szCs w:val="20"/>
                <w:highlight w:val="none"/>
                <w:lang w:val="en-US" w:eastAsia="zh-CN"/>
              </w:rPr>
            </w:pPr>
            <w:r>
              <w:rPr>
                <w:rFonts w:hint="eastAsia"/>
                <w:bCs/>
                <w:color w:val="auto"/>
                <w:sz w:val="20"/>
                <w:szCs w:val="20"/>
                <w:highlight w:val="none"/>
                <w:lang w:val="en-US" w:eastAsia="zh-CN"/>
              </w:rPr>
              <w:t>0</w:t>
            </w:r>
          </w:p>
        </w:tc>
        <w:tc>
          <w:tcPr>
            <w:tcW w:w="63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auto"/>
              <w:rPr>
                <w:bCs/>
                <w:color w:val="auto"/>
                <w:sz w:val="20"/>
                <w:szCs w:val="20"/>
                <w:highlight w:val="none"/>
              </w:rPr>
            </w:pPr>
          </w:p>
        </w:tc>
      </w:tr>
    </w:tbl>
    <w:p>
      <w:pPr>
        <w:spacing w:before="120" w:beforeLines="50"/>
        <w:ind w:firstLine="480"/>
        <w:rPr>
          <w:color w:val="auto"/>
        </w:rPr>
      </w:pPr>
      <w:r>
        <w:rPr>
          <w:color w:val="auto"/>
        </w:rPr>
        <w:t>监测结果表明：</w:t>
      </w:r>
      <w:r>
        <w:rPr>
          <w:rFonts w:hint="eastAsia"/>
          <w:color w:val="auto"/>
        </w:rPr>
        <w:t>本项目各因子的指标数均小于1</w:t>
      </w:r>
      <w:r>
        <w:rPr>
          <w:color w:val="auto"/>
        </w:rPr>
        <w:t>，各项监测指标均</w:t>
      </w:r>
      <w:r>
        <w:rPr>
          <w:rFonts w:hint="eastAsia"/>
          <w:color w:val="auto"/>
        </w:rPr>
        <w:t>能满足</w:t>
      </w:r>
      <w:r>
        <w:rPr>
          <w:color w:val="auto"/>
        </w:rPr>
        <w:t>《地下水质量标准》（GB/T 14848-2017）中的Ⅲ类标准</w:t>
      </w:r>
      <w:r>
        <w:rPr>
          <w:rFonts w:hint="eastAsia"/>
          <w:color w:val="auto"/>
        </w:rPr>
        <w:t>要求</w:t>
      </w:r>
      <w:r>
        <w:rPr>
          <w:color w:val="auto"/>
        </w:rPr>
        <w:t>。</w:t>
      </w:r>
    </w:p>
    <w:p>
      <w:pPr>
        <w:pStyle w:val="9"/>
        <w:spacing w:before="120" w:beforeLines="50"/>
        <w:rPr>
          <w:color w:val="auto"/>
        </w:rPr>
      </w:pPr>
      <w:r>
        <w:rPr>
          <w:rFonts w:hint="eastAsia"/>
          <w:color w:val="auto"/>
        </w:rPr>
        <w:t>区域地下水水位调查结果</w:t>
      </w:r>
    </w:p>
    <w:p>
      <w:pPr>
        <w:spacing w:before="120" w:beforeLines="50"/>
        <w:ind w:firstLine="480"/>
        <w:rPr>
          <w:color w:val="auto"/>
        </w:rPr>
      </w:pPr>
      <w:r>
        <w:rPr>
          <w:rFonts w:hint="eastAsia"/>
          <w:color w:val="auto"/>
        </w:rPr>
        <w:t>在</w:t>
      </w:r>
      <w:r>
        <w:rPr>
          <w:color w:val="auto"/>
        </w:rPr>
        <w:t>2020</w:t>
      </w:r>
      <w:r>
        <w:rPr>
          <w:rFonts w:hint="eastAsia"/>
          <w:color w:val="auto"/>
        </w:rPr>
        <w:t>年</w:t>
      </w:r>
      <w:r>
        <w:rPr>
          <w:rFonts w:hint="eastAsia"/>
          <w:color w:val="auto"/>
          <w:lang w:val="en-US" w:eastAsia="zh-CN"/>
        </w:rPr>
        <w:t>12</w:t>
      </w:r>
      <w:r>
        <w:rPr>
          <w:rFonts w:hint="eastAsia"/>
          <w:color w:val="auto"/>
        </w:rPr>
        <w:t>月</w:t>
      </w:r>
      <w:r>
        <w:rPr>
          <w:rFonts w:hint="eastAsia"/>
          <w:color w:val="auto"/>
          <w:lang w:val="en-US" w:eastAsia="zh-CN"/>
        </w:rPr>
        <w:t>25</w:t>
      </w:r>
      <w:r>
        <w:rPr>
          <w:rFonts w:hint="eastAsia"/>
          <w:color w:val="auto"/>
        </w:rPr>
        <w:t>日对区域地下水水位情况作了调查。</w:t>
      </w:r>
    </w:p>
    <w:p>
      <w:pPr>
        <w:pStyle w:val="166"/>
        <w:spacing w:before="0" w:beforeLines="0" w:line="240" w:lineRule="auto"/>
        <w:rPr>
          <w:color w:val="auto"/>
        </w:rPr>
      </w:pPr>
      <w:r>
        <w:rPr>
          <w:rFonts w:hint="eastAsia"/>
          <w:color w:val="auto"/>
        </w:rPr>
        <w:t>表4.2-</w:t>
      </w:r>
      <w:r>
        <w:rPr>
          <w:rFonts w:hint="eastAsia"/>
          <w:color w:val="auto"/>
          <w:lang w:val="en-US" w:eastAsia="zh-CN"/>
        </w:rPr>
        <w:t xml:space="preserve">10 </w:t>
      </w:r>
      <w:r>
        <w:rPr>
          <w:rFonts w:hint="eastAsia"/>
          <w:color w:val="auto"/>
        </w:rPr>
        <w:t>区域地下水水位调查结果一览表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742"/>
        <w:gridCol w:w="4434"/>
        <w:gridCol w:w="2611"/>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b/>
                <w:color w:val="auto"/>
                <w:szCs w:val="20"/>
              </w:rPr>
            </w:pPr>
            <w:r>
              <w:rPr>
                <w:b/>
                <w:color w:val="auto"/>
                <w:szCs w:val="20"/>
              </w:rPr>
              <w:t>点位编号</w:t>
            </w:r>
          </w:p>
        </w:tc>
        <w:tc>
          <w:tcPr>
            <w:tcW w:w="4434"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b/>
                <w:color w:val="auto"/>
                <w:szCs w:val="20"/>
              </w:rPr>
            </w:pPr>
            <w:r>
              <w:rPr>
                <w:b/>
                <w:color w:val="auto"/>
                <w:szCs w:val="20"/>
              </w:rPr>
              <w:t>取样点位置</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b/>
                <w:color w:val="auto"/>
                <w:szCs w:val="20"/>
              </w:rPr>
            </w:pPr>
            <w:r>
              <w:rPr>
                <w:rFonts w:hint="eastAsia"/>
                <w:b/>
                <w:color w:val="auto"/>
                <w:szCs w:val="20"/>
              </w:rPr>
              <w:t>高程</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Ⅰ</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1#项目西侧350m处农户家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hAnsi="宋体" w:cs="宋体"/>
                <w:color w:val="auto"/>
                <w:kern w:val="0"/>
                <w:sz w:val="20"/>
                <w:szCs w:val="20"/>
                <w:highlight w:val="none"/>
                <w:lang w:val="en-US" w:eastAsia="zh-CN"/>
              </w:rPr>
              <w:t>424.09</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Ⅱ</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2#项目东北侧500m处农户家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color w:val="auto"/>
                <w:sz w:val="20"/>
                <w:szCs w:val="20"/>
                <w:highlight w:val="none"/>
                <w:lang w:val="en-US" w:eastAsia="zh-CN"/>
              </w:rPr>
              <w:t>440.03</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Ⅲ</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3#项目西南侧400m处农户家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color w:val="auto"/>
                <w:sz w:val="20"/>
                <w:szCs w:val="20"/>
                <w:highlight w:val="none"/>
                <w:lang w:val="en-US" w:eastAsia="zh-CN"/>
              </w:rPr>
              <w:t>443.83</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Ⅳ</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4#项目东侧420m处农户家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hAnsi="宋体" w:cs="宋体"/>
                <w:color w:val="auto"/>
                <w:kern w:val="0"/>
                <w:sz w:val="20"/>
                <w:szCs w:val="20"/>
                <w:highlight w:val="none"/>
                <w:lang w:val="en-US" w:eastAsia="zh-CN"/>
              </w:rPr>
              <w:t>420.46</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Ⅴ</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5#项目西南侧650m处农户家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color w:val="auto"/>
                <w:sz w:val="20"/>
                <w:szCs w:val="20"/>
                <w:highlight w:val="none"/>
                <w:lang w:val="en-US" w:eastAsia="zh-CN"/>
              </w:rPr>
              <w:t>455.32</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1742"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color w:val="auto"/>
                <w:szCs w:val="20"/>
              </w:rPr>
            </w:pPr>
            <w:r>
              <w:rPr>
                <w:rFonts w:hint="eastAsia"/>
                <w:color w:val="auto"/>
                <w:szCs w:val="20"/>
              </w:rPr>
              <w:t>Ⅵ</w:t>
            </w:r>
          </w:p>
        </w:tc>
        <w:tc>
          <w:tcPr>
            <w:tcW w:w="443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leftChars="0" w:firstLine="0" w:firstLineChars="0"/>
              <w:jc w:val="center"/>
              <w:textAlignment w:val="auto"/>
              <w:rPr>
                <w:rFonts w:hint="eastAsia"/>
                <w:color w:val="auto"/>
                <w:szCs w:val="20"/>
                <w:highlight w:val="none"/>
              </w:rPr>
            </w:pPr>
            <w:r>
              <w:rPr>
                <w:rFonts w:hint="eastAsia"/>
                <w:color w:val="auto"/>
                <w:kern w:val="2"/>
                <w:sz w:val="20"/>
                <w:szCs w:val="20"/>
                <w:highlight w:val="none"/>
                <w:lang w:val="en-US" w:eastAsia="zh-CN" w:bidi="ar-SA"/>
              </w:rPr>
              <w:t>6#项目南侧800m处农户家</w:t>
            </w:r>
          </w:p>
        </w:tc>
        <w:tc>
          <w:tcPr>
            <w:tcW w:w="2611" w:type="dxa"/>
            <w:noWrap w:val="0"/>
            <w:vAlign w:val="center"/>
          </w:tcPr>
          <w:p>
            <w:pPr>
              <w:pStyle w:val="110"/>
              <w:keepNext w:val="0"/>
              <w:keepLines w:val="0"/>
              <w:pageBreakBefore w:val="0"/>
              <w:widowControl w:val="0"/>
              <w:kinsoku/>
              <w:wordWrap/>
              <w:overflowPunct/>
              <w:topLinePunct w:val="0"/>
              <w:autoSpaceDE/>
              <w:autoSpaceDN/>
              <w:bidi w:val="0"/>
              <w:adjustRightInd/>
              <w:snapToGrid/>
              <w:spacing w:line="0" w:lineRule="atLeast"/>
              <w:ind w:firstLine="0" w:firstLineChars="0"/>
              <w:textAlignment w:val="auto"/>
              <w:rPr>
                <w:color w:val="auto"/>
                <w:kern w:val="2"/>
                <w:sz w:val="20"/>
                <w:szCs w:val="20"/>
                <w:highlight w:val="none"/>
                <w:lang w:val="en-US" w:eastAsia="zh-CN" w:bidi="ar-SA"/>
              </w:rPr>
            </w:pPr>
            <w:r>
              <w:rPr>
                <w:rFonts w:hint="eastAsia"/>
                <w:color w:val="auto"/>
                <w:sz w:val="20"/>
                <w:szCs w:val="20"/>
                <w:highlight w:val="none"/>
                <w:lang w:val="en-US" w:eastAsia="zh-CN"/>
              </w:rPr>
              <w:t>430.47</w:t>
            </w:r>
          </w:p>
        </w:tc>
      </w:tr>
    </w:tbl>
    <w:p>
      <w:pPr>
        <w:pStyle w:val="95"/>
        <w:rPr>
          <w:rFonts w:hint="eastAsia"/>
          <w:color w:val="auto"/>
        </w:rPr>
      </w:pPr>
    </w:p>
    <w:p>
      <w:pPr>
        <w:pStyle w:val="8"/>
        <w:tabs>
          <w:tab w:val="clear" w:pos="0"/>
        </w:tabs>
        <w:rPr>
          <w:color w:val="auto"/>
        </w:rPr>
      </w:pPr>
      <w:bookmarkStart w:id="177" w:name="_Toc12502"/>
      <w:bookmarkEnd w:id="177"/>
      <w:bookmarkStart w:id="178" w:name="_Toc5161"/>
      <w:bookmarkEnd w:id="178"/>
      <w:bookmarkStart w:id="179" w:name="_Toc399428151"/>
      <w:bookmarkEnd w:id="179"/>
      <w:bookmarkStart w:id="180" w:name="_Toc27310"/>
      <w:bookmarkEnd w:id="180"/>
      <w:bookmarkStart w:id="181" w:name="_Toc458494403"/>
      <w:bookmarkEnd w:id="181"/>
      <w:bookmarkStart w:id="182" w:name="_Toc347412489"/>
      <w:bookmarkEnd w:id="182"/>
      <w:bookmarkStart w:id="183" w:name="_Toc404347208"/>
      <w:bookmarkEnd w:id="183"/>
      <w:bookmarkStart w:id="184" w:name="_Toc404807754"/>
      <w:bookmarkEnd w:id="184"/>
      <w:bookmarkStart w:id="185" w:name="_Toc360778938"/>
      <w:bookmarkEnd w:id="185"/>
      <w:bookmarkStart w:id="186" w:name="_Toc404592739"/>
      <w:bookmarkEnd w:id="186"/>
      <w:bookmarkStart w:id="187" w:name="_Toc404692126"/>
      <w:r>
        <w:rPr>
          <w:rFonts w:eastAsia="黑体"/>
          <w:color w:val="auto"/>
          <w:sz w:val="28"/>
          <w:szCs w:val="28"/>
        </w:rPr>
        <w:t>声环境质量现状监测与评价</w:t>
      </w:r>
      <w:bookmarkEnd w:id="187"/>
    </w:p>
    <w:p>
      <w:pPr>
        <w:ind w:firstLine="480"/>
        <w:rPr>
          <w:color w:val="auto"/>
        </w:rPr>
      </w:pPr>
      <w:bookmarkStart w:id="188" w:name="_Toc347412490"/>
      <w:bookmarkEnd w:id="188"/>
      <w:r>
        <w:rPr>
          <w:color w:val="auto"/>
        </w:rPr>
        <w:t>为了解本项目所在</w:t>
      </w:r>
      <w:r>
        <w:rPr>
          <w:rFonts w:hint="eastAsia"/>
          <w:color w:val="auto"/>
        </w:rPr>
        <w:t>区域声环境质量现状</w:t>
      </w:r>
      <w:r>
        <w:rPr>
          <w:color w:val="auto"/>
        </w:rPr>
        <w:t>，本次评价委托</w:t>
      </w:r>
      <w:r>
        <w:rPr>
          <w:rFonts w:hint="eastAsia"/>
          <w:color w:val="auto"/>
        </w:rPr>
        <w:t>四川良测检测技术有限公司</w:t>
      </w:r>
      <w:r>
        <w:rPr>
          <w:color w:val="auto"/>
        </w:rPr>
        <w:t>于2020年</w:t>
      </w:r>
      <w:r>
        <w:rPr>
          <w:rFonts w:hint="eastAsia"/>
          <w:color w:val="auto"/>
          <w:lang w:val="en-US" w:eastAsia="zh-CN"/>
        </w:rPr>
        <w:t>12</w:t>
      </w:r>
      <w:r>
        <w:rPr>
          <w:color w:val="auto"/>
        </w:rPr>
        <w:t>月</w:t>
      </w:r>
      <w:r>
        <w:rPr>
          <w:rFonts w:hint="eastAsia"/>
          <w:color w:val="auto"/>
          <w:lang w:val="en-US" w:eastAsia="zh-CN"/>
        </w:rPr>
        <w:t>28</w:t>
      </w:r>
      <w:r>
        <w:rPr>
          <w:color w:val="auto"/>
        </w:rPr>
        <w:t>日</w:t>
      </w:r>
      <w:r>
        <w:rPr>
          <w:rFonts w:hint="eastAsia"/>
          <w:color w:val="auto"/>
        </w:rPr>
        <w:t>~</w:t>
      </w:r>
      <w:r>
        <w:rPr>
          <w:rFonts w:hint="eastAsia"/>
          <w:color w:val="auto"/>
          <w:lang w:val="en-US" w:eastAsia="zh-CN"/>
        </w:rPr>
        <w:t>12</w:t>
      </w:r>
      <w:r>
        <w:rPr>
          <w:color w:val="auto"/>
        </w:rPr>
        <w:t>月</w:t>
      </w:r>
      <w:r>
        <w:rPr>
          <w:rFonts w:hint="eastAsia"/>
          <w:color w:val="auto"/>
          <w:lang w:val="en-US" w:eastAsia="zh-CN"/>
        </w:rPr>
        <w:t>29</w:t>
      </w:r>
      <w:r>
        <w:rPr>
          <w:color w:val="auto"/>
        </w:rPr>
        <w:t>日对项目</w:t>
      </w:r>
      <w:r>
        <w:rPr>
          <w:rFonts w:hint="eastAsia"/>
          <w:color w:val="auto"/>
        </w:rPr>
        <w:t>周</w:t>
      </w:r>
      <w:r>
        <w:rPr>
          <w:color w:val="auto"/>
        </w:rPr>
        <w:t>边</w:t>
      </w:r>
      <w:r>
        <w:rPr>
          <w:rFonts w:hint="eastAsia"/>
          <w:color w:val="auto"/>
        </w:rPr>
        <w:t>声</w:t>
      </w:r>
      <w:r>
        <w:rPr>
          <w:color w:val="auto"/>
        </w:rPr>
        <w:t>环境质量现状进行监测。</w:t>
      </w:r>
    </w:p>
    <w:p>
      <w:pPr>
        <w:ind w:firstLine="482"/>
        <w:rPr>
          <w:b/>
          <w:color w:val="auto"/>
        </w:rPr>
      </w:pPr>
      <w:r>
        <w:rPr>
          <w:b/>
          <w:color w:val="auto"/>
        </w:rPr>
        <w:t>1、监测点位</w:t>
      </w:r>
    </w:p>
    <w:p>
      <w:pPr>
        <w:ind w:firstLine="480"/>
        <w:rPr>
          <w:rFonts w:hint="eastAsia"/>
          <w:color w:val="auto"/>
        </w:rPr>
      </w:pPr>
      <w:r>
        <w:rPr>
          <w:rFonts w:hint="eastAsia"/>
          <w:color w:val="auto"/>
        </w:rPr>
        <w:t>本次评价共布设</w:t>
      </w:r>
      <w:r>
        <w:rPr>
          <w:rFonts w:hint="eastAsia"/>
          <w:color w:val="auto"/>
          <w:lang w:val="en-US" w:eastAsia="zh-CN"/>
        </w:rPr>
        <w:t>9</w:t>
      </w:r>
      <w:r>
        <w:rPr>
          <w:rFonts w:hint="eastAsia"/>
          <w:color w:val="auto"/>
        </w:rPr>
        <w:t>个噪声监测点进行现状监测，监测点位布设情况见表</w:t>
      </w:r>
      <w:r>
        <w:rPr>
          <w:color w:val="auto"/>
        </w:rPr>
        <w:t>4.2</w:t>
      </w:r>
      <w:r>
        <w:rPr>
          <w:rFonts w:hint="eastAsia"/>
          <w:color w:val="auto"/>
        </w:rPr>
        <w:t>-</w:t>
      </w:r>
      <w:r>
        <w:rPr>
          <w:color w:val="auto"/>
        </w:rPr>
        <w:t>1</w:t>
      </w:r>
      <w:r>
        <w:rPr>
          <w:rFonts w:hint="eastAsia"/>
          <w:color w:val="auto"/>
          <w:lang w:val="en-US" w:eastAsia="zh-CN"/>
        </w:rPr>
        <w:t>1</w:t>
      </w:r>
      <w:r>
        <w:rPr>
          <w:rFonts w:hint="eastAsia"/>
          <w:color w:val="auto"/>
        </w:rPr>
        <w:t>。</w:t>
      </w:r>
    </w:p>
    <w:p>
      <w:pPr>
        <w:pStyle w:val="166"/>
        <w:spacing w:before="0" w:beforeLines="0" w:line="240" w:lineRule="auto"/>
        <w:rPr>
          <w:color w:val="auto"/>
        </w:rPr>
      </w:pPr>
      <w:r>
        <w:rPr>
          <w:rFonts w:hint="eastAsia"/>
          <w:color w:val="auto"/>
        </w:rPr>
        <w:t>表</w:t>
      </w:r>
      <w:r>
        <w:rPr>
          <w:color w:val="auto"/>
        </w:rPr>
        <w:t>4.2-1</w:t>
      </w:r>
      <w:r>
        <w:rPr>
          <w:rFonts w:hint="eastAsia"/>
          <w:color w:val="auto"/>
          <w:lang w:val="en-US" w:eastAsia="zh-CN"/>
        </w:rPr>
        <w:t xml:space="preserve">1 </w:t>
      </w:r>
      <w:r>
        <w:rPr>
          <w:rFonts w:hint="eastAsia"/>
          <w:color w:val="auto"/>
        </w:rPr>
        <w:t>噪声监测点位布设情况</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5386"/>
        <w:gridCol w:w="1841"/>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rPr>
                <w:b/>
                <w:color w:val="auto"/>
                <w:szCs w:val="20"/>
              </w:rPr>
            </w:pPr>
            <w:r>
              <w:rPr>
                <w:b/>
                <w:color w:val="auto"/>
                <w:szCs w:val="20"/>
              </w:rPr>
              <w:t>监测点编号</w:t>
            </w:r>
          </w:p>
        </w:tc>
        <w:tc>
          <w:tcPr>
            <w:tcW w:w="5386" w:type="dxa"/>
            <w:noWrap w:val="0"/>
            <w:vAlign w:val="top"/>
          </w:tcPr>
          <w:p>
            <w:pPr>
              <w:pStyle w:val="110"/>
              <w:rPr>
                <w:b/>
                <w:color w:val="auto"/>
                <w:szCs w:val="20"/>
              </w:rPr>
            </w:pPr>
            <w:r>
              <w:rPr>
                <w:b/>
                <w:color w:val="auto"/>
                <w:szCs w:val="20"/>
              </w:rPr>
              <w:t>监测点位</w:t>
            </w:r>
          </w:p>
        </w:tc>
        <w:tc>
          <w:tcPr>
            <w:tcW w:w="1841" w:type="dxa"/>
            <w:noWrap w:val="0"/>
            <w:vAlign w:val="top"/>
          </w:tcPr>
          <w:p>
            <w:pPr>
              <w:pStyle w:val="110"/>
              <w:rPr>
                <w:b/>
                <w:color w:val="auto"/>
                <w:szCs w:val="20"/>
              </w:rPr>
            </w:pPr>
            <w:r>
              <w:rPr>
                <w:b/>
                <w:color w:val="auto"/>
                <w:szCs w:val="20"/>
              </w:rPr>
              <w:t>备注</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rPr>
                <w:color w:val="auto"/>
                <w:szCs w:val="20"/>
              </w:rPr>
            </w:pPr>
            <w:r>
              <w:rPr>
                <w:color w:val="auto"/>
                <w:szCs w:val="20"/>
              </w:rPr>
              <w:t>1#</w:t>
            </w:r>
          </w:p>
        </w:tc>
        <w:tc>
          <w:tcPr>
            <w:tcW w:w="5386"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841" w:type="dxa"/>
            <w:noWrap w:val="0"/>
            <w:vAlign w:val="top"/>
          </w:tcPr>
          <w:p>
            <w:pPr>
              <w:pStyle w:val="110"/>
              <w:rPr>
                <w:color w:val="auto"/>
                <w:szCs w:val="20"/>
                <w:highlight w:val="none"/>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rPr>
                <w:color w:val="auto"/>
                <w:szCs w:val="20"/>
              </w:rPr>
            </w:pPr>
            <w:r>
              <w:rPr>
                <w:color w:val="auto"/>
                <w:szCs w:val="20"/>
              </w:rPr>
              <w:t>2#</w:t>
            </w:r>
          </w:p>
        </w:tc>
        <w:tc>
          <w:tcPr>
            <w:tcW w:w="5386"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东</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841" w:type="dxa"/>
            <w:noWrap w:val="0"/>
            <w:vAlign w:val="top"/>
          </w:tcPr>
          <w:p>
            <w:pPr>
              <w:pStyle w:val="110"/>
              <w:rPr>
                <w:color w:val="auto"/>
                <w:szCs w:val="20"/>
                <w:highlight w:val="none"/>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rPr>
                <w:color w:val="auto"/>
                <w:szCs w:val="20"/>
              </w:rPr>
            </w:pPr>
            <w:r>
              <w:rPr>
                <w:color w:val="auto"/>
                <w:szCs w:val="20"/>
              </w:rPr>
              <w:t>3#</w:t>
            </w:r>
          </w:p>
        </w:tc>
        <w:tc>
          <w:tcPr>
            <w:tcW w:w="5386"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841" w:type="dxa"/>
            <w:noWrap w:val="0"/>
            <w:vAlign w:val="top"/>
          </w:tcPr>
          <w:p>
            <w:pPr>
              <w:pStyle w:val="110"/>
              <w:rPr>
                <w:color w:val="auto"/>
                <w:szCs w:val="20"/>
                <w:highlight w:val="none"/>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rPr>
                <w:color w:val="auto"/>
                <w:szCs w:val="20"/>
              </w:rPr>
            </w:pPr>
            <w:r>
              <w:rPr>
                <w:color w:val="auto"/>
                <w:szCs w:val="20"/>
              </w:rPr>
              <w:t>4#</w:t>
            </w:r>
          </w:p>
        </w:tc>
        <w:tc>
          <w:tcPr>
            <w:tcW w:w="5386"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西</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841" w:type="dxa"/>
            <w:noWrap w:val="0"/>
            <w:vAlign w:val="top"/>
          </w:tcPr>
          <w:p>
            <w:pPr>
              <w:pStyle w:val="110"/>
              <w:rPr>
                <w:color w:val="auto"/>
                <w:szCs w:val="20"/>
                <w:highlight w:val="none"/>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60" w:type="dxa"/>
            <w:noWrap w:val="0"/>
            <w:vAlign w:val="top"/>
          </w:tcPr>
          <w:p>
            <w:pPr>
              <w:pStyle w:val="110"/>
              <w:ind w:firstLine="0" w:firstLineChars="0"/>
              <w:rPr>
                <w:color w:val="auto"/>
                <w:kern w:val="2"/>
                <w:sz w:val="20"/>
                <w:szCs w:val="20"/>
                <w:lang w:val="en-US" w:eastAsia="zh-CN" w:bidi="ar-SA"/>
              </w:rPr>
            </w:pPr>
            <w:r>
              <w:rPr>
                <w:rFonts w:hint="eastAsia"/>
                <w:color w:val="auto"/>
                <w:szCs w:val="20"/>
                <w:lang w:val="en-US" w:eastAsia="zh-CN"/>
              </w:rPr>
              <w:t>5</w:t>
            </w:r>
            <w:r>
              <w:rPr>
                <w:color w:val="auto"/>
                <w:szCs w:val="20"/>
              </w:rPr>
              <w:t>#</w:t>
            </w:r>
          </w:p>
        </w:tc>
        <w:tc>
          <w:tcPr>
            <w:tcW w:w="5386" w:type="dxa"/>
            <w:noWrap w:val="0"/>
            <w:vAlign w:val="center"/>
          </w:tcPr>
          <w:p>
            <w:pPr>
              <w:adjustRightInd w:val="0"/>
              <w:snapToGrid w:val="0"/>
              <w:spacing w:line="240" w:lineRule="auto"/>
              <w:ind w:firstLine="0" w:firstLineChars="0"/>
              <w:jc w:val="center"/>
              <w:rPr>
                <w:color w:val="auto"/>
                <w:kern w:val="2"/>
                <w:sz w:val="20"/>
                <w:szCs w:val="20"/>
                <w:highlight w:val="none"/>
                <w:lang w:val="en-US" w:eastAsia="zh-CN" w:bidi="ar-SA"/>
              </w:rPr>
            </w:pPr>
            <w:r>
              <w:rPr>
                <w:color w:val="auto"/>
                <w:sz w:val="20"/>
                <w:szCs w:val="20"/>
                <w:highlight w:val="none"/>
              </w:rPr>
              <w:t>项目</w:t>
            </w:r>
            <w:r>
              <w:rPr>
                <w:rFonts w:hint="eastAsia"/>
                <w:color w:val="auto"/>
                <w:sz w:val="20"/>
                <w:szCs w:val="20"/>
                <w:highlight w:val="none"/>
              </w:rPr>
              <w:t>东</w:t>
            </w:r>
            <w:r>
              <w:rPr>
                <w:rFonts w:hint="eastAsia"/>
                <w:color w:val="auto"/>
                <w:sz w:val="20"/>
                <w:szCs w:val="20"/>
                <w:highlight w:val="none"/>
                <w:lang w:val="en-US" w:eastAsia="zh-CN"/>
              </w:rPr>
              <w:t>西</w:t>
            </w:r>
            <w:r>
              <w:rPr>
                <w:rFonts w:hint="eastAsia"/>
                <w:color w:val="auto"/>
                <w:sz w:val="20"/>
                <w:szCs w:val="20"/>
                <w:highlight w:val="none"/>
              </w:rPr>
              <w:t>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841" w:type="dxa"/>
            <w:noWrap w:val="0"/>
            <w:vAlign w:val="top"/>
          </w:tcPr>
          <w:p>
            <w:pPr>
              <w:pStyle w:val="110"/>
              <w:ind w:firstLine="0" w:firstLineChars="0"/>
              <w:rPr>
                <w:color w:val="auto"/>
                <w:kern w:val="2"/>
                <w:sz w:val="20"/>
                <w:szCs w:val="20"/>
                <w:highlight w:val="none"/>
                <w:lang w:val="en-US" w:eastAsia="zh-CN" w:bidi="ar-SA"/>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noWrap w:val="0"/>
            <w:vAlign w:val="top"/>
          </w:tcPr>
          <w:p>
            <w:pPr>
              <w:pStyle w:val="110"/>
              <w:ind w:firstLine="0" w:firstLineChars="0"/>
              <w:rPr>
                <w:color w:val="auto"/>
                <w:kern w:val="2"/>
                <w:sz w:val="20"/>
                <w:szCs w:val="20"/>
                <w:lang w:val="en-US" w:eastAsia="zh-CN" w:bidi="ar-SA"/>
              </w:rPr>
            </w:pPr>
            <w:r>
              <w:rPr>
                <w:rFonts w:hint="eastAsia"/>
                <w:color w:val="auto"/>
                <w:szCs w:val="20"/>
                <w:lang w:val="en-US" w:eastAsia="zh-CN"/>
              </w:rPr>
              <w:t>6</w:t>
            </w:r>
            <w:r>
              <w:rPr>
                <w:color w:val="auto"/>
                <w:szCs w:val="20"/>
              </w:rPr>
              <w:t>#</w:t>
            </w:r>
          </w:p>
        </w:tc>
        <w:tc>
          <w:tcPr>
            <w:tcW w:w="0" w:type="auto"/>
            <w:noWrap w:val="0"/>
            <w:vAlign w:val="center"/>
          </w:tcPr>
          <w:p>
            <w:pPr>
              <w:adjustRightInd w:val="0"/>
              <w:snapToGrid w:val="0"/>
              <w:spacing w:line="240" w:lineRule="auto"/>
              <w:ind w:firstLine="0" w:firstLineChars="0"/>
              <w:jc w:val="center"/>
              <w:rPr>
                <w:rFonts w:hint="default"/>
                <w:color w:val="auto"/>
                <w:kern w:val="2"/>
                <w:sz w:val="20"/>
                <w:szCs w:val="20"/>
                <w:highlight w:val="none"/>
                <w:lang w:val="en-US" w:eastAsia="zh-CN" w:bidi="ar-SA"/>
              </w:rPr>
            </w:pPr>
            <w:r>
              <w:rPr>
                <w:rFonts w:hint="eastAsia"/>
                <w:color w:val="auto"/>
                <w:kern w:val="2"/>
                <w:sz w:val="20"/>
                <w:szCs w:val="20"/>
                <w:highlight w:val="none"/>
                <w:lang w:val="en-US" w:eastAsia="zh-CN" w:bidi="ar-SA"/>
              </w:rPr>
              <w:t>场界北侧处居民</w:t>
            </w:r>
          </w:p>
        </w:tc>
        <w:tc>
          <w:tcPr>
            <w:tcW w:w="0" w:type="auto"/>
            <w:noWrap w:val="0"/>
            <w:vAlign w:val="top"/>
          </w:tcPr>
          <w:p>
            <w:pPr>
              <w:pStyle w:val="110"/>
              <w:ind w:firstLine="0" w:firstLineChars="0"/>
              <w:rPr>
                <w:color w:val="auto"/>
                <w:kern w:val="2"/>
                <w:sz w:val="20"/>
                <w:szCs w:val="20"/>
                <w:highlight w:val="none"/>
                <w:lang w:val="en-US" w:eastAsia="zh-CN" w:bidi="ar-SA"/>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noWrap w:val="0"/>
            <w:vAlign w:val="top"/>
          </w:tcPr>
          <w:p>
            <w:pPr>
              <w:pStyle w:val="110"/>
              <w:ind w:firstLine="0" w:firstLineChars="0"/>
              <w:rPr>
                <w:color w:val="auto"/>
                <w:kern w:val="2"/>
                <w:sz w:val="20"/>
                <w:szCs w:val="20"/>
                <w:lang w:val="en-US" w:eastAsia="zh-CN" w:bidi="ar-SA"/>
              </w:rPr>
            </w:pPr>
            <w:r>
              <w:rPr>
                <w:rFonts w:hint="eastAsia"/>
                <w:color w:val="auto"/>
                <w:szCs w:val="20"/>
                <w:lang w:val="en-US" w:eastAsia="zh-CN"/>
              </w:rPr>
              <w:t>7</w:t>
            </w:r>
            <w:r>
              <w:rPr>
                <w:color w:val="auto"/>
                <w:szCs w:val="20"/>
              </w:rPr>
              <w:t>#</w:t>
            </w:r>
          </w:p>
        </w:tc>
        <w:tc>
          <w:tcPr>
            <w:tcW w:w="0" w:type="auto"/>
            <w:noWrap w:val="0"/>
            <w:vAlign w:val="center"/>
          </w:tcPr>
          <w:p>
            <w:pPr>
              <w:adjustRightInd w:val="0"/>
              <w:snapToGrid w:val="0"/>
              <w:spacing w:line="240" w:lineRule="auto"/>
              <w:ind w:firstLine="0" w:firstLineChars="0"/>
              <w:jc w:val="center"/>
              <w:rPr>
                <w:color w:val="auto"/>
                <w:kern w:val="2"/>
                <w:sz w:val="20"/>
                <w:szCs w:val="20"/>
                <w:highlight w:val="none"/>
                <w:lang w:val="en-US" w:eastAsia="zh-CN" w:bidi="ar-SA"/>
              </w:rPr>
            </w:pPr>
            <w:r>
              <w:rPr>
                <w:rFonts w:hint="eastAsia"/>
                <w:color w:val="auto"/>
                <w:kern w:val="2"/>
                <w:sz w:val="20"/>
                <w:szCs w:val="20"/>
                <w:highlight w:val="none"/>
                <w:lang w:val="en-US" w:eastAsia="zh-CN" w:bidi="ar-SA"/>
              </w:rPr>
              <w:t>场界东侧处居民</w:t>
            </w:r>
          </w:p>
        </w:tc>
        <w:tc>
          <w:tcPr>
            <w:tcW w:w="0" w:type="auto"/>
            <w:noWrap w:val="0"/>
            <w:vAlign w:val="top"/>
          </w:tcPr>
          <w:p>
            <w:pPr>
              <w:pStyle w:val="110"/>
              <w:ind w:firstLine="0" w:firstLineChars="0"/>
              <w:rPr>
                <w:color w:val="auto"/>
                <w:kern w:val="2"/>
                <w:sz w:val="20"/>
                <w:szCs w:val="20"/>
                <w:highlight w:val="none"/>
                <w:lang w:val="en-US" w:eastAsia="zh-CN" w:bidi="ar-SA"/>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noWrap w:val="0"/>
            <w:vAlign w:val="top"/>
          </w:tcPr>
          <w:p>
            <w:pPr>
              <w:pStyle w:val="110"/>
              <w:ind w:firstLine="0" w:firstLineChars="0"/>
              <w:rPr>
                <w:color w:val="auto"/>
                <w:kern w:val="2"/>
                <w:sz w:val="20"/>
                <w:szCs w:val="20"/>
                <w:lang w:val="en-US" w:eastAsia="zh-CN" w:bidi="ar-SA"/>
              </w:rPr>
            </w:pPr>
            <w:r>
              <w:rPr>
                <w:rFonts w:hint="eastAsia"/>
                <w:color w:val="auto"/>
                <w:szCs w:val="20"/>
                <w:lang w:val="en-US" w:eastAsia="zh-CN"/>
              </w:rPr>
              <w:t>8</w:t>
            </w:r>
            <w:r>
              <w:rPr>
                <w:color w:val="auto"/>
                <w:szCs w:val="20"/>
              </w:rPr>
              <w:t>#</w:t>
            </w:r>
          </w:p>
        </w:tc>
        <w:tc>
          <w:tcPr>
            <w:tcW w:w="0" w:type="auto"/>
            <w:noWrap w:val="0"/>
            <w:vAlign w:val="center"/>
          </w:tcPr>
          <w:p>
            <w:pPr>
              <w:adjustRightInd w:val="0"/>
              <w:snapToGrid w:val="0"/>
              <w:spacing w:line="240" w:lineRule="auto"/>
              <w:ind w:firstLine="0" w:firstLineChars="0"/>
              <w:jc w:val="center"/>
              <w:rPr>
                <w:color w:val="auto"/>
                <w:kern w:val="2"/>
                <w:sz w:val="20"/>
                <w:szCs w:val="20"/>
                <w:highlight w:val="none"/>
                <w:lang w:val="en-US" w:eastAsia="zh-CN" w:bidi="ar-SA"/>
              </w:rPr>
            </w:pPr>
            <w:r>
              <w:rPr>
                <w:rFonts w:hint="eastAsia"/>
                <w:color w:val="auto"/>
                <w:kern w:val="2"/>
                <w:sz w:val="20"/>
                <w:szCs w:val="20"/>
                <w:highlight w:val="none"/>
                <w:lang w:val="en-US" w:eastAsia="zh-CN" w:bidi="ar-SA"/>
              </w:rPr>
              <w:t>场界南侧处居民</w:t>
            </w:r>
          </w:p>
        </w:tc>
        <w:tc>
          <w:tcPr>
            <w:tcW w:w="0" w:type="auto"/>
            <w:noWrap w:val="0"/>
            <w:vAlign w:val="top"/>
          </w:tcPr>
          <w:p>
            <w:pPr>
              <w:pStyle w:val="110"/>
              <w:ind w:firstLine="0" w:firstLineChars="0"/>
              <w:rPr>
                <w:color w:val="auto"/>
                <w:kern w:val="2"/>
                <w:sz w:val="20"/>
                <w:szCs w:val="20"/>
                <w:highlight w:val="none"/>
                <w:lang w:val="en-US" w:eastAsia="zh-CN" w:bidi="ar-SA"/>
              </w:rPr>
            </w:pPr>
            <w:r>
              <w:rPr>
                <w:color w:val="auto"/>
                <w:szCs w:val="20"/>
                <w:highlight w:val="none"/>
              </w:rPr>
              <w:t>噪声本底值</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noWrap w:val="0"/>
            <w:vAlign w:val="top"/>
          </w:tcPr>
          <w:p>
            <w:pPr>
              <w:pStyle w:val="110"/>
              <w:ind w:firstLine="0" w:firstLineChars="0"/>
              <w:rPr>
                <w:rFonts w:hint="default" w:eastAsia="宋体"/>
                <w:color w:val="auto"/>
                <w:szCs w:val="20"/>
                <w:lang w:val="en-US" w:eastAsia="zh-CN"/>
              </w:rPr>
            </w:pPr>
            <w:r>
              <w:rPr>
                <w:rFonts w:hint="eastAsia"/>
                <w:color w:val="auto"/>
                <w:szCs w:val="20"/>
                <w:lang w:val="en-US" w:eastAsia="zh-CN"/>
              </w:rPr>
              <w:t>9#</w:t>
            </w:r>
          </w:p>
        </w:tc>
        <w:tc>
          <w:tcPr>
            <w:tcW w:w="0" w:type="auto"/>
            <w:noWrap w:val="0"/>
            <w:vAlign w:val="center"/>
          </w:tcPr>
          <w:p>
            <w:pPr>
              <w:adjustRightInd w:val="0"/>
              <w:snapToGrid w:val="0"/>
              <w:spacing w:line="240" w:lineRule="auto"/>
              <w:ind w:firstLine="0" w:firstLineChars="0"/>
              <w:jc w:val="center"/>
              <w:rPr>
                <w:color w:val="auto"/>
                <w:sz w:val="20"/>
                <w:szCs w:val="20"/>
                <w:highlight w:val="none"/>
              </w:rPr>
            </w:pPr>
            <w:r>
              <w:rPr>
                <w:rFonts w:hint="eastAsia"/>
                <w:color w:val="auto"/>
                <w:kern w:val="2"/>
                <w:sz w:val="20"/>
                <w:szCs w:val="20"/>
                <w:highlight w:val="none"/>
                <w:lang w:val="en-US" w:eastAsia="zh-CN" w:bidi="ar-SA"/>
              </w:rPr>
              <w:t>场界西侧处居民</w:t>
            </w:r>
          </w:p>
        </w:tc>
        <w:tc>
          <w:tcPr>
            <w:tcW w:w="0" w:type="auto"/>
            <w:noWrap w:val="0"/>
            <w:vAlign w:val="top"/>
          </w:tcPr>
          <w:p>
            <w:pPr>
              <w:pStyle w:val="110"/>
              <w:ind w:firstLine="0" w:firstLineChars="0"/>
              <w:rPr>
                <w:color w:val="auto"/>
                <w:szCs w:val="20"/>
                <w:highlight w:val="none"/>
              </w:rPr>
            </w:pPr>
            <w:r>
              <w:rPr>
                <w:color w:val="auto"/>
                <w:szCs w:val="20"/>
                <w:highlight w:val="none"/>
              </w:rPr>
              <w:t>噪声本底值</w:t>
            </w:r>
          </w:p>
        </w:tc>
      </w:tr>
    </w:tbl>
    <w:p>
      <w:pPr>
        <w:spacing w:before="120" w:beforeLines="50"/>
        <w:ind w:firstLine="482"/>
        <w:rPr>
          <w:b/>
          <w:color w:val="auto"/>
        </w:rPr>
      </w:pPr>
      <w:r>
        <w:rPr>
          <w:b/>
          <w:color w:val="auto"/>
        </w:rPr>
        <w:t>2、监测项目</w:t>
      </w:r>
    </w:p>
    <w:p>
      <w:pPr>
        <w:ind w:firstLine="480"/>
        <w:rPr>
          <w:color w:val="auto"/>
        </w:rPr>
      </w:pPr>
      <w:r>
        <w:rPr>
          <w:color w:val="auto"/>
        </w:rPr>
        <w:t>测量</w:t>
      </w:r>
      <w:r>
        <w:rPr>
          <w:rFonts w:hint="eastAsia"/>
          <w:color w:val="auto"/>
        </w:rPr>
        <w:t>各监测点</w:t>
      </w:r>
      <w:r>
        <w:rPr>
          <w:color w:val="auto"/>
        </w:rPr>
        <w:t>昼间及夜间的等效连续A声级</w:t>
      </w:r>
      <w:r>
        <w:rPr>
          <w:rFonts w:hint="eastAsia"/>
          <w:color w:val="auto"/>
        </w:rPr>
        <w:t>LAeq</w:t>
      </w:r>
      <w:r>
        <w:rPr>
          <w:color w:val="auto"/>
        </w:rPr>
        <w:t>。</w:t>
      </w:r>
    </w:p>
    <w:p>
      <w:pPr>
        <w:ind w:firstLine="482"/>
        <w:rPr>
          <w:rFonts w:hint="eastAsia"/>
          <w:b/>
          <w:color w:val="auto"/>
        </w:rPr>
      </w:pPr>
      <w:r>
        <w:rPr>
          <w:rFonts w:hint="eastAsia"/>
          <w:b/>
          <w:color w:val="auto"/>
        </w:rPr>
        <w:t>3、监测周期及频率</w:t>
      </w:r>
    </w:p>
    <w:p>
      <w:pPr>
        <w:ind w:firstLine="482"/>
        <w:rPr>
          <w:rFonts w:hint="eastAsia"/>
          <w:b w:val="0"/>
          <w:bCs/>
          <w:color w:val="auto"/>
        </w:rPr>
      </w:pPr>
      <w:r>
        <w:rPr>
          <w:rFonts w:hint="eastAsia"/>
          <w:b w:val="0"/>
          <w:bCs/>
          <w:color w:val="auto"/>
        </w:rPr>
        <w:t>2020年</w:t>
      </w:r>
      <w:r>
        <w:rPr>
          <w:rFonts w:hint="eastAsia"/>
          <w:b w:val="0"/>
          <w:bCs/>
          <w:color w:val="auto"/>
          <w:lang w:val="en-US" w:eastAsia="zh-CN"/>
        </w:rPr>
        <w:t>12</w:t>
      </w:r>
      <w:r>
        <w:rPr>
          <w:rFonts w:hint="eastAsia"/>
          <w:b w:val="0"/>
          <w:bCs/>
          <w:color w:val="auto"/>
        </w:rPr>
        <w:t>月</w:t>
      </w:r>
      <w:r>
        <w:rPr>
          <w:rFonts w:hint="eastAsia"/>
          <w:b w:val="0"/>
          <w:bCs/>
          <w:color w:val="auto"/>
          <w:lang w:val="en-US" w:eastAsia="zh-CN"/>
        </w:rPr>
        <w:t>28</w:t>
      </w:r>
      <w:r>
        <w:rPr>
          <w:rFonts w:hint="eastAsia"/>
          <w:b w:val="0"/>
          <w:bCs/>
          <w:color w:val="auto"/>
        </w:rPr>
        <w:t>日~</w:t>
      </w:r>
      <w:r>
        <w:rPr>
          <w:rFonts w:hint="eastAsia"/>
          <w:b w:val="0"/>
          <w:bCs/>
          <w:color w:val="auto"/>
          <w:lang w:val="en-US" w:eastAsia="zh-CN"/>
        </w:rPr>
        <w:t>12</w:t>
      </w:r>
      <w:r>
        <w:rPr>
          <w:b w:val="0"/>
          <w:bCs/>
          <w:color w:val="auto"/>
        </w:rPr>
        <w:t>月</w:t>
      </w:r>
      <w:r>
        <w:rPr>
          <w:rFonts w:hint="eastAsia"/>
          <w:b w:val="0"/>
          <w:bCs/>
          <w:color w:val="auto"/>
          <w:lang w:val="en-US" w:eastAsia="zh-CN"/>
        </w:rPr>
        <w:t>3</w:t>
      </w:r>
      <w:r>
        <w:rPr>
          <w:b w:val="0"/>
          <w:bCs/>
          <w:color w:val="auto"/>
        </w:rPr>
        <w:t>0日</w:t>
      </w:r>
      <w:r>
        <w:rPr>
          <w:rFonts w:hint="eastAsia"/>
          <w:b w:val="0"/>
          <w:bCs/>
          <w:color w:val="auto"/>
        </w:rPr>
        <w:t>，连续检测2天，每天昼间、夜间各检测1次。</w:t>
      </w:r>
    </w:p>
    <w:p>
      <w:pPr>
        <w:ind w:firstLine="482"/>
        <w:rPr>
          <w:b/>
          <w:color w:val="auto"/>
        </w:rPr>
      </w:pPr>
      <w:r>
        <w:rPr>
          <w:b/>
          <w:color w:val="auto"/>
        </w:rPr>
        <w:t>4、</w:t>
      </w:r>
      <w:r>
        <w:rPr>
          <w:rFonts w:hint="eastAsia"/>
          <w:b/>
          <w:color w:val="auto"/>
        </w:rPr>
        <w:t>监测方法及来源</w:t>
      </w:r>
    </w:p>
    <w:p>
      <w:pPr>
        <w:widowControl/>
        <w:ind w:firstLine="480"/>
        <w:jc w:val="left"/>
        <w:rPr>
          <w:rFonts w:hAnsi="宋体" w:cs="宋体"/>
          <w:color w:val="auto"/>
          <w:kern w:val="0"/>
        </w:rPr>
      </w:pPr>
      <w:r>
        <w:rPr>
          <w:rFonts w:hAnsi="宋体" w:cs="宋体"/>
          <w:color w:val="auto"/>
          <w:kern w:val="0"/>
        </w:rPr>
        <w:t>本次监测项目的监测方法、方法来源及检出限见</w:t>
      </w:r>
      <w:r>
        <w:rPr>
          <w:rFonts w:hint="eastAsia" w:hAnsi="宋体" w:cs="宋体"/>
          <w:color w:val="auto"/>
          <w:kern w:val="0"/>
        </w:rPr>
        <w:t>下表</w:t>
      </w:r>
      <w:r>
        <w:rPr>
          <w:rFonts w:hAnsi="宋体" w:cs="宋体"/>
          <w:color w:val="auto"/>
          <w:kern w:val="0"/>
        </w:rPr>
        <w:t>。</w:t>
      </w:r>
    </w:p>
    <w:p>
      <w:pPr>
        <w:widowControl/>
        <w:ind w:firstLine="422"/>
        <w:jc w:val="center"/>
        <w:rPr>
          <w:rFonts w:hAnsi="宋体" w:cs="宋体"/>
          <w:b/>
          <w:color w:val="auto"/>
          <w:kern w:val="0"/>
          <w:sz w:val="21"/>
          <w:szCs w:val="21"/>
        </w:rPr>
      </w:pPr>
      <w:r>
        <w:rPr>
          <w:rFonts w:hAnsi="宋体" w:cs="宋体"/>
          <w:b/>
          <w:color w:val="auto"/>
          <w:kern w:val="0"/>
          <w:sz w:val="21"/>
          <w:szCs w:val="21"/>
        </w:rPr>
        <w:t>表4</w:t>
      </w:r>
      <w:r>
        <w:rPr>
          <w:rFonts w:hint="eastAsia" w:hAnsi="宋体" w:cs="宋体"/>
          <w:b/>
          <w:color w:val="auto"/>
          <w:kern w:val="0"/>
          <w:sz w:val="21"/>
          <w:szCs w:val="21"/>
        </w:rPr>
        <w:t>.2-</w:t>
      </w:r>
      <w:r>
        <w:rPr>
          <w:rFonts w:hAnsi="宋体" w:cs="宋体"/>
          <w:b/>
          <w:color w:val="auto"/>
          <w:kern w:val="0"/>
          <w:sz w:val="21"/>
          <w:szCs w:val="21"/>
        </w:rPr>
        <w:t>1</w:t>
      </w:r>
      <w:r>
        <w:rPr>
          <w:rFonts w:hint="eastAsia" w:hAnsi="宋体" w:cs="宋体"/>
          <w:b/>
          <w:color w:val="auto"/>
          <w:kern w:val="0"/>
          <w:sz w:val="21"/>
          <w:szCs w:val="21"/>
          <w:lang w:val="en-US" w:eastAsia="zh-CN"/>
        </w:rPr>
        <w:t xml:space="preserve">2 </w:t>
      </w:r>
      <w:r>
        <w:rPr>
          <w:rFonts w:hint="eastAsia" w:hAnsi="宋体" w:cs="宋体"/>
          <w:b/>
          <w:color w:val="auto"/>
          <w:kern w:val="0"/>
          <w:sz w:val="21"/>
          <w:szCs w:val="21"/>
          <w:lang w:val="en-US" w:eastAsia="zh-CN"/>
        </w:rPr>
        <w:t xml:space="preserve"> </w:t>
      </w:r>
      <w:r>
        <w:rPr>
          <w:rFonts w:hAnsi="宋体" w:cs="宋体"/>
          <w:b/>
          <w:color w:val="auto"/>
          <w:kern w:val="0"/>
          <w:sz w:val="21"/>
          <w:szCs w:val="21"/>
        </w:rPr>
        <w:t>噪声监测方法、方法来源、使用仪器及检出限</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2710"/>
        <w:gridCol w:w="2280"/>
        <w:gridCol w:w="21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846"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监测项目</w:t>
            </w:r>
          </w:p>
        </w:tc>
        <w:tc>
          <w:tcPr>
            <w:tcW w:w="2710"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监测方法</w:t>
            </w:r>
          </w:p>
        </w:tc>
        <w:tc>
          <w:tcPr>
            <w:tcW w:w="2280"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方法来源</w:t>
            </w:r>
          </w:p>
        </w:tc>
        <w:tc>
          <w:tcPr>
            <w:tcW w:w="2193" w:type="dxa"/>
            <w:noWrap w:val="0"/>
            <w:vAlign w:val="center"/>
          </w:tcPr>
          <w:p>
            <w:pPr>
              <w:widowControl/>
              <w:spacing w:line="240" w:lineRule="auto"/>
              <w:ind w:firstLine="0" w:firstLineChars="0"/>
              <w:jc w:val="center"/>
              <w:rPr>
                <w:rFonts w:hAnsi="宋体" w:cs="宋体"/>
                <w:b/>
                <w:color w:val="auto"/>
                <w:kern w:val="0"/>
                <w:sz w:val="20"/>
                <w:szCs w:val="20"/>
              </w:rPr>
            </w:pPr>
            <w:r>
              <w:rPr>
                <w:rFonts w:hAnsi="宋体" w:cs="宋体"/>
                <w:b/>
                <w:color w:val="auto"/>
                <w:kern w:val="0"/>
                <w:sz w:val="20"/>
                <w:szCs w:val="20"/>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846"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环境噪声</w:t>
            </w:r>
          </w:p>
        </w:tc>
        <w:tc>
          <w:tcPr>
            <w:tcW w:w="2710"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声环境质量标准</w:t>
            </w:r>
          </w:p>
        </w:tc>
        <w:tc>
          <w:tcPr>
            <w:tcW w:w="2280"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GB3096-2008</w:t>
            </w:r>
          </w:p>
        </w:tc>
        <w:tc>
          <w:tcPr>
            <w:tcW w:w="2193" w:type="dxa"/>
            <w:noWrap w:val="0"/>
            <w:vAlign w:val="center"/>
          </w:tcPr>
          <w:p>
            <w:pPr>
              <w:widowControl/>
              <w:spacing w:line="240" w:lineRule="auto"/>
              <w:ind w:firstLine="0" w:firstLineChars="0"/>
              <w:jc w:val="center"/>
              <w:rPr>
                <w:rFonts w:hAnsi="宋体" w:cs="宋体"/>
                <w:color w:val="auto"/>
                <w:kern w:val="0"/>
                <w:sz w:val="20"/>
                <w:szCs w:val="20"/>
              </w:rPr>
            </w:pPr>
            <w:r>
              <w:rPr>
                <w:rFonts w:hAnsi="宋体" w:cs="宋体"/>
                <w:color w:val="auto"/>
                <w:kern w:val="0"/>
                <w:sz w:val="20"/>
                <w:szCs w:val="20"/>
              </w:rPr>
              <w:t>/</w:t>
            </w:r>
          </w:p>
        </w:tc>
      </w:tr>
    </w:tbl>
    <w:p>
      <w:pPr>
        <w:spacing w:before="120" w:beforeLines="50"/>
        <w:ind w:firstLine="482"/>
        <w:rPr>
          <w:rFonts w:hint="eastAsia"/>
          <w:b/>
          <w:color w:val="auto"/>
        </w:rPr>
      </w:pPr>
      <w:r>
        <w:rPr>
          <w:rFonts w:hint="eastAsia"/>
          <w:b/>
          <w:color w:val="auto"/>
        </w:rPr>
        <w:t>5、评价方法</w:t>
      </w:r>
    </w:p>
    <w:p>
      <w:pPr>
        <w:ind w:firstLine="480"/>
        <w:rPr>
          <w:color w:val="auto"/>
        </w:rPr>
      </w:pPr>
      <w:r>
        <w:rPr>
          <w:rFonts w:hint="eastAsia"/>
          <w:color w:val="auto"/>
        </w:rPr>
        <w:t>将统计整理得到得噪声环境现状监测结果（L</w:t>
      </w:r>
      <w:r>
        <w:rPr>
          <w:rFonts w:hint="eastAsia"/>
          <w:color w:val="auto"/>
          <w:vertAlign w:val="subscript"/>
        </w:rPr>
        <w:t>Aeq</w:t>
      </w:r>
      <w:r>
        <w:rPr>
          <w:rFonts w:hint="eastAsia"/>
          <w:color w:val="auto"/>
        </w:rPr>
        <w:t>）与评价标准值直接比较，评定拟建项目区域范围内噪声现状。</w:t>
      </w:r>
    </w:p>
    <w:p>
      <w:pPr>
        <w:ind w:firstLine="482"/>
        <w:rPr>
          <w:b/>
          <w:color w:val="auto"/>
        </w:rPr>
      </w:pPr>
      <w:r>
        <w:rPr>
          <w:rFonts w:hint="eastAsia"/>
          <w:b/>
          <w:color w:val="auto"/>
        </w:rPr>
        <w:t>6</w:t>
      </w:r>
      <w:r>
        <w:rPr>
          <w:b/>
          <w:color w:val="auto"/>
        </w:rPr>
        <w:t>、监测</w:t>
      </w:r>
      <w:r>
        <w:rPr>
          <w:rFonts w:hint="eastAsia"/>
          <w:b/>
          <w:color w:val="auto"/>
        </w:rPr>
        <w:t>结果</w:t>
      </w:r>
    </w:p>
    <w:p>
      <w:pPr>
        <w:ind w:firstLine="480"/>
        <w:rPr>
          <w:color w:val="auto"/>
        </w:rPr>
      </w:pPr>
      <w:r>
        <w:rPr>
          <w:rFonts w:hint="eastAsia"/>
          <w:color w:val="auto"/>
        </w:rPr>
        <w:t>声环境质量现状监测结果见表</w:t>
      </w:r>
      <w:r>
        <w:rPr>
          <w:color w:val="auto"/>
        </w:rPr>
        <w:t>4.2-1</w:t>
      </w:r>
      <w:r>
        <w:rPr>
          <w:rFonts w:hint="eastAsia"/>
          <w:color w:val="auto"/>
          <w:lang w:val="en-US" w:eastAsia="zh-CN"/>
        </w:rPr>
        <w:t>3</w:t>
      </w:r>
      <w:r>
        <w:rPr>
          <w:rFonts w:hint="eastAsia"/>
          <w:color w:val="auto"/>
        </w:rPr>
        <w:t>。</w:t>
      </w:r>
    </w:p>
    <w:p>
      <w:pPr>
        <w:pStyle w:val="166"/>
        <w:spacing w:before="0" w:beforeLines="0" w:line="240" w:lineRule="auto"/>
        <w:rPr>
          <w:color w:val="auto"/>
        </w:rPr>
      </w:pPr>
      <w:r>
        <w:rPr>
          <w:rFonts w:hint="eastAsia"/>
          <w:color w:val="auto"/>
        </w:rPr>
        <w:t>表</w:t>
      </w:r>
      <w:r>
        <w:rPr>
          <w:color w:val="auto"/>
        </w:rPr>
        <w:t>4.2-1</w:t>
      </w:r>
      <w:r>
        <w:rPr>
          <w:rFonts w:hint="eastAsia"/>
          <w:color w:val="auto"/>
          <w:lang w:val="en-US" w:eastAsia="zh-CN"/>
        </w:rPr>
        <w:t xml:space="preserve">3 </w:t>
      </w:r>
      <w:r>
        <w:rPr>
          <w:rFonts w:hint="eastAsia"/>
          <w:color w:val="auto"/>
        </w:rPr>
        <w:t>声环境质量现状监测结果</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3238"/>
        <w:gridCol w:w="1112"/>
        <w:gridCol w:w="1113"/>
        <w:gridCol w:w="1112"/>
        <w:gridCol w:w="111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134" w:type="dxa"/>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测点编号</w:t>
            </w:r>
          </w:p>
        </w:tc>
        <w:tc>
          <w:tcPr>
            <w:tcW w:w="3238" w:type="dxa"/>
            <w:vMerge w:val="restart"/>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测点位置</w:t>
            </w:r>
          </w:p>
        </w:tc>
        <w:tc>
          <w:tcPr>
            <w:tcW w:w="4450" w:type="dxa"/>
            <w:gridSpan w:val="4"/>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监测结果</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134"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p>
        </w:tc>
        <w:tc>
          <w:tcPr>
            <w:tcW w:w="3238"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p>
        </w:tc>
        <w:tc>
          <w:tcPr>
            <w:tcW w:w="2225" w:type="dxa"/>
            <w:gridSpan w:val="2"/>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rFonts w:hint="default" w:eastAsia="宋体"/>
                <w:b/>
                <w:color w:val="auto"/>
                <w:kern w:val="0"/>
                <w:sz w:val="20"/>
                <w:szCs w:val="20"/>
                <w:highlight w:val="none"/>
                <w:lang w:val="en-US" w:eastAsia="zh-CN"/>
              </w:rPr>
            </w:pPr>
            <w:r>
              <w:rPr>
                <w:b/>
                <w:color w:val="auto"/>
                <w:kern w:val="0"/>
                <w:sz w:val="20"/>
                <w:szCs w:val="20"/>
                <w:highlight w:val="none"/>
              </w:rPr>
              <w:t>2020</w:t>
            </w:r>
            <w:r>
              <w:rPr>
                <w:rFonts w:hint="eastAsia"/>
                <w:b/>
                <w:color w:val="auto"/>
                <w:kern w:val="0"/>
                <w:sz w:val="20"/>
                <w:szCs w:val="20"/>
                <w:highlight w:val="none"/>
                <w:lang w:val="en-US" w:eastAsia="zh-CN"/>
              </w:rPr>
              <w:t>.12.28~</w:t>
            </w:r>
            <w:r>
              <w:rPr>
                <w:b/>
                <w:color w:val="auto"/>
                <w:kern w:val="0"/>
                <w:sz w:val="20"/>
                <w:szCs w:val="20"/>
                <w:highlight w:val="none"/>
              </w:rPr>
              <w:t>2020</w:t>
            </w:r>
            <w:r>
              <w:rPr>
                <w:rFonts w:hint="eastAsia"/>
                <w:b/>
                <w:color w:val="auto"/>
                <w:kern w:val="0"/>
                <w:sz w:val="20"/>
                <w:szCs w:val="20"/>
                <w:highlight w:val="none"/>
                <w:lang w:val="en-US" w:eastAsia="zh-CN"/>
              </w:rPr>
              <w:t>.12.29</w:t>
            </w:r>
          </w:p>
        </w:tc>
        <w:tc>
          <w:tcPr>
            <w:tcW w:w="2225" w:type="dxa"/>
            <w:gridSpan w:val="2"/>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rFonts w:hint="default"/>
                <w:b/>
                <w:color w:val="auto"/>
                <w:kern w:val="0"/>
                <w:sz w:val="20"/>
                <w:szCs w:val="20"/>
                <w:highlight w:val="none"/>
                <w:lang w:val="en-US"/>
              </w:rPr>
            </w:pPr>
            <w:r>
              <w:rPr>
                <w:b/>
                <w:color w:val="auto"/>
                <w:kern w:val="0"/>
                <w:sz w:val="20"/>
                <w:szCs w:val="20"/>
                <w:highlight w:val="none"/>
              </w:rPr>
              <w:t>2020</w:t>
            </w:r>
            <w:r>
              <w:rPr>
                <w:rFonts w:hint="eastAsia"/>
                <w:b/>
                <w:color w:val="auto"/>
                <w:kern w:val="0"/>
                <w:sz w:val="20"/>
                <w:szCs w:val="20"/>
                <w:highlight w:val="none"/>
                <w:lang w:val="en-US" w:eastAsia="zh-CN"/>
              </w:rPr>
              <w:t>.12.29~</w:t>
            </w:r>
            <w:r>
              <w:rPr>
                <w:b/>
                <w:color w:val="auto"/>
                <w:kern w:val="0"/>
                <w:sz w:val="20"/>
                <w:szCs w:val="20"/>
                <w:highlight w:val="none"/>
              </w:rPr>
              <w:t>2020</w:t>
            </w:r>
            <w:r>
              <w:rPr>
                <w:rFonts w:hint="eastAsia"/>
                <w:b/>
                <w:color w:val="auto"/>
                <w:kern w:val="0"/>
                <w:sz w:val="20"/>
                <w:szCs w:val="20"/>
                <w:highlight w:val="none"/>
                <w:lang w:val="en-US" w:eastAsia="zh-CN"/>
              </w:rPr>
              <w:t>.12.30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134"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p>
        </w:tc>
        <w:tc>
          <w:tcPr>
            <w:tcW w:w="3238"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昼间</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夜间</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昼间</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textAlignment w:val="baseline"/>
              <w:rPr>
                <w:b/>
                <w:color w:val="auto"/>
                <w:kern w:val="0"/>
                <w:sz w:val="20"/>
                <w:szCs w:val="20"/>
                <w:highlight w:val="none"/>
              </w:rPr>
            </w:pPr>
            <w:r>
              <w:rPr>
                <w:b/>
                <w:color w:val="auto"/>
                <w:kern w:val="0"/>
                <w:sz w:val="20"/>
                <w:szCs w:val="20"/>
                <w:highlight w:val="none"/>
              </w:rPr>
              <w:t>夜间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color w:val="auto"/>
                <w:szCs w:val="20"/>
                <w:highlight w:val="none"/>
              </w:rPr>
            </w:pPr>
            <w:r>
              <w:rPr>
                <w:color w:val="auto"/>
                <w:szCs w:val="20"/>
                <w:highlight w:val="none"/>
              </w:rPr>
              <w:t>1#</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color w:val="auto"/>
                <w:sz w:val="20"/>
                <w:szCs w:val="20"/>
                <w:highlight w:val="none"/>
              </w:rPr>
              <w:t>项目</w:t>
            </w:r>
            <w:r>
              <w:rPr>
                <w:rFonts w:hint="eastAsia"/>
                <w:color w:val="auto"/>
                <w:sz w:val="20"/>
                <w:szCs w:val="20"/>
                <w:highlight w:val="none"/>
              </w:rPr>
              <w:t>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112" w:type="dxa"/>
            <w:noWrap w:val="0"/>
            <w:vAlign w:val="center"/>
          </w:tcPr>
          <w:p>
            <w:pPr>
              <w:keepNext w:val="0"/>
              <w:keepLines w:val="0"/>
              <w:pageBreakBefore w:val="0"/>
              <w:widowControl/>
              <w:kinsoku/>
              <w:wordWrap/>
              <w:overflowPunct/>
              <w:topLinePunct w:val="0"/>
              <w:autoSpaceDE/>
              <w:autoSpaceDN/>
              <w:bidi w:val="0"/>
              <w:adjustRightInd w:val="0"/>
              <w:snapToGrid w:val="0"/>
              <w:spacing w:line="0" w:lineRule="atLeast"/>
              <w:ind w:firstLine="0" w:firstLineChars="0"/>
              <w:jc w:val="center"/>
              <w:rPr>
                <w:color w:val="auto"/>
                <w:kern w:val="0"/>
                <w:sz w:val="20"/>
                <w:szCs w:val="20"/>
                <w:highlight w:val="none"/>
              </w:rPr>
            </w:pPr>
            <w:r>
              <w:rPr>
                <w:rFonts w:hint="eastAsia"/>
                <w:color w:val="auto"/>
                <w:kern w:val="0"/>
                <w:sz w:val="20"/>
                <w:szCs w:val="20"/>
                <w:highlight w:val="none"/>
              </w:rPr>
              <w:t>5</w:t>
            </w:r>
            <w:r>
              <w:rPr>
                <w:color w:val="auto"/>
                <w:kern w:val="0"/>
                <w:sz w:val="20"/>
                <w:szCs w:val="20"/>
                <w:highlight w:val="none"/>
              </w:rPr>
              <w:t>1</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44</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54</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color w:val="auto"/>
                <w:szCs w:val="20"/>
                <w:highlight w:val="none"/>
              </w:rPr>
            </w:pPr>
            <w:r>
              <w:rPr>
                <w:color w:val="auto"/>
                <w:szCs w:val="20"/>
                <w:highlight w:val="none"/>
              </w:rPr>
              <w:t>2#</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color w:val="auto"/>
                <w:sz w:val="20"/>
                <w:szCs w:val="20"/>
                <w:highlight w:val="none"/>
              </w:rPr>
              <w:t>项目</w:t>
            </w:r>
            <w:r>
              <w:rPr>
                <w:rFonts w:hint="eastAsia"/>
                <w:color w:val="auto"/>
                <w:sz w:val="20"/>
                <w:szCs w:val="20"/>
                <w:highlight w:val="none"/>
              </w:rPr>
              <w:t>东</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eastAsia="宋体"/>
                <w:color w:val="auto"/>
                <w:sz w:val="20"/>
                <w:szCs w:val="20"/>
                <w:highlight w:val="none"/>
                <w:lang w:eastAsia="zh-CN"/>
              </w:rPr>
            </w:pPr>
            <w:r>
              <w:rPr>
                <w:rFonts w:hint="eastAsia"/>
                <w:color w:val="auto"/>
                <w:sz w:val="20"/>
                <w:szCs w:val="20"/>
                <w:highlight w:val="none"/>
              </w:rPr>
              <w:t>5</w:t>
            </w:r>
            <w:r>
              <w:rPr>
                <w:rFonts w:hint="eastAsia"/>
                <w:color w:val="auto"/>
                <w:sz w:val="20"/>
                <w:szCs w:val="20"/>
                <w:highlight w:val="none"/>
                <w:lang w:val="en-US" w:eastAsia="zh-CN"/>
              </w:rPr>
              <w:t>1</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eastAsia="宋体"/>
                <w:color w:val="auto"/>
                <w:sz w:val="20"/>
                <w:szCs w:val="20"/>
                <w:highlight w:val="none"/>
                <w:lang w:eastAsia="zh-CN"/>
              </w:rPr>
            </w:pPr>
            <w:r>
              <w:rPr>
                <w:rFonts w:hint="eastAsia"/>
                <w:color w:val="auto"/>
                <w:sz w:val="20"/>
                <w:szCs w:val="20"/>
                <w:highlight w:val="none"/>
              </w:rPr>
              <w:t>4</w:t>
            </w:r>
            <w:r>
              <w:rPr>
                <w:rFonts w:hint="eastAsia"/>
                <w:color w:val="auto"/>
                <w:sz w:val="20"/>
                <w:szCs w:val="20"/>
                <w:highlight w:val="none"/>
                <w:lang w:val="en-US" w:eastAsia="zh-CN"/>
              </w:rPr>
              <w:t>4</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55</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color w:val="auto"/>
                <w:szCs w:val="20"/>
                <w:highlight w:val="none"/>
              </w:rPr>
            </w:pPr>
            <w:r>
              <w:rPr>
                <w:color w:val="auto"/>
                <w:szCs w:val="20"/>
                <w:highlight w:val="none"/>
              </w:rPr>
              <w:t>3#</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eastAsia="宋体"/>
                <w:color w:val="auto"/>
                <w:sz w:val="20"/>
                <w:szCs w:val="20"/>
                <w:highlight w:val="none"/>
                <w:lang w:eastAsia="zh-CN"/>
              </w:rPr>
            </w:pPr>
            <w:r>
              <w:rPr>
                <w:rFonts w:hint="eastAsia"/>
                <w:color w:val="auto"/>
                <w:sz w:val="20"/>
                <w:szCs w:val="20"/>
                <w:highlight w:val="none"/>
              </w:rPr>
              <w:t>5</w:t>
            </w:r>
            <w:r>
              <w:rPr>
                <w:rFonts w:hint="eastAsia"/>
                <w:color w:val="auto"/>
                <w:sz w:val="20"/>
                <w:szCs w:val="20"/>
                <w:highlight w:val="none"/>
                <w:lang w:val="en-US" w:eastAsia="zh-CN"/>
              </w:rPr>
              <w:t>5</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eastAsia="宋体"/>
                <w:color w:val="auto"/>
                <w:sz w:val="20"/>
                <w:szCs w:val="20"/>
                <w:highlight w:val="none"/>
                <w:lang w:eastAsia="zh-CN"/>
              </w:rPr>
            </w:pPr>
            <w:r>
              <w:rPr>
                <w:rFonts w:hint="eastAsia"/>
                <w:color w:val="auto"/>
                <w:sz w:val="20"/>
                <w:szCs w:val="20"/>
                <w:highlight w:val="none"/>
              </w:rPr>
              <w:t>4</w:t>
            </w:r>
            <w:r>
              <w:rPr>
                <w:rFonts w:hint="eastAsia"/>
                <w:color w:val="auto"/>
                <w:sz w:val="20"/>
                <w:szCs w:val="20"/>
                <w:highlight w:val="none"/>
                <w:lang w:val="en-US" w:eastAsia="zh-CN"/>
              </w:rPr>
              <w:t>5</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53</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color w:val="auto"/>
                <w:szCs w:val="20"/>
                <w:highlight w:val="none"/>
              </w:rPr>
            </w:pPr>
            <w:r>
              <w:rPr>
                <w:color w:val="auto"/>
                <w:szCs w:val="20"/>
                <w:highlight w:val="none"/>
              </w:rPr>
              <w:t>4#</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color w:val="auto"/>
                <w:sz w:val="20"/>
                <w:szCs w:val="20"/>
                <w:highlight w:val="none"/>
              </w:rPr>
            </w:pPr>
            <w:r>
              <w:rPr>
                <w:color w:val="auto"/>
                <w:sz w:val="20"/>
                <w:szCs w:val="20"/>
                <w:highlight w:val="none"/>
              </w:rPr>
              <w:t>项目</w:t>
            </w:r>
            <w:r>
              <w:rPr>
                <w:rFonts w:hint="eastAsia"/>
                <w:color w:val="auto"/>
                <w:sz w:val="20"/>
                <w:szCs w:val="20"/>
                <w:highlight w:val="none"/>
              </w:rPr>
              <w:t>西</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54</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44</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55</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color w:val="auto"/>
                <w:sz w:val="20"/>
                <w:szCs w:val="20"/>
                <w:highlight w:val="none"/>
              </w:rPr>
            </w:pPr>
            <w:r>
              <w:rPr>
                <w:rFonts w:hint="eastAsia"/>
                <w:color w:val="auto"/>
                <w:sz w:val="20"/>
                <w:szCs w:val="20"/>
                <w:highlight w:val="none"/>
              </w:rPr>
              <w:t>4</w:t>
            </w:r>
            <w:r>
              <w:rPr>
                <w:color w:val="auto"/>
                <w:sz w:val="20"/>
                <w:szCs w:val="20"/>
                <w:highlight w:val="none"/>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rFonts w:hint="eastAsia" w:eastAsia="宋体"/>
                <w:color w:val="auto"/>
                <w:szCs w:val="20"/>
                <w:highlight w:val="none"/>
                <w:lang w:eastAsia="zh-CN"/>
              </w:rPr>
            </w:pPr>
            <w:r>
              <w:rPr>
                <w:rFonts w:hint="eastAsia"/>
                <w:color w:val="auto"/>
                <w:szCs w:val="20"/>
                <w:highlight w:val="none"/>
                <w:lang w:val="en-US" w:eastAsia="zh-CN"/>
              </w:rPr>
              <w:t>5</w:t>
            </w:r>
            <w:r>
              <w:rPr>
                <w:color w:val="auto"/>
                <w:szCs w:val="20"/>
                <w:highlight w:val="none"/>
              </w:rPr>
              <w:t>#</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color w:val="auto"/>
                <w:sz w:val="20"/>
                <w:szCs w:val="20"/>
                <w:highlight w:val="none"/>
              </w:rPr>
              <w:t>项目</w:t>
            </w:r>
            <w:r>
              <w:rPr>
                <w:rFonts w:hint="eastAsia"/>
                <w:color w:val="auto"/>
                <w:sz w:val="20"/>
                <w:szCs w:val="20"/>
                <w:highlight w:val="none"/>
              </w:rPr>
              <w:t>东</w:t>
            </w:r>
            <w:r>
              <w:rPr>
                <w:rFonts w:hint="eastAsia"/>
                <w:color w:val="auto"/>
                <w:sz w:val="20"/>
                <w:szCs w:val="20"/>
                <w:highlight w:val="none"/>
                <w:lang w:val="en-US" w:eastAsia="zh-CN"/>
              </w:rPr>
              <w:t>西</w:t>
            </w:r>
            <w:r>
              <w:rPr>
                <w:rFonts w:hint="eastAsia"/>
                <w:color w:val="auto"/>
                <w:sz w:val="20"/>
                <w:szCs w:val="20"/>
                <w:highlight w:val="none"/>
              </w:rPr>
              <w:t>北</w:t>
            </w:r>
            <w:r>
              <w:rPr>
                <w:color w:val="auto"/>
                <w:sz w:val="20"/>
                <w:szCs w:val="20"/>
                <w:highlight w:val="none"/>
              </w:rPr>
              <w:t>侧</w:t>
            </w:r>
            <w:r>
              <w:rPr>
                <w:rFonts w:hint="eastAsia"/>
                <w:color w:val="auto"/>
                <w:sz w:val="20"/>
                <w:szCs w:val="20"/>
                <w:highlight w:val="none"/>
                <w:lang w:eastAsia="zh-CN"/>
              </w:rPr>
              <w:t>场</w:t>
            </w:r>
            <w:r>
              <w:rPr>
                <w:color w:val="auto"/>
                <w:sz w:val="20"/>
                <w:szCs w:val="20"/>
                <w:highlight w:val="none"/>
              </w:rPr>
              <w:t>界外1m</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52</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43</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52</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rFonts w:hint="eastAsia"/>
                <w:color w:val="auto"/>
                <w:szCs w:val="20"/>
                <w:highlight w:val="none"/>
                <w:lang w:eastAsia="zh-CN"/>
              </w:rPr>
            </w:pPr>
            <w:r>
              <w:rPr>
                <w:rFonts w:hint="eastAsia"/>
                <w:color w:val="auto"/>
                <w:szCs w:val="20"/>
                <w:highlight w:val="none"/>
                <w:lang w:val="en-US" w:eastAsia="zh-CN"/>
              </w:rPr>
              <w:t>6</w:t>
            </w:r>
            <w:r>
              <w:rPr>
                <w:color w:val="auto"/>
                <w:szCs w:val="20"/>
                <w:highlight w:val="none"/>
              </w:rPr>
              <w:t>#</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rFonts w:hint="eastAsia"/>
                <w:color w:val="auto"/>
                <w:kern w:val="2"/>
                <w:sz w:val="20"/>
                <w:szCs w:val="20"/>
                <w:highlight w:val="none"/>
                <w:lang w:val="en-US" w:eastAsia="zh-CN" w:bidi="ar-SA"/>
              </w:rPr>
              <w:t>场界北侧处居民</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51</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42</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53</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rFonts w:hint="eastAsia"/>
                <w:color w:val="auto"/>
                <w:szCs w:val="20"/>
                <w:highlight w:val="none"/>
                <w:lang w:eastAsia="zh-CN"/>
              </w:rPr>
            </w:pPr>
            <w:r>
              <w:rPr>
                <w:rFonts w:hint="eastAsia"/>
                <w:color w:val="auto"/>
                <w:szCs w:val="20"/>
                <w:highlight w:val="none"/>
                <w:lang w:val="en-US" w:eastAsia="zh-CN"/>
              </w:rPr>
              <w:t>7</w:t>
            </w:r>
            <w:r>
              <w:rPr>
                <w:color w:val="auto"/>
                <w:szCs w:val="20"/>
                <w:highlight w:val="none"/>
              </w:rPr>
              <w:t>#</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rFonts w:hint="eastAsia"/>
                <w:color w:val="auto"/>
                <w:kern w:val="2"/>
                <w:sz w:val="20"/>
                <w:szCs w:val="20"/>
                <w:highlight w:val="none"/>
                <w:lang w:val="en-US" w:eastAsia="zh-CN" w:bidi="ar-SA"/>
              </w:rPr>
              <w:t>场界东侧处居民</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52</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43</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52</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rFonts w:hint="eastAsia"/>
                <w:color w:val="auto"/>
                <w:szCs w:val="20"/>
                <w:highlight w:val="none"/>
                <w:lang w:eastAsia="zh-CN"/>
              </w:rPr>
            </w:pPr>
            <w:r>
              <w:rPr>
                <w:rFonts w:hint="eastAsia"/>
                <w:color w:val="auto"/>
                <w:szCs w:val="20"/>
                <w:highlight w:val="none"/>
                <w:lang w:val="en-US" w:eastAsia="zh-CN"/>
              </w:rPr>
              <w:t>8</w:t>
            </w:r>
            <w:r>
              <w:rPr>
                <w:color w:val="auto"/>
                <w:szCs w:val="20"/>
                <w:highlight w:val="none"/>
              </w:rPr>
              <w:t>#</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rFonts w:hint="eastAsia"/>
                <w:color w:val="auto"/>
                <w:kern w:val="2"/>
                <w:sz w:val="20"/>
                <w:szCs w:val="20"/>
                <w:highlight w:val="none"/>
                <w:lang w:val="en-US" w:eastAsia="zh-CN" w:bidi="ar-SA"/>
              </w:rPr>
              <w:t>场界南侧处居民</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53</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44</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59</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4" w:type="dxa"/>
            <w:noWrap w:val="0"/>
            <w:vAlign w:val="top"/>
          </w:tcPr>
          <w:p>
            <w:pPr>
              <w:pStyle w:val="110"/>
              <w:keepNext w:val="0"/>
              <w:keepLines w:val="0"/>
              <w:pageBreakBefore w:val="0"/>
              <w:kinsoku/>
              <w:wordWrap/>
              <w:overflowPunct/>
              <w:topLinePunct w:val="0"/>
              <w:autoSpaceDE/>
              <w:autoSpaceDN/>
              <w:bidi w:val="0"/>
              <w:spacing w:line="0" w:lineRule="atLeast"/>
              <w:ind w:firstLine="0" w:firstLineChars="0"/>
              <w:rPr>
                <w:rFonts w:hint="eastAsia"/>
                <w:color w:val="auto"/>
                <w:szCs w:val="20"/>
                <w:highlight w:val="none"/>
                <w:lang w:eastAsia="zh-CN"/>
              </w:rPr>
            </w:pPr>
            <w:r>
              <w:rPr>
                <w:rFonts w:hint="eastAsia"/>
                <w:color w:val="auto"/>
                <w:szCs w:val="20"/>
                <w:highlight w:val="none"/>
                <w:lang w:val="en-US" w:eastAsia="zh-CN"/>
              </w:rPr>
              <w:t>9#</w:t>
            </w:r>
          </w:p>
        </w:tc>
        <w:tc>
          <w:tcPr>
            <w:tcW w:w="3238"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eastAsia"/>
                <w:color w:val="auto"/>
                <w:sz w:val="20"/>
                <w:szCs w:val="20"/>
                <w:highlight w:val="none"/>
              </w:rPr>
            </w:pPr>
            <w:r>
              <w:rPr>
                <w:rFonts w:hint="eastAsia"/>
                <w:color w:val="auto"/>
                <w:kern w:val="2"/>
                <w:sz w:val="20"/>
                <w:szCs w:val="20"/>
                <w:highlight w:val="none"/>
                <w:lang w:val="en-US" w:eastAsia="zh-CN" w:bidi="ar-SA"/>
              </w:rPr>
              <w:t>场界西侧处居民</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58</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42</w:t>
            </w:r>
          </w:p>
        </w:tc>
        <w:tc>
          <w:tcPr>
            <w:tcW w:w="111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54</w:t>
            </w:r>
          </w:p>
        </w:tc>
        <w:tc>
          <w:tcPr>
            <w:tcW w:w="11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822" w:type="dxa"/>
            <w:gridSpan w:val="6"/>
            <w:noWrap w:val="0"/>
            <w:vAlign w:val="center"/>
          </w:tcPr>
          <w:p>
            <w:pPr>
              <w:keepNext w:val="0"/>
              <w:keepLines w:val="0"/>
              <w:pageBreakBefore w:val="0"/>
              <w:kinsoku/>
              <w:wordWrap/>
              <w:overflowPunct/>
              <w:topLinePunct w:val="0"/>
              <w:autoSpaceDE/>
              <w:autoSpaceDN/>
              <w:bidi w:val="0"/>
              <w:adjustRightInd w:val="0"/>
              <w:snapToGrid w:val="0"/>
              <w:spacing w:line="0" w:lineRule="atLeast"/>
              <w:ind w:firstLine="0" w:firstLineChars="0"/>
              <w:jc w:val="center"/>
              <w:rPr>
                <w:color w:val="auto"/>
                <w:sz w:val="20"/>
                <w:szCs w:val="20"/>
                <w:highlight w:val="none"/>
              </w:rPr>
            </w:pPr>
            <w:r>
              <w:rPr>
                <w:color w:val="auto"/>
                <w:sz w:val="20"/>
                <w:szCs w:val="20"/>
                <w:highlight w:val="none"/>
              </w:rPr>
              <w:t>执行标准</w:t>
            </w:r>
            <w:r>
              <w:rPr>
                <w:rFonts w:hint="eastAsia"/>
                <w:color w:val="auto"/>
                <w:sz w:val="20"/>
                <w:szCs w:val="20"/>
                <w:highlight w:val="none"/>
              </w:rPr>
              <w:t>：</w:t>
            </w:r>
            <w:r>
              <w:rPr>
                <w:color w:val="auto"/>
                <w:sz w:val="20"/>
                <w:szCs w:val="20"/>
                <w:highlight w:val="none"/>
              </w:rPr>
              <w:t>《声环境质量标准》（GB3096-2008）2类标准：昼间≤60dB，夜间≤50dB</w:t>
            </w:r>
          </w:p>
        </w:tc>
      </w:tr>
    </w:tbl>
    <w:p>
      <w:pPr>
        <w:spacing w:before="120" w:beforeLines="50"/>
        <w:ind w:firstLine="480"/>
        <w:rPr>
          <w:color w:val="auto"/>
        </w:rPr>
      </w:pPr>
      <w:r>
        <w:rPr>
          <w:color w:val="auto"/>
        </w:rPr>
        <w:t>监测结果表明，厂区边界</w:t>
      </w:r>
      <w:r>
        <w:rPr>
          <w:rFonts w:hint="eastAsia"/>
          <w:color w:val="auto"/>
        </w:rPr>
        <w:t>噪声</w:t>
      </w:r>
      <w:r>
        <w:rPr>
          <w:color w:val="auto"/>
        </w:rPr>
        <w:t>监测结果</w:t>
      </w:r>
      <w:r>
        <w:rPr>
          <w:rFonts w:hint="eastAsia"/>
          <w:color w:val="auto"/>
        </w:rPr>
        <w:t>均</w:t>
      </w:r>
      <w:r>
        <w:rPr>
          <w:color w:val="auto"/>
        </w:rPr>
        <w:t>能够满足</w:t>
      </w:r>
      <w:r>
        <w:rPr>
          <w:rFonts w:hint="eastAsia"/>
          <w:color w:val="auto"/>
        </w:rPr>
        <w:t>《</w:t>
      </w:r>
      <w:r>
        <w:rPr>
          <w:color w:val="auto"/>
        </w:rPr>
        <w:t>声环境质量标准》（GB3096-2008）</w:t>
      </w:r>
      <w:r>
        <w:rPr>
          <w:rFonts w:hint="eastAsia"/>
          <w:color w:val="auto"/>
        </w:rPr>
        <w:t>的</w:t>
      </w:r>
      <w:r>
        <w:rPr>
          <w:rFonts w:hint="eastAsia"/>
          <w:color w:val="auto"/>
          <w:lang w:val="en-US" w:eastAsia="zh-CN"/>
        </w:rPr>
        <w:t>2</w:t>
      </w:r>
      <w:r>
        <w:rPr>
          <w:color w:val="auto"/>
        </w:rPr>
        <w:t>类标准</w:t>
      </w:r>
      <w:r>
        <w:rPr>
          <w:rFonts w:hint="eastAsia"/>
          <w:color w:val="auto"/>
        </w:rPr>
        <w:t>要求。</w:t>
      </w:r>
    </w:p>
    <w:p>
      <w:pPr>
        <w:pStyle w:val="8"/>
        <w:tabs>
          <w:tab w:val="clear" w:pos="0"/>
        </w:tabs>
        <w:rPr>
          <w:rFonts w:eastAsia="黑体"/>
          <w:color w:val="auto"/>
          <w:sz w:val="28"/>
          <w:szCs w:val="28"/>
        </w:rPr>
      </w:pPr>
      <w:bookmarkStart w:id="189" w:name="_Toc209336143"/>
      <w:bookmarkEnd w:id="189"/>
      <w:bookmarkStart w:id="190" w:name="_Toc347412491"/>
      <w:bookmarkEnd w:id="190"/>
      <w:bookmarkStart w:id="191" w:name="_Toc211050370"/>
      <w:bookmarkEnd w:id="191"/>
      <w:r>
        <w:rPr>
          <w:rFonts w:hint="eastAsia" w:eastAsia="黑体"/>
          <w:color w:val="auto"/>
          <w:sz w:val="28"/>
          <w:szCs w:val="28"/>
        </w:rPr>
        <w:t>土壤</w:t>
      </w:r>
      <w:r>
        <w:rPr>
          <w:rFonts w:eastAsia="黑体"/>
          <w:color w:val="auto"/>
          <w:sz w:val="28"/>
          <w:szCs w:val="28"/>
        </w:rPr>
        <w:t>环境质量现状监测与评价</w:t>
      </w:r>
    </w:p>
    <w:p>
      <w:pPr>
        <w:ind w:firstLine="480"/>
        <w:rPr>
          <w:color w:val="auto"/>
          <w:lang w:bidi="ar"/>
        </w:rPr>
      </w:pPr>
      <w:r>
        <w:rPr>
          <w:color w:val="auto"/>
          <w:lang w:bidi="ar"/>
        </w:rPr>
        <w:t>本项目用地</w:t>
      </w:r>
      <w:r>
        <w:rPr>
          <w:rFonts w:hint="eastAsia"/>
          <w:color w:val="auto"/>
          <w:lang w:bidi="ar"/>
        </w:rPr>
        <w:t>用地性质属农业用地，本次评价委托</w:t>
      </w:r>
      <w:r>
        <w:rPr>
          <w:rFonts w:hint="eastAsia"/>
          <w:color w:val="auto"/>
        </w:rPr>
        <w:t>四川良测检测技术有限公司</w:t>
      </w:r>
      <w:r>
        <w:rPr>
          <w:rFonts w:hint="eastAsia"/>
          <w:color w:val="auto"/>
          <w:lang w:bidi="ar"/>
        </w:rPr>
        <w:t>于2020年</w:t>
      </w:r>
      <w:r>
        <w:rPr>
          <w:rFonts w:hint="eastAsia"/>
          <w:color w:val="auto"/>
          <w:lang w:val="en-US" w:eastAsia="zh-CN" w:bidi="ar"/>
        </w:rPr>
        <w:t>12</w:t>
      </w:r>
      <w:r>
        <w:rPr>
          <w:rFonts w:hint="eastAsia"/>
          <w:color w:val="auto"/>
          <w:lang w:bidi="ar"/>
        </w:rPr>
        <w:t>月</w:t>
      </w:r>
      <w:r>
        <w:rPr>
          <w:rFonts w:hint="eastAsia"/>
          <w:color w:val="auto"/>
          <w:lang w:val="en-US" w:eastAsia="zh-CN" w:bidi="ar"/>
        </w:rPr>
        <w:t>26</w:t>
      </w:r>
      <w:r>
        <w:rPr>
          <w:rFonts w:hint="eastAsia"/>
          <w:color w:val="auto"/>
          <w:lang w:bidi="ar"/>
        </w:rPr>
        <w:t>日对项目所在地土</w:t>
      </w:r>
      <w:r>
        <w:rPr>
          <w:color w:val="auto"/>
          <w:lang w:bidi="ar"/>
        </w:rPr>
        <w:t>壤环境质量进行了现状监测</w:t>
      </w:r>
      <w:r>
        <w:rPr>
          <w:rFonts w:hint="eastAsia"/>
          <w:color w:val="auto"/>
          <w:lang w:bidi="ar"/>
        </w:rPr>
        <w:t>。</w:t>
      </w:r>
    </w:p>
    <w:p>
      <w:pPr>
        <w:ind w:firstLine="482"/>
        <w:rPr>
          <w:color w:val="auto"/>
          <w:lang w:bidi="ar"/>
        </w:rPr>
      </w:pPr>
      <w:r>
        <w:rPr>
          <w:b/>
          <w:bCs/>
          <w:color w:val="auto"/>
          <w:lang w:bidi="ar"/>
        </w:rPr>
        <w:t>1、监测点位设置</w:t>
      </w:r>
    </w:p>
    <w:p>
      <w:pPr>
        <w:ind w:firstLine="480"/>
        <w:rPr>
          <w:bCs/>
          <w:color w:val="auto"/>
          <w:lang w:bidi="ar"/>
        </w:rPr>
      </w:pPr>
      <w:r>
        <w:rPr>
          <w:rFonts w:hint="eastAsia"/>
          <w:bCs/>
          <w:color w:val="auto"/>
          <w:lang w:bidi="ar"/>
        </w:rPr>
        <w:t>根据</w:t>
      </w:r>
      <w:r>
        <w:rPr>
          <w:bCs/>
          <w:color w:val="auto"/>
          <w:lang w:bidi="ar"/>
        </w:rPr>
        <w:t>《环境影响评价技术导则  土壤环境》（HJ 964</w:t>
      </w:r>
      <w:r>
        <w:rPr>
          <w:rFonts w:hint="eastAsia"/>
          <w:bCs/>
          <w:color w:val="auto"/>
          <w:lang w:bidi="ar"/>
        </w:rPr>
        <w:t>-</w:t>
      </w:r>
      <w:r>
        <w:rPr>
          <w:bCs/>
          <w:color w:val="auto"/>
          <w:lang w:bidi="ar"/>
        </w:rPr>
        <w:t>2018）</w:t>
      </w:r>
      <w:r>
        <w:rPr>
          <w:rFonts w:hint="eastAsia"/>
          <w:bCs/>
          <w:color w:val="auto"/>
          <w:lang w:bidi="ar"/>
        </w:rPr>
        <w:t>，</w:t>
      </w:r>
      <w:r>
        <w:rPr>
          <w:bCs/>
          <w:color w:val="auto"/>
          <w:lang w:bidi="ar"/>
        </w:rPr>
        <w:t>本次评价在厂区内共布设3个表层样点，监测点位布设情况见表4.2-1</w:t>
      </w:r>
      <w:r>
        <w:rPr>
          <w:rFonts w:hint="eastAsia"/>
          <w:bCs/>
          <w:color w:val="auto"/>
          <w:lang w:val="en-US" w:eastAsia="zh-CN" w:bidi="ar"/>
        </w:rPr>
        <w:t>4</w:t>
      </w:r>
      <w:r>
        <w:rPr>
          <w:bCs/>
          <w:color w:val="auto"/>
          <w:lang w:bidi="ar"/>
        </w:rPr>
        <w:t>。</w:t>
      </w:r>
    </w:p>
    <w:p>
      <w:pPr>
        <w:pStyle w:val="166"/>
        <w:spacing w:before="0" w:beforeLines="0" w:line="240" w:lineRule="auto"/>
        <w:rPr>
          <w:color w:val="auto"/>
        </w:rPr>
      </w:pPr>
      <w:r>
        <w:rPr>
          <w:color w:val="auto"/>
        </w:rPr>
        <w:t>表4.2-1</w:t>
      </w:r>
      <w:r>
        <w:rPr>
          <w:rFonts w:hint="eastAsia"/>
          <w:color w:val="auto"/>
          <w:lang w:val="en-US" w:eastAsia="zh-CN"/>
        </w:rPr>
        <w:t xml:space="preserve">4 </w:t>
      </w:r>
      <w:r>
        <w:rPr>
          <w:rFonts w:hint="eastAsia"/>
          <w:color w:val="auto"/>
        </w:rPr>
        <w:t>土壤现状</w:t>
      </w:r>
      <w:r>
        <w:rPr>
          <w:color w:val="auto"/>
        </w:rPr>
        <w:t>监测布点情况</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0"/>
        <w:gridCol w:w="943"/>
        <w:gridCol w:w="1822"/>
        <w:gridCol w:w="2572"/>
        <w:gridCol w:w="1090"/>
        <w:gridCol w:w="16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blHeader/>
          <w:jc w:val="center"/>
        </w:trPr>
        <w:tc>
          <w:tcPr>
            <w:tcW w:w="700" w:type="dxa"/>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序号</w:t>
            </w:r>
          </w:p>
        </w:tc>
        <w:tc>
          <w:tcPr>
            <w:tcW w:w="943" w:type="dxa"/>
            <w:noWrap w:val="0"/>
            <w:vAlign w:val="center"/>
          </w:tcPr>
          <w:p>
            <w:pPr>
              <w:adjustRightInd w:val="0"/>
              <w:snapToGrid w:val="0"/>
              <w:spacing w:line="240" w:lineRule="auto"/>
              <w:ind w:firstLine="0" w:firstLineChars="0"/>
              <w:jc w:val="center"/>
              <w:rPr>
                <w:b/>
                <w:color w:val="auto"/>
                <w:sz w:val="20"/>
                <w:szCs w:val="20"/>
              </w:rPr>
            </w:pPr>
            <w:r>
              <w:rPr>
                <w:rFonts w:hint="eastAsia"/>
                <w:b/>
                <w:color w:val="auto"/>
                <w:sz w:val="20"/>
                <w:szCs w:val="20"/>
              </w:rPr>
              <w:t>位置</w:t>
            </w:r>
          </w:p>
        </w:tc>
        <w:tc>
          <w:tcPr>
            <w:tcW w:w="1822" w:type="dxa"/>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监测点位</w:t>
            </w:r>
          </w:p>
        </w:tc>
        <w:tc>
          <w:tcPr>
            <w:tcW w:w="2572" w:type="dxa"/>
            <w:noWrap w:val="0"/>
            <w:vAlign w:val="center"/>
          </w:tcPr>
          <w:p>
            <w:pPr>
              <w:adjustRightInd w:val="0"/>
              <w:snapToGrid w:val="0"/>
              <w:spacing w:line="240" w:lineRule="auto"/>
              <w:ind w:firstLine="0" w:firstLineChars="0"/>
              <w:jc w:val="center"/>
              <w:rPr>
                <w:b/>
                <w:color w:val="auto"/>
                <w:sz w:val="20"/>
                <w:szCs w:val="20"/>
              </w:rPr>
            </w:pPr>
            <w:r>
              <w:rPr>
                <w:rFonts w:hint="eastAsia"/>
                <w:b/>
                <w:color w:val="auto"/>
                <w:sz w:val="20"/>
                <w:szCs w:val="20"/>
              </w:rPr>
              <w:t>深度</w:t>
            </w:r>
          </w:p>
        </w:tc>
        <w:tc>
          <w:tcPr>
            <w:tcW w:w="1090" w:type="dxa"/>
            <w:noWrap w:val="0"/>
            <w:vAlign w:val="center"/>
          </w:tcPr>
          <w:p>
            <w:pPr>
              <w:adjustRightInd w:val="0"/>
              <w:snapToGrid w:val="0"/>
              <w:spacing w:line="240" w:lineRule="auto"/>
              <w:ind w:firstLine="0" w:firstLineChars="0"/>
              <w:jc w:val="center"/>
              <w:rPr>
                <w:b/>
                <w:color w:val="auto"/>
                <w:sz w:val="20"/>
                <w:szCs w:val="20"/>
              </w:rPr>
            </w:pPr>
            <w:r>
              <w:rPr>
                <w:rFonts w:hint="eastAsia"/>
                <w:b/>
                <w:color w:val="auto"/>
                <w:sz w:val="20"/>
                <w:szCs w:val="20"/>
              </w:rPr>
              <w:t>取样方式</w:t>
            </w:r>
          </w:p>
        </w:tc>
        <w:tc>
          <w:tcPr>
            <w:tcW w:w="1629" w:type="dxa"/>
            <w:noWrap w:val="0"/>
            <w:vAlign w:val="center"/>
          </w:tcPr>
          <w:p>
            <w:pPr>
              <w:adjustRightInd w:val="0"/>
              <w:snapToGrid w:val="0"/>
              <w:spacing w:line="240" w:lineRule="auto"/>
              <w:ind w:firstLine="0" w:firstLineChars="0"/>
              <w:jc w:val="center"/>
              <w:rPr>
                <w:b/>
                <w:color w:val="auto"/>
                <w:sz w:val="20"/>
                <w:szCs w:val="20"/>
              </w:rPr>
            </w:pPr>
            <w:r>
              <w:rPr>
                <w:b/>
                <w:color w:val="auto"/>
                <w:sz w:val="20"/>
                <w:szCs w:val="20"/>
              </w:rPr>
              <w:t>监测因子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700"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1#</w:t>
            </w:r>
          </w:p>
        </w:tc>
        <w:tc>
          <w:tcPr>
            <w:tcW w:w="943" w:type="dxa"/>
            <w:vMerge w:val="restart"/>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厂</w:t>
            </w:r>
          </w:p>
          <w:p>
            <w:pPr>
              <w:adjustRightInd w:val="0"/>
              <w:snapToGrid w:val="0"/>
              <w:spacing w:line="240" w:lineRule="auto"/>
              <w:ind w:firstLine="0" w:firstLineChars="0"/>
              <w:jc w:val="center"/>
              <w:rPr>
                <w:color w:val="auto"/>
                <w:sz w:val="20"/>
                <w:szCs w:val="20"/>
              </w:rPr>
            </w:pPr>
            <w:r>
              <w:rPr>
                <w:rFonts w:hint="eastAsia"/>
                <w:color w:val="auto"/>
                <w:sz w:val="20"/>
                <w:szCs w:val="20"/>
              </w:rPr>
              <w:t>界</w:t>
            </w:r>
          </w:p>
          <w:p>
            <w:pPr>
              <w:adjustRightInd w:val="0"/>
              <w:snapToGrid w:val="0"/>
              <w:spacing w:line="240" w:lineRule="auto"/>
              <w:ind w:firstLine="0" w:firstLineChars="0"/>
              <w:jc w:val="center"/>
              <w:rPr>
                <w:color w:val="auto"/>
                <w:sz w:val="20"/>
                <w:szCs w:val="20"/>
              </w:rPr>
            </w:pPr>
            <w:r>
              <w:rPr>
                <w:rFonts w:hint="eastAsia"/>
                <w:color w:val="auto"/>
                <w:sz w:val="20"/>
                <w:szCs w:val="20"/>
              </w:rPr>
              <w:t>内</w:t>
            </w:r>
          </w:p>
        </w:tc>
        <w:tc>
          <w:tcPr>
            <w:tcW w:w="1822" w:type="dxa"/>
            <w:noWrap w:val="0"/>
            <w:vAlign w:val="center"/>
          </w:tcPr>
          <w:p>
            <w:pPr>
              <w:adjustRightInd w:val="0"/>
              <w:snapToGrid w:val="0"/>
              <w:spacing w:line="240" w:lineRule="auto"/>
              <w:ind w:firstLine="0" w:firstLineChars="0"/>
              <w:jc w:val="center"/>
              <w:rPr>
                <w:rFonts w:hint="eastAsia"/>
                <w:color w:val="auto"/>
                <w:sz w:val="20"/>
                <w:szCs w:val="20"/>
                <w:highlight w:val="none"/>
              </w:rPr>
            </w:pPr>
            <w:r>
              <w:rPr>
                <w:rFonts w:hint="eastAsia"/>
                <w:color w:val="auto"/>
                <w:sz w:val="20"/>
                <w:szCs w:val="20"/>
                <w:highlight w:val="none"/>
              </w:rPr>
              <w:t>厂区内东侧</w:t>
            </w:r>
          </w:p>
        </w:tc>
        <w:tc>
          <w:tcPr>
            <w:tcW w:w="25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0~0.2m</w:t>
            </w:r>
          </w:p>
        </w:tc>
        <w:tc>
          <w:tcPr>
            <w:tcW w:w="1090"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表层样</w:t>
            </w:r>
          </w:p>
        </w:tc>
        <w:tc>
          <w:tcPr>
            <w:tcW w:w="1629" w:type="dxa"/>
            <w:vMerge w:val="restart"/>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p</w:t>
            </w:r>
            <w:r>
              <w:rPr>
                <w:color w:val="auto"/>
                <w:sz w:val="20"/>
                <w:szCs w:val="20"/>
              </w:rPr>
              <w:t>H</w:t>
            </w:r>
            <w:r>
              <w:rPr>
                <w:rFonts w:hint="eastAsia"/>
                <w:color w:val="auto"/>
                <w:sz w:val="20"/>
                <w:szCs w:val="20"/>
              </w:rPr>
              <w:t>、镉、汞、砷、铅、铬、铜、镍、锌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700"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2#</w:t>
            </w:r>
          </w:p>
        </w:tc>
        <w:tc>
          <w:tcPr>
            <w:tcW w:w="943" w:type="dxa"/>
            <w:vMerge w:val="continue"/>
            <w:noWrap w:val="0"/>
            <w:vAlign w:val="center"/>
          </w:tcPr>
          <w:p>
            <w:pPr>
              <w:adjustRightInd w:val="0"/>
              <w:snapToGrid w:val="0"/>
              <w:spacing w:line="240" w:lineRule="auto"/>
              <w:ind w:firstLine="0" w:firstLineChars="0"/>
              <w:jc w:val="center"/>
              <w:rPr>
                <w:color w:val="auto"/>
                <w:sz w:val="20"/>
                <w:szCs w:val="20"/>
              </w:rPr>
            </w:pPr>
          </w:p>
        </w:tc>
        <w:tc>
          <w:tcPr>
            <w:tcW w:w="1822" w:type="dxa"/>
            <w:noWrap w:val="0"/>
            <w:vAlign w:val="center"/>
          </w:tcPr>
          <w:p>
            <w:pPr>
              <w:adjustRightInd w:val="0"/>
              <w:snapToGrid w:val="0"/>
              <w:spacing w:line="240" w:lineRule="auto"/>
              <w:ind w:firstLine="0" w:firstLineChars="0"/>
              <w:jc w:val="center"/>
              <w:rPr>
                <w:rFonts w:hint="eastAsia"/>
                <w:color w:val="auto"/>
                <w:sz w:val="20"/>
                <w:szCs w:val="20"/>
                <w:highlight w:val="none"/>
              </w:rPr>
            </w:pPr>
            <w:r>
              <w:rPr>
                <w:rFonts w:hint="eastAsia"/>
                <w:color w:val="auto"/>
                <w:sz w:val="20"/>
                <w:szCs w:val="20"/>
                <w:highlight w:val="none"/>
              </w:rPr>
              <w:t>厂区内</w:t>
            </w:r>
            <w:r>
              <w:rPr>
                <w:rFonts w:hint="eastAsia"/>
                <w:color w:val="auto"/>
                <w:sz w:val="20"/>
                <w:szCs w:val="20"/>
                <w:highlight w:val="none"/>
                <w:lang w:val="en-US" w:eastAsia="zh-CN"/>
              </w:rPr>
              <w:t>中部</w:t>
            </w:r>
          </w:p>
        </w:tc>
        <w:tc>
          <w:tcPr>
            <w:tcW w:w="25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0~0.2m</w:t>
            </w:r>
          </w:p>
        </w:tc>
        <w:tc>
          <w:tcPr>
            <w:tcW w:w="1090"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表层样</w:t>
            </w:r>
          </w:p>
        </w:tc>
        <w:tc>
          <w:tcPr>
            <w:tcW w:w="1629" w:type="dxa"/>
            <w:vMerge w:val="continue"/>
            <w:noWrap w:val="0"/>
            <w:vAlign w:val="center"/>
          </w:tcPr>
          <w:p>
            <w:pPr>
              <w:adjustRightInd w:val="0"/>
              <w:snapToGrid w:val="0"/>
              <w:spacing w:line="240" w:lineRule="auto"/>
              <w:ind w:firstLine="0" w:firstLineChars="0"/>
              <w:jc w:val="center"/>
              <w:rPr>
                <w:color w:val="auto"/>
                <w:sz w:val="20"/>
                <w:szCs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700"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3#</w:t>
            </w:r>
          </w:p>
        </w:tc>
        <w:tc>
          <w:tcPr>
            <w:tcW w:w="943" w:type="dxa"/>
            <w:vMerge w:val="continue"/>
            <w:noWrap w:val="0"/>
            <w:vAlign w:val="center"/>
          </w:tcPr>
          <w:p>
            <w:pPr>
              <w:adjustRightInd w:val="0"/>
              <w:snapToGrid w:val="0"/>
              <w:spacing w:line="240" w:lineRule="auto"/>
              <w:ind w:firstLine="0" w:firstLineChars="0"/>
              <w:jc w:val="center"/>
              <w:rPr>
                <w:color w:val="auto"/>
                <w:sz w:val="20"/>
                <w:szCs w:val="20"/>
              </w:rPr>
            </w:pPr>
          </w:p>
        </w:tc>
        <w:tc>
          <w:tcPr>
            <w:tcW w:w="1822"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厂区</w:t>
            </w:r>
            <w:r>
              <w:rPr>
                <w:rFonts w:hint="eastAsia"/>
                <w:color w:val="auto"/>
                <w:sz w:val="20"/>
                <w:szCs w:val="20"/>
                <w:highlight w:val="none"/>
              </w:rPr>
              <w:t>内</w:t>
            </w:r>
            <w:r>
              <w:rPr>
                <w:rFonts w:hint="eastAsia"/>
                <w:color w:val="auto"/>
                <w:sz w:val="20"/>
                <w:szCs w:val="20"/>
                <w:highlight w:val="none"/>
                <w:lang w:val="en-US" w:eastAsia="zh-CN"/>
              </w:rPr>
              <w:t>北</w:t>
            </w:r>
            <w:r>
              <w:rPr>
                <w:rFonts w:hint="eastAsia"/>
                <w:color w:val="auto"/>
                <w:sz w:val="20"/>
                <w:szCs w:val="20"/>
                <w:highlight w:val="none"/>
              </w:rPr>
              <w:t>侧</w:t>
            </w:r>
          </w:p>
        </w:tc>
        <w:tc>
          <w:tcPr>
            <w:tcW w:w="2572" w:type="dxa"/>
            <w:noWrap w:val="0"/>
            <w:vAlign w:val="center"/>
          </w:tcPr>
          <w:p>
            <w:pPr>
              <w:adjustRightInd w:val="0"/>
              <w:snapToGrid w:val="0"/>
              <w:spacing w:line="240" w:lineRule="auto"/>
              <w:ind w:firstLine="0" w:firstLineChars="0"/>
              <w:jc w:val="center"/>
              <w:rPr>
                <w:color w:val="auto"/>
                <w:sz w:val="20"/>
                <w:szCs w:val="20"/>
              </w:rPr>
            </w:pPr>
            <w:r>
              <w:rPr>
                <w:color w:val="auto"/>
                <w:sz w:val="20"/>
                <w:szCs w:val="20"/>
              </w:rPr>
              <w:t>0~0.2m</w:t>
            </w:r>
          </w:p>
        </w:tc>
        <w:tc>
          <w:tcPr>
            <w:tcW w:w="1090" w:type="dxa"/>
            <w:noWrap w:val="0"/>
            <w:vAlign w:val="center"/>
          </w:tcPr>
          <w:p>
            <w:pPr>
              <w:adjustRightInd w:val="0"/>
              <w:snapToGrid w:val="0"/>
              <w:spacing w:line="240" w:lineRule="auto"/>
              <w:ind w:firstLine="0" w:firstLineChars="0"/>
              <w:jc w:val="center"/>
              <w:rPr>
                <w:color w:val="auto"/>
                <w:sz w:val="20"/>
                <w:szCs w:val="20"/>
              </w:rPr>
            </w:pPr>
            <w:r>
              <w:rPr>
                <w:rFonts w:hint="eastAsia"/>
                <w:color w:val="auto"/>
                <w:sz w:val="20"/>
                <w:szCs w:val="20"/>
              </w:rPr>
              <w:t>表层样</w:t>
            </w:r>
          </w:p>
        </w:tc>
        <w:tc>
          <w:tcPr>
            <w:tcW w:w="1629" w:type="dxa"/>
            <w:vMerge w:val="continue"/>
            <w:noWrap w:val="0"/>
            <w:vAlign w:val="center"/>
          </w:tcPr>
          <w:p>
            <w:pPr>
              <w:adjustRightInd w:val="0"/>
              <w:snapToGrid w:val="0"/>
              <w:spacing w:line="240" w:lineRule="auto"/>
              <w:ind w:firstLine="0" w:firstLineChars="0"/>
              <w:jc w:val="center"/>
              <w:rPr>
                <w:color w:val="auto"/>
                <w:sz w:val="20"/>
                <w:szCs w:val="20"/>
              </w:rPr>
            </w:pPr>
          </w:p>
        </w:tc>
      </w:tr>
    </w:tbl>
    <w:p>
      <w:pPr>
        <w:wordWrap w:val="0"/>
        <w:spacing w:before="120" w:beforeLines="50"/>
        <w:ind w:firstLine="482"/>
        <w:rPr>
          <w:b/>
          <w:color w:val="auto"/>
          <w:lang w:bidi="ar"/>
        </w:rPr>
      </w:pPr>
      <w:r>
        <w:rPr>
          <w:rFonts w:hint="eastAsia"/>
          <w:b/>
          <w:color w:val="auto"/>
          <w:lang w:bidi="ar"/>
        </w:rPr>
        <w:t>2、</w:t>
      </w:r>
      <w:r>
        <w:rPr>
          <w:b/>
          <w:color w:val="auto"/>
          <w:lang w:bidi="ar"/>
        </w:rPr>
        <w:t>监测项目</w:t>
      </w:r>
    </w:p>
    <w:p>
      <w:pPr>
        <w:ind w:firstLine="482"/>
        <w:rPr>
          <w:b w:val="0"/>
          <w:bCs w:val="0"/>
          <w:color w:val="auto"/>
          <w:lang w:bidi="ar"/>
        </w:rPr>
      </w:pPr>
      <w:r>
        <w:rPr>
          <w:rFonts w:hint="eastAsia"/>
          <w:b w:val="0"/>
          <w:bCs w:val="0"/>
          <w:color w:val="auto"/>
          <w:lang w:bidi="ar"/>
        </w:rPr>
        <w:t>pH、砷、汞、铅</w:t>
      </w:r>
      <w:r>
        <w:rPr>
          <w:rFonts w:hint="eastAsia"/>
          <w:b w:val="0"/>
          <w:bCs w:val="0"/>
          <w:color w:val="auto"/>
          <w:lang w:eastAsia="zh-CN" w:bidi="ar"/>
        </w:rPr>
        <w:t>、</w:t>
      </w:r>
      <w:r>
        <w:rPr>
          <w:rFonts w:hint="eastAsia"/>
          <w:b w:val="0"/>
          <w:bCs w:val="0"/>
          <w:color w:val="auto"/>
          <w:lang w:bidi="ar"/>
        </w:rPr>
        <w:t>镉、铬、铜、锌</w:t>
      </w:r>
      <w:r>
        <w:rPr>
          <w:rFonts w:hint="eastAsia"/>
          <w:b w:val="0"/>
          <w:bCs w:val="0"/>
          <w:color w:val="auto"/>
          <w:lang w:eastAsia="zh-CN" w:bidi="ar"/>
        </w:rPr>
        <w:t>、</w:t>
      </w:r>
      <w:r>
        <w:rPr>
          <w:rFonts w:hint="eastAsia"/>
          <w:b w:val="0"/>
          <w:bCs w:val="0"/>
          <w:color w:val="auto"/>
          <w:lang w:bidi="ar"/>
        </w:rPr>
        <w:t>镍，共9项。</w:t>
      </w:r>
    </w:p>
    <w:p>
      <w:pPr>
        <w:ind w:firstLine="482"/>
        <w:rPr>
          <w:b/>
          <w:bCs/>
          <w:color w:val="auto"/>
          <w:lang w:bidi="ar"/>
        </w:rPr>
      </w:pPr>
      <w:r>
        <w:rPr>
          <w:b/>
          <w:bCs/>
          <w:color w:val="auto"/>
          <w:lang w:bidi="ar"/>
        </w:rPr>
        <w:t>3、监测时间</w:t>
      </w:r>
    </w:p>
    <w:p>
      <w:pPr>
        <w:ind w:firstLine="480"/>
        <w:rPr>
          <w:bCs/>
          <w:color w:val="auto"/>
          <w:lang w:bidi="ar"/>
        </w:rPr>
      </w:pPr>
      <w:r>
        <w:rPr>
          <w:bCs/>
          <w:color w:val="auto"/>
          <w:lang w:bidi="ar"/>
        </w:rPr>
        <w:t>2020年</w:t>
      </w:r>
      <w:r>
        <w:rPr>
          <w:rFonts w:hint="eastAsia"/>
          <w:bCs/>
          <w:color w:val="auto"/>
          <w:lang w:val="en-US" w:eastAsia="zh-CN" w:bidi="ar"/>
        </w:rPr>
        <w:t>1</w:t>
      </w:r>
      <w:r>
        <w:rPr>
          <w:rFonts w:hint="eastAsia"/>
          <w:bCs/>
          <w:color w:val="auto"/>
          <w:lang w:val="en-US" w:eastAsia="zh-CN" w:bidi="ar"/>
        </w:rPr>
        <w:t>2</w:t>
      </w:r>
      <w:r>
        <w:rPr>
          <w:bCs/>
          <w:color w:val="auto"/>
          <w:lang w:bidi="ar"/>
        </w:rPr>
        <w:t>月</w:t>
      </w:r>
      <w:r>
        <w:rPr>
          <w:rFonts w:hint="eastAsia"/>
          <w:bCs/>
          <w:color w:val="auto"/>
          <w:lang w:val="en-US" w:eastAsia="zh-CN" w:bidi="ar"/>
        </w:rPr>
        <w:t>2</w:t>
      </w:r>
      <w:r>
        <w:rPr>
          <w:rFonts w:hint="eastAsia"/>
          <w:bCs/>
          <w:color w:val="auto"/>
          <w:lang w:val="en-US" w:eastAsia="zh-CN" w:bidi="ar"/>
        </w:rPr>
        <w:t>6</w:t>
      </w:r>
      <w:r>
        <w:rPr>
          <w:bCs/>
          <w:color w:val="auto"/>
          <w:lang w:bidi="ar"/>
        </w:rPr>
        <w:t>日，</w:t>
      </w:r>
      <w:r>
        <w:rPr>
          <w:rFonts w:hint="eastAsia"/>
          <w:bCs/>
          <w:color w:val="auto"/>
          <w:lang w:bidi="ar"/>
        </w:rPr>
        <w:t>连续</w:t>
      </w:r>
      <w:r>
        <w:rPr>
          <w:bCs/>
          <w:color w:val="auto"/>
          <w:lang w:bidi="ar"/>
        </w:rPr>
        <w:t>监测</w:t>
      </w:r>
      <w:r>
        <w:rPr>
          <w:rFonts w:hint="eastAsia"/>
          <w:bCs/>
          <w:color w:val="auto"/>
          <w:lang w:bidi="ar"/>
        </w:rPr>
        <w:t>1天</w:t>
      </w:r>
      <w:r>
        <w:rPr>
          <w:bCs/>
          <w:color w:val="auto"/>
          <w:lang w:bidi="ar"/>
        </w:rPr>
        <w:t>，每天采样</w:t>
      </w:r>
      <w:r>
        <w:rPr>
          <w:rFonts w:hint="eastAsia"/>
          <w:bCs/>
          <w:color w:val="auto"/>
          <w:lang w:bidi="ar"/>
        </w:rPr>
        <w:t>1次</w:t>
      </w:r>
      <w:r>
        <w:rPr>
          <w:bCs/>
          <w:color w:val="auto"/>
          <w:lang w:bidi="ar"/>
        </w:rPr>
        <w:t>。</w:t>
      </w:r>
    </w:p>
    <w:p>
      <w:pPr>
        <w:ind w:firstLine="482"/>
        <w:rPr>
          <w:b/>
          <w:bCs/>
          <w:color w:val="auto"/>
          <w:lang w:bidi="ar"/>
        </w:rPr>
      </w:pPr>
      <w:r>
        <w:rPr>
          <w:rFonts w:hint="eastAsia"/>
          <w:b/>
          <w:bCs/>
          <w:color w:val="auto"/>
          <w:lang w:bidi="ar"/>
        </w:rPr>
        <w:t>4、检测分析方法</w:t>
      </w:r>
    </w:p>
    <w:p>
      <w:pPr>
        <w:ind w:firstLine="480"/>
        <w:rPr>
          <w:bCs/>
          <w:color w:val="auto"/>
          <w:lang w:bidi="ar"/>
        </w:rPr>
      </w:pPr>
      <w:r>
        <w:rPr>
          <w:rFonts w:hint="eastAsia"/>
          <w:bCs/>
          <w:color w:val="auto"/>
          <w:lang w:bidi="ar"/>
        </w:rPr>
        <w:t>本次检测项目的检测方法、方法来源、检出限见表</w:t>
      </w:r>
      <w:r>
        <w:rPr>
          <w:bCs/>
          <w:color w:val="auto"/>
          <w:lang w:bidi="ar"/>
        </w:rPr>
        <w:t>4.2-1</w:t>
      </w:r>
      <w:r>
        <w:rPr>
          <w:rFonts w:hint="eastAsia"/>
          <w:bCs/>
          <w:color w:val="auto"/>
          <w:lang w:val="en-US" w:eastAsia="zh-CN" w:bidi="ar"/>
        </w:rPr>
        <w:t>5</w:t>
      </w:r>
      <w:r>
        <w:rPr>
          <w:rFonts w:hint="eastAsia"/>
          <w:bCs/>
          <w:color w:val="auto"/>
          <w:lang w:bidi="ar"/>
        </w:rPr>
        <w:t>。</w:t>
      </w:r>
    </w:p>
    <w:p>
      <w:pPr>
        <w:snapToGrid w:val="0"/>
        <w:spacing w:line="240" w:lineRule="auto"/>
        <w:ind w:firstLine="0" w:firstLineChars="0"/>
        <w:jc w:val="center"/>
        <w:rPr>
          <w:rFonts w:hint="eastAsia"/>
          <w:color w:val="auto"/>
        </w:rPr>
      </w:pPr>
      <w:r>
        <w:rPr>
          <w:rFonts w:hint="eastAsia"/>
          <w:b/>
          <w:color w:val="auto"/>
          <w:sz w:val="21"/>
          <w:szCs w:val="21"/>
        </w:rPr>
        <w:t>表</w:t>
      </w:r>
      <w:r>
        <w:rPr>
          <w:b/>
          <w:color w:val="auto"/>
          <w:sz w:val="21"/>
          <w:szCs w:val="21"/>
        </w:rPr>
        <w:t>4.2-1</w:t>
      </w:r>
      <w:r>
        <w:rPr>
          <w:rFonts w:hint="eastAsia"/>
          <w:b/>
          <w:color w:val="auto"/>
          <w:sz w:val="21"/>
          <w:szCs w:val="21"/>
          <w:lang w:val="en-US" w:eastAsia="zh-CN"/>
        </w:rPr>
        <w:t xml:space="preserve">5 </w:t>
      </w:r>
      <w:r>
        <w:rPr>
          <w:rFonts w:hint="eastAsia"/>
          <w:b/>
          <w:color w:val="auto"/>
          <w:sz w:val="21"/>
          <w:szCs w:val="21"/>
        </w:rPr>
        <w:t>土壤检测分析</w:t>
      </w:r>
      <w:r>
        <w:rPr>
          <w:b/>
          <w:color w:val="auto"/>
          <w:sz w:val="21"/>
          <w:szCs w:val="21"/>
        </w:rPr>
        <w:t>方法</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914"/>
        <w:gridCol w:w="2730"/>
        <w:gridCol w:w="18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blHeader/>
        </w:trPr>
        <w:tc>
          <w:tcPr>
            <w:tcW w:w="1526" w:type="dxa"/>
            <w:noWrap w:val="0"/>
            <w:vAlign w:val="center"/>
          </w:tcPr>
          <w:p>
            <w:pPr>
              <w:spacing w:line="240" w:lineRule="auto"/>
              <w:ind w:firstLine="0" w:firstLineChars="0"/>
              <w:jc w:val="center"/>
              <w:rPr>
                <w:b/>
                <w:bCs/>
                <w:color w:val="auto"/>
                <w:sz w:val="20"/>
                <w:szCs w:val="20"/>
              </w:rPr>
            </w:pPr>
            <w:r>
              <w:rPr>
                <w:b/>
                <w:bCs/>
                <w:color w:val="auto"/>
                <w:sz w:val="20"/>
                <w:szCs w:val="20"/>
              </w:rPr>
              <w:t>项目</w:t>
            </w:r>
          </w:p>
        </w:tc>
        <w:tc>
          <w:tcPr>
            <w:tcW w:w="2914" w:type="dxa"/>
            <w:noWrap w:val="0"/>
            <w:vAlign w:val="center"/>
          </w:tcPr>
          <w:p>
            <w:pPr>
              <w:spacing w:line="240" w:lineRule="auto"/>
              <w:ind w:firstLine="0" w:firstLineChars="0"/>
              <w:jc w:val="center"/>
              <w:rPr>
                <w:b/>
                <w:bCs/>
                <w:color w:val="auto"/>
                <w:sz w:val="20"/>
                <w:szCs w:val="20"/>
              </w:rPr>
            </w:pPr>
            <w:r>
              <w:rPr>
                <w:b/>
                <w:bCs/>
                <w:color w:val="auto"/>
                <w:sz w:val="20"/>
                <w:szCs w:val="20"/>
              </w:rPr>
              <w:t>检测方法</w:t>
            </w:r>
          </w:p>
        </w:tc>
        <w:tc>
          <w:tcPr>
            <w:tcW w:w="2730" w:type="dxa"/>
            <w:noWrap w:val="0"/>
            <w:vAlign w:val="center"/>
          </w:tcPr>
          <w:p>
            <w:pPr>
              <w:spacing w:line="240" w:lineRule="auto"/>
              <w:ind w:firstLine="0" w:firstLineChars="0"/>
              <w:jc w:val="center"/>
              <w:rPr>
                <w:b/>
                <w:bCs/>
                <w:color w:val="auto"/>
                <w:sz w:val="20"/>
                <w:szCs w:val="20"/>
              </w:rPr>
            </w:pPr>
            <w:r>
              <w:rPr>
                <w:b/>
                <w:bCs/>
                <w:color w:val="auto"/>
                <w:sz w:val="20"/>
                <w:szCs w:val="20"/>
              </w:rPr>
              <w:t>方法来源</w:t>
            </w:r>
          </w:p>
        </w:tc>
        <w:tc>
          <w:tcPr>
            <w:tcW w:w="1833" w:type="dxa"/>
            <w:noWrap w:val="0"/>
            <w:vAlign w:val="center"/>
          </w:tcPr>
          <w:p>
            <w:pPr>
              <w:spacing w:line="240" w:lineRule="auto"/>
              <w:ind w:firstLine="0" w:firstLineChars="0"/>
              <w:jc w:val="center"/>
              <w:rPr>
                <w:b/>
                <w:bCs/>
                <w:color w:val="auto"/>
                <w:sz w:val="20"/>
                <w:szCs w:val="20"/>
              </w:rPr>
            </w:pPr>
            <w:r>
              <w:rPr>
                <w:b/>
                <w:bCs/>
                <w:color w:val="auto"/>
                <w:sz w:val="20"/>
                <w:szCs w:val="20"/>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pH</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土壤</w:t>
            </w:r>
            <w:r>
              <w:rPr>
                <w:rFonts w:hint="eastAsia"/>
                <w:color w:val="auto"/>
                <w:sz w:val="20"/>
                <w:szCs w:val="20"/>
              </w:rPr>
              <w:t xml:space="preserve"> pH值的测定 电位法</w:t>
            </w:r>
          </w:p>
        </w:tc>
        <w:tc>
          <w:tcPr>
            <w:tcW w:w="2730" w:type="dxa"/>
            <w:noWrap w:val="0"/>
            <w:vAlign w:val="center"/>
          </w:tcPr>
          <w:p>
            <w:pPr>
              <w:spacing w:line="240" w:lineRule="auto"/>
              <w:ind w:firstLine="0" w:firstLineChars="0"/>
              <w:jc w:val="center"/>
              <w:rPr>
                <w:color w:val="auto"/>
                <w:sz w:val="20"/>
                <w:szCs w:val="20"/>
              </w:rPr>
            </w:pPr>
            <w:r>
              <w:rPr>
                <w:rFonts w:hint="eastAsia"/>
                <w:color w:val="auto"/>
                <w:sz w:val="20"/>
                <w:szCs w:val="20"/>
              </w:rPr>
              <w:t>H</w:t>
            </w:r>
            <w:r>
              <w:rPr>
                <w:color w:val="auto"/>
                <w:sz w:val="20"/>
                <w:szCs w:val="20"/>
              </w:rPr>
              <w:t>J962</w:t>
            </w:r>
            <w:r>
              <w:rPr>
                <w:rFonts w:hint="eastAsia"/>
                <w:color w:val="auto"/>
                <w:sz w:val="20"/>
                <w:szCs w:val="20"/>
              </w:rPr>
              <w:t>-</w:t>
            </w:r>
            <w:r>
              <w:rPr>
                <w:color w:val="auto"/>
                <w:sz w:val="20"/>
                <w:szCs w:val="20"/>
              </w:rPr>
              <w:t>2018</w:t>
            </w:r>
          </w:p>
        </w:tc>
        <w:tc>
          <w:tcPr>
            <w:tcW w:w="1833" w:type="dxa"/>
            <w:noWrap w:val="0"/>
            <w:vAlign w:val="center"/>
          </w:tcPr>
          <w:p>
            <w:pPr>
              <w:spacing w:line="240" w:lineRule="auto"/>
              <w:ind w:firstLine="0" w:firstLineChars="0"/>
              <w:jc w:val="center"/>
              <w:rPr>
                <w:color w:val="auto"/>
                <w:sz w:val="20"/>
                <w:szCs w:val="20"/>
              </w:rPr>
            </w:pPr>
            <w:r>
              <w:rPr>
                <w:rFonts w:hint="eastAsia"/>
                <w:color w:val="auto"/>
                <w:sz w:val="20"/>
                <w:szCs w:val="20"/>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砷</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微波消解原子荧光法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HJ 680-2013</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0.01mg/kg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镉</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石墨炉原子吸收分光光度法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GB/T 17141-1997</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0.01mg/kg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铅</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石墨炉原子吸收分光光度法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GB/T 17141-1997</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0.1mg/kg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汞</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微波消解原子荧光法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HJ 680-2013</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0.002mg/kg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铜</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火焰原子吸收分光光度法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GB491-2019</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1mg/kg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镍</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火焰原子吸收分光光度法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GB491-2019</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3mg/kg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锌</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火焰原子吸收分光光度法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GB491-2019</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1mg/kg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trPr>
        <w:tc>
          <w:tcPr>
            <w:tcW w:w="1526" w:type="dxa"/>
            <w:noWrap w:val="0"/>
            <w:vAlign w:val="center"/>
          </w:tcPr>
          <w:p>
            <w:pPr>
              <w:spacing w:line="240" w:lineRule="auto"/>
              <w:ind w:firstLine="0" w:firstLineChars="0"/>
              <w:jc w:val="center"/>
              <w:rPr>
                <w:color w:val="auto"/>
                <w:sz w:val="20"/>
                <w:szCs w:val="20"/>
              </w:rPr>
            </w:pPr>
            <w:r>
              <w:rPr>
                <w:color w:val="auto"/>
                <w:sz w:val="20"/>
                <w:szCs w:val="20"/>
              </w:rPr>
              <w:t>铬</w:t>
            </w:r>
          </w:p>
        </w:tc>
        <w:tc>
          <w:tcPr>
            <w:tcW w:w="2914" w:type="dxa"/>
            <w:noWrap w:val="0"/>
            <w:vAlign w:val="center"/>
          </w:tcPr>
          <w:p>
            <w:pPr>
              <w:spacing w:line="240" w:lineRule="auto"/>
              <w:ind w:firstLine="0" w:firstLineChars="0"/>
              <w:jc w:val="center"/>
              <w:rPr>
                <w:color w:val="auto"/>
                <w:sz w:val="20"/>
                <w:szCs w:val="20"/>
              </w:rPr>
            </w:pPr>
            <w:r>
              <w:rPr>
                <w:color w:val="auto"/>
                <w:sz w:val="20"/>
                <w:szCs w:val="20"/>
              </w:rPr>
              <w:t>火焰原子吸收分光光度法</w:t>
            </w:r>
          </w:p>
        </w:tc>
        <w:tc>
          <w:tcPr>
            <w:tcW w:w="2730" w:type="dxa"/>
            <w:noWrap w:val="0"/>
            <w:vAlign w:val="center"/>
          </w:tcPr>
          <w:p>
            <w:pPr>
              <w:spacing w:line="240" w:lineRule="auto"/>
              <w:ind w:firstLine="0" w:firstLineChars="0"/>
              <w:jc w:val="center"/>
              <w:rPr>
                <w:color w:val="auto"/>
                <w:sz w:val="20"/>
                <w:szCs w:val="20"/>
              </w:rPr>
            </w:pPr>
            <w:r>
              <w:rPr>
                <w:color w:val="auto"/>
                <w:sz w:val="20"/>
                <w:szCs w:val="20"/>
              </w:rPr>
              <w:t>GB491-2019</w:t>
            </w:r>
          </w:p>
        </w:tc>
        <w:tc>
          <w:tcPr>
            <w:tcW w:w="1833" w:type="dxa"/>
            <w:noWrap w:val="0"/>
            <w:vAlign w:val="center"/>
          </w:tcPr>
          <w:p>
            <w:pPr>
              <w:spacing w:line="240" w:lineRule="auto"/>
              <w:ind w:firstLine="0" w:firstLineChars="0"/>
              <w:jc w:val="center"/>
              <w:rPr>
                <w:color w:val="auto"/>
                <w:sz w:val="20"/>
                <w:szCs w:val="20"/>
              </w:rPr>
            </w:pPr>
            <w:r>
              <w:rPr>
                <w:color w:val="auto"/>
                <w:sz w:val="20"/>
                <w:szCs w:val="20"/>
              </w:rPr>
              <w:t>4mg/kg</w:t>
            </w:r>
          </w:p>
        </w:tc>
      </w:tr>
    </w:tbl>
    <w:p>
      <w:pPr>
        <w:spacing w:before="120" w:beforeLines="50"/>
        <w:ind w:firstLine="482"/>
        <w:rPr>
          <w:b/>
          <w:color w:val="auto"/>
        </w:rPr>
      </w:pPr>
      <w:r>
        <w:rPr>
          <w:rFonts w:hint="eastAsia"/>
          <w:b/>
          <w:color w:val="auto"/>
          <w:lang w:val="en-US" w:eastAsia="zh-CN"/>
        </w:rPr>
        <w:t>5</w:t>
      </w:r>
      <w:r>
        <w:rPr>
          <w:rFonts w:hint="eastAsia"/>
          <w:b/>
          <w:color w:val="auto"/>
        </w:rPr>
        <w:t>、评价方法</w:t>
      </w:r>
    </w:p>
    <w:p>
      <w:pPr>
        <w:widowControl/>
        <w:ind w:firstLine="480"/>
        <w:rPr>
          <w:rFonts w:hint="eastAsia" w:ascii="宋体" w:hAnsi="宋体" w:cs="宋体"/>
          <w:color w:val="auto"/>
          <w:kern w:val="0"/>
        </w:rPr>
      </w:pPr>
      <w:r>
        <w:rPr>
          <w:rFonts w:hint="eastAsia"/>
          <w:color w:val="auto"/>
          <w:kern w:val="0"/>
        </w:rPr>
        <w:t xml:space="preserve">根据调查评价范围内的土地利用类型，选取《土壤环境质量  农用地土壤污染风险管控标准（试行）》（GB </w:t>
      </w:r>
      <w:r>
        <w:rPr>
          <w:color w:val="auto"/>
          <w:kern w:val="0"/>
        </w:rPr>
        <w:t>15618</w:t>
      </w:r>
      <w:r>
        <w:rPr>
          <w:rFonts w:hint="eastAsia"/>
          <w:color w:val="auto"/>
          <w:kern w:val="0"/>
        </w:rPr>
        <w:t>-2018）中风险筛选值进行评价。</w:t>
      </w:r>
      <w:r>
        <w:rPr>
          <w:rFonts w:hint="eastAsia" w:ascii="宋体" w:hAnsi="宋体" w:cs="宋体"/>
          <w:color w:val="auto"/>
          <w:kern w:val="0"/>
        </w:rPr>
        <w:t>采用单因子指数法进行土壤环境质量现状评价：</w:t>
      </w:r>
    </w:p>
    <w:p>
      <w:pPr>
        <w:ind w:firstLine="0" w:firstLineChars="0"/>
        <w:jc w:val="center"/>
        <w:rPr>
          <w:rFonts w:hint="eastAsia" w:ascii="宋体" w:hAnsi="宋体" w:cs="宋体"/>
          <w:color w:val="auto"/>
        </w:rPr>
      </w:pPr>
      <w:r>
        <w:rPr>
          <w:rFonts w:hint="eastAsia" w:ascii="宋体" w:hAnsi="宋体" w:cs="宋体"/>
          <w:color w:val="auto"/>
        </w:rPr>
        <w:drawing>
          <wp:inline distT="0" distB="0" distL="114300" distR="114300">
            <wp:extent cx="564515" cy="516255"/>
            <wp:effectExtent l="0" t="0" r="6985" b="17145"/>
            <wp:docPr id="2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8"/>
                    <pic:cNvPicPr>
                      <a:picLocks noChangeAspect="1"/>
                    </pic:cNvPicPr>
                  </pic:nvPicPr>
                  <pic:blipFill>
                    <a:blip r:embed="rId58">
                      <a:clrChange>
                        <a:clrFrom>
                          <a:srgbClr val="FFFFFF"/>
                        </a:clrFrom>
                        <a:clrTo>
                          <a:srgbClr val="FFFFFF">
                            <a:alpha val="0"/>
                          </a:srgbClr>
                        </a:clrTo>
                      </a:clrChange>
                    </a:blip>
                    <a:stretch>
                      <a:fillRect/>
                    </a:stretch>
                  </pic:blipFill>
                  <pic:spPr>
                    <a:xfrm>
                      <a:off x="0" y="0"/>
                      <a:ext cx="564515" cy="516255"/>
                    </a:xfrm>
                    <a:prstGeom prst="rect">
                      <a:avLst/>
                    </a:prstGeom>
                    <a:noFill/>
                    <a:ln>
                      <a:noFill/>
                    </a:ln>
                  </pic:spPr>
                </pic:pic>
              </a:graphicData>
            </a:graphic>
          </wp:inline>
        </w:drawing>
      </w:r>
    </w:p>
    <w:p>
      <w:pPr>
        <w:ind w:firstLine="480"/>
        <w:rPr>
          <w:color w:val="auto"/>
        </w:rPr>
      </w:pPr>
      <w:r>
        <w:rPr>
          <w:color w:val="auto"/>
        </w:rPr>
        <w:t>式中：</w:t>
      </w:r>
      <w:r>
        <w:rPr>
          <w:color w:val="auto"/>
        </w:rPr>
        <w:fldChar w:fldCharType="begin"/>
      </w:r>
      <w:r>
        <w:rPr>
          <w:color w:val="auto"/>
        </w:rPr>
        <w:instrText xml:space="preserve"> QUOTE </w:instrText>
      </w:r>
      <w:r>
        <w:rPr>
          <w:color w:val="auto"/>
          <w:position w:val="-6"/>
        </w:rPr>
        <w:drawing>
          <wp:inline distT="0" distB="0" distL="114300" distR="114300">
            <wp:extent cx="123825" cy="200025"/>
            <wp:effectExtent l="0" t="0" r="9525" b="6350"/>
            <wp:docPr id="26"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9"/>
                    <pic:cNvPicPr>
                      <a:picLocks noChangeAspect="1"/>
                    </pic:cNvPicPr>
                  </pic:nvPicPr>
                  <pic:blipFill>
                    <a:blip r:embed="rId59">
                      <a:clrChange>
                        <a:clrFrom>
                          <a:srgbClr val="FFFFFF"/>
                        </a:clrFrom>
                        <a:clrTo>
                          <a:srgbClr val="FFFFFF">
                            <a:alpha val="0"/>
                          </a:srgbClr>
                        </a:clrTo>
                      </a:clrChange>
                    </a:blip>
                    <a:stretch>
                      <a:fillRect/>
                    </a:stretch>
                  </pic:blipFill>
                  <pic:spPr>
                    <a:xfrm>
                      <a:off x="0" y="0"/>
                      <a:ext cx="123825" cy="200025"/>
                    </a:xfrm>
                    <a:prstGeom prst="rect">
                      <a:avLst/>
                    </a:prstGeom>
                    <a:noFill/>
                    <a:ln>
                      <a:noFill/>
                    </a:ln>
                  </pic:spPr>
                </pic:pic>
              </a:graphicData>
            </a:graphic>
          </wp:inline>
        </w:drawing>
      </w:r>
      <w:r>
        <w:rPr>
          <w:color w:val="auto"/>
        </w:rPr>
        <w:instrText xml:space="preserve"> </w:instrText>
      </w:r>
      <w:r>
        <w:rPr>
          <w:color w:val="auto"/>
        </w:rPr>
        <w:fldChar w:fldCharType="separate"/>
      </w:r>
      <w:r>
        <w:rPr>
          <w:color w:val="auto"/>
          <w:position w:val="-6"/>
        </w:rPr>
        <w:drawing>
          <wp:inline distT="0" distB="0" distL="114300" distR="114300">
            <wp:extent cx="123825" cy="200025"/>
            <wp:effectExtent l="0" t="0" r="9525" b="6350"/>
            <wp:docPr id="27"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0"/>
                    <pic:cNvPicPr>
                      <a:picLocks noChangeAspect="1"/>
                    </pic:cNvPicPr>
                  </pic:nvPicPr>
                  <pic:blipFill>
                    <a:blip r:embed="rId59">
                      <a:clrChange>
                        <a:clrFrom>
                          <a:srgbClr val="FFFFFF"/>
                        </a:clrFrom>
                        <a:clrTo>
                          <a:srgbClr val="FFFFFF">
                            <a:alpha val="0"/>
                          </a:srgbClr>
                        </a:clrTo>
                      </a:clrChange>
                    </a:blip>
                    <a:stretch>
                      <a:fillRect/>
                    </a:stretch>
                  </pic:blipFill>
                  <pic:spPr>
                    <a:xfrm>
                      <a:off x="0" y="0"/>
                      <a:ext cx="123825" cy="200025"/>
                    </a:xfrm>
                    <a:prstGeom prst="rect">
                      <a:avLst/>
                    </a:prstGeom>
                    <a:noFill/>
                    <a:ln>
                      <a:noFill/>
                    </a:ln>
                  </pic:spPr>
                </pic:pic>
              </a:graphicData>
            </a:graphic>
          </wp:inline>
        </w:drawing>
      </w:r>
      <w:r>
        <w:rPr>
          <w:color w:val="auto"/>
        </w:rPr>
        <w:fldChar w:fldCharType="end"/>
      </w:r>
      <w:r>
        <w:rPr>
          <w:color w:val="auto"/>
        </w:rPr>
        <w:t>——土壤中污染物i的单因子污染指数；</w:t>
      </w:r>
    </w:p>
    <w:p>
      <w:pPr>
        <w:ind w:firstLine="1200" w:firstLineChars="500"/>
        <w:rPr>
          <w:color w:val="auto"/>
        </w:rPr>
      </w:pPr>
      <w:r>
        <w:rPr>
          <w:color w:val="auto"/>
        </w:rPr>
        <w:drawing>
          <wp:inline distT="0" distB="0" distL="114300" distR="114300">
            <wp:extent cx="114300" cy="200025"/>
            <wp:effectExtent l="0" t="0" r="0" b="6350"/>
            <wp:docPr id="28"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1"/>
                    <pic:cNvPicPr>
                      <a:picLocks noChangeAspect="1"/>
                    </pic:cNvPicPr>
                  </pic:nvPicPr>
                  <pic:blipFill>
                    <a:blip r:embed="rId60">
                      <a:clrChange>
                        <a:clrFrom>
                          <a:srgbClr val="FFFFFF"/>
                        </a:clrFrom>
                        <a:clrTo>
                          <a:srgbClr val="FFFFFF">
                            <a:alpha val="0"/>
                          </a:srgbClr>
                        </a:clrTo>
                      </a:clrChange>
                    </a:blip>
                    <a:stretch>
                      <a:fillRect/>
                    </a:stretch>
                  </pic:blipFill>
                  <pic:spPr>
                    <a:xfrm>
                      <a:off x="0" y="0"/>
                      <a:ext cx="114300" cy="200025"/>
                    </a:xfrm>
                    <a:prstGeom prst="rect">
                      <a:avLst/>
                    </a:prstGeom>
                    <a:noFill/>
                    <a:ln>
                      <a:noFill/>
                    </a:ln>
                  </pic:spPr>
                </pic:pic>
              </a:graphicData>
            </a:graphic>
          </wp:inline>
        </w:drawing>
      </w:r>
      <w:r>
        <w:rPr>
          <w:color w:val="auto"/>
        </w:rPr>
        <w:t>——监测点位土壤中污染物i的实测浓度；</w:t>
      </w:r>
    </w:p>
    <w:p>
      <w:pPr>
        <w:ind w:firstLine="1200" w:firstLineChars="500"/>
        <w:rPr>
          <w:color w:val="auto"/>
        </w:rPr>
      </w:pPr>
      <w:r>
        <w:rPr>
          <w:color w:val="auto"/>
        </w:rPr>
        <w:drawing>
          <wp:inline distT="0" distB="0" distL="114300" distR="114300">
            <wp:extent cx="114300" cy="200025"/>
            <wp:effectExtent l="0" t="0" r="0" b="6350"/>
            <wp:docPr id="29"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2"/>
                    <pic:cNvPicPr>
                      <a:picLocks noChangeAspect="1"/>
                    </pic:cNvPicPr>
                  </pic:nvPicPr>
                  <pic:blipFill>
                    <a:blip r:embed="rId61">
                      <a:clrChange>
                        <a:clrFrom>
                          <a:srgbClr val="FFFFFF"/>
                        </a:clrFrom>
                        <a:clrTo>
                          <a:srgbClr val="FFFFFF">
                            <a:alpha val="0"/>
                          </a:srgbClr>
                        </a:clrTo>
                      </a:clrChange>
                    </a:blip>
                    <a:stretch>
                      <a:fillRect/>
                    </a:stretch>
                  </pic:blipFill>
                  <pic:spPr>
                    <a:xfrm>
                      <a:off x="0" y="0"/>
                      <a:ext cx="114300" cy="200025"/>
                    </a:xfrm>
                    <a:prstGeom prst="rect">
                      <a:avLst/>
                    </a:prstGeom>
                    <a:noFill/>
                    <a:ln>
                      <a:noFill/>
                    </a:ln>
                  </pic:spPr>
                </pic:pic>
              </a:graphicData>
            </a:graphic>
          </wp:inline>
        </w:drawing>
      </w:r>
      <w:r>
        <w:rPr>
          <w:color w:val="auto"/>
        </w:rPr>
        <w:t>——污染物</w:t>
      </w:r>
      <w:r>
        <w:rPr>
          <w:i/>
          <w:color w:val="auto"/>
        </w:rPr>
        <w:t>i</w:t>
      </w:r>
      <w:r>
        <w:rPr>
          <w:color w:val="auto"/>
        </w:rPr>
        <w:t>的评价标准值或参考值。</w:t>
      </w:r>
    </w:p>
    <w:p>
      <w:pPr>
        <w:spacing w:before="120" w:beforeLines="50"/>
        <w:ind w:firstLine="482"/>
        <w:rPr>
          <w:b/>
          <w:bCs/>
          <w:color w:val="auto"/>
          <w:lang w:bidi="ar"/>
        </w:rPr>
      </w:pPr>
      <w:r>
        <w:rPr>
          <w:rFonts w:hint="eastAsia"/>
          <w:b/>
          <w:bCs/>
          <w:color w:val="auto"/>
          <w:lang w:val="en-US" w:eastAsia="zh-CN" w:bidi="ar"/>
        </w:rPr>
        <w:t>6</w:t>
      </w:r>
      <w:r>
        <w:rPr>
          <w:b/>
          <w:bCs/>
          <w:color w:val="auto"/>
          <w:lang w:bidi="ar"/>
        </w:rPr>
        <w:t>、</w:t>
      </w:r>
      <w:r>
        <w:rPr>
          <w:b/>
          <w:bCs/>
          <w:color w:val="auto"/>
          <w:lang w:bidi="ar"/>
        </w:rPr>
        <w:t>监测及</w:t>
      </w:r>
      <w:r>
        <w:rPr>
          <w:b/>
          <w:bCs/>
          <w:color w:val="auto"/>
          <w:lang w:bidi="ar"/>
        </w:rPr>
        <w:t>结果</w:t>
      </w:r>
    </w:p>
    <w:p>
      <w:pPr>
        <w:ind w:firstLine="480"/>
        <w:rPr>
          <w:bCs/>
          <w:color w:val="auto"/>
          <w:lang w:bidi="ar"/>
        </w:rPr>
      </w:pPr>
      <w:r>
        <w:rPr>
          <w:rFonts w:hint="eastAsia"/>
          <w:bCs/>
          <w:color w:val="auto"/>
          <w:lang w:bidi="ar"/>
        </w:rPr>
        <w:t>土壤环境质量</w:t>
      </w:r>
      <w:r>
        <w:rPr>
          <w:bCs/>
          <w:color w:val="auto"/>
          <w:lang w:bidi="ar"/>
        </w:rPr>
        <w:t>现状监测统计及评价结果见表4.2-1</w:t>
      </w:r>
      <w:r>
        <w:rPr>
          <w:rFonts w:hint="eastAsia"/>
          <w:bCs/>
          <w:color w:val="auto"/>
          <w:lang w:val="en-US" w:eastAsia="zh-CN" w:bidi="ar"/>
        </w:rPr>
        <w:t>6</w:t>
      </w:r>
      <w:r>
        <w:rPr>
          <w:bCs/>
          <w:color w:val="auto"/>
          <w:lang w:bidi="ar"/>
        </w:rPr>
        <w:t>。</w:t>
      </w:r>
    </w:p>
    <w:p>
      <w:pPr>
        <w:pStyle w:val="166"/>
        <w:spacing w:before="0" w:beforeLines="0" w:line="240" w:lineRule="auto"/>
        <w:rPr>
          <w:rFonts w:hint="eastAsia"/>
          <w:color w:val="auto"/>
        </w:rPr>
      </w:pPr>
      <w:r>
        <w:rPr>
          <w:color w:val="auto"/>
        </w:rPr>
        <w:t>表4.2-1</w:t>
      </w:r>
      <w:r>
        <w:rPr>
          <w:rFonts w:hint="eastAsia"/>
          <w:color w:val="auto"/>
          <w:lang w:val="en-US" w:eastAsia="zh-CN"/>
        </w:rPr>
        <w:t xml:space="preserve">6 </w:t>
      </w:r>
      <w:r>
        <w:rPr>
          <w:rFonts w:hint="eastAsia"/>
          <w:color w:val="auto"/>
        </w:rPr>
        <w:t>土壤环境质量现状</w:t>
      </w:r>
      <w:r>
        <w:rPr>
          <w:color w:val="auto"/>
        </w:rPr>
        <w:t>监测及评价结果</w:t>
      </w:r>
      <w:r>
        <w:rPr>
          <w:rFonts w:hint="eastAsia"/>
          <w:color w:val="auto"/>
        </w:rPr>
        <w:t xml:space="preserve">    </w:t>
      </w:r>
      <w:r>
        <w:rPr>
          <w:color w:val="auto"/>
        </w:rPr>
        <w:t>单位：mg/kg</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49"/>
        <w:gridCol w:w="941"/>
        <w:gridCol w:w="695"/>
        <w:gridCol w:w="532"/>
        <w:gridCol w:w="573"/>
        <w:gridCol w:w="668"/>
        <w:gridCol w:w="654"/>
        <w:gridCol w:w="750"/>
        <w:gridCol w:w="669"/>
        <w:gridCol w:w="5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vMerge w:val="restart"/>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监测点位</w:t>
            </w:r>
          </w:p>
        </w:tc>
        <w:tc>
          <w:tcPr>
            <w:tcW w:w="6054" w:type="dxa"/>
            <w:gridSpan w:val="9"/>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vMerge w:val="continue"/>
            <w:noWrap w:val="0"/>
            <w:vAlign w:val="center"/>
          </w:tcPr>
          <w:p>
            <w:pPr>
              <w:widowControl/>
              <w:adjustRightInd w:val="0"/>
              <w:snapToGrid w:val="0"/>
              <w:spacing w:line="240" w:lineRule="auto"/>
              <w:ind w:left="-82" w:leftChars="-34" w:right="-74" w:rightChars="-31" w:firstLine="0" w:firstLineChars="0"/>
              <w:jc w:val="center"/>
              <w:rPr>
                <w:color w:val="auto"/>
                <w:kern w:val="0"/>
                <w:sz w:val="20"/>
                <w:szCs w:val="20"/>
              </w:rPr>
            </w:pPr>
          </w:p>
        </w:tc>
        <w:tc>
          <w:tcPr>
            <w:tcW w:w="941"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pH</w:t>
            </w:r>
          </w:p>
        </w:tc>
        <w:tc>
          <w:tcPr>
            <w:tcW w:w="695"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镉</w:t>
            </w:r>
          </w:p>
        </w:tc>
        <w:tc>
          <w:tcPr>
            <w:tcW w:w="532"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铅</w:t>
            </w:r>
          </w:p>
        </w:tc>
        <w:tc>
          <w:tcPr>
            <w:tcW w:w="573"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铜</w:t>
            </w:r>
          </w:p>
        </w:tc>
        <w:tc>
          <w:tcPr>
            <w:tcW w:w="668"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镍</w:t>
            </w:r>
          </w:p>
        </w:tc>
        <w:tc>
          <w:tcPr>
            <w:tcW w:w="654"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砷</w:t>
            </w:r>
          </w:p>
        </w:tc>
        <w:tc>
          <w:tcPr>
            <w:tcW w:w="750"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汞</w:t>
            </w:r>
          </w:p>
        </w:tc>
        <w:tc>
          <w:tcPr>
            <w:tcW w:w="669"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锌</w:t>
            </w:r>
          </w:p>
        </w:tc>
        <w:tc>
          <w:tcPr>
            <w:tcW w:w="572" w:type="dxa"/>
            <w:noWrap w:val="0"/>
            <w:vAlign w:val="center"/>
          </w:tcPr>
          <w:p>
            <w:pPr>
              <w:widowControl/>
              <w:adjustRightInd w:val="0"/>
              <w:snapToGrid w:val="0"/>
              <w:spacing w:line="240" w:lineRule="auto"/>
              <w:ind w:left="-82" w:leftChars="-34" w:right="-74" w:rightChars="-31" w:firstLine="0" w:firstLineChars="0"/>
              <w:jc w:val="center"/>
              <w:rPr>
                <w:b/>
                <w:color w:val="auto"/>
                <w:kern w:val="0"/>
                <w:sz w:val="20"/>
                <w:szCs w:val="20"/>
              </w:rPr>
            </w:pPr>
            <w:r>
              <w:rPr>
                <w:b/>
                <w:color w:val="auto"/>
                <w:kern w:val="0"/>
                <w:sz w:val="20"/>
                <w:szCs w:val="20"/>
              </w:rPr>
              <w:t>铬</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noWrap w:val="0"/>
            <w:vAlign w:val="center"/>
          </w:tcPr>
          <w:p>
            <w:pPr>
              <w:adjustRightInd w:val="0"/>
              <w:snapToGrid w:val="0"/>
              <w:spacing w:line="240" w:lineRule="auto"/>
              <w:ind w:firstLine="0" w:firstLineChars="0"/>
              <w:jc w:val="center"/>
              <w:rPr>
                <w:rFonts w:hint="eastAsia" w:eastAsia="宋体"/>
                <w:color w:val="auto"/>
                <w:sz w:val="20"/>
                <w:szCs w:val="20"/>
                <w:highlight w:val="none"/>
                <w:lang w:eastAsia="zh-CN"/>
              </w:rPr>
            </w:pPr>
            <w:r>
              <w:rPr>
                <w:rFonts w:hint="eastAsia"/>
                <w:color w:val="auto"/>
                <w:sz w:val="20"/>
                <w:szCs w:val="20"/>
                <w:highlight w:val="none"/>
              </w:rPr>
              <w:t>厂区内东侧</w:t>
            </w:r>
            <w:r>
              <w:rPr>
                <w:rFonts w:hint="eastAsia"/>
                <w:color w:val="auto"/>
                <w:sz w:val="20"/>
                <w:szCs w:val="20"/>
                <w:highlight w:val="none"/>
                <w:lang w:eastAsia="zh-CN"/>
              </w:rPr>
              <w:t>（表层土 20cm）</w:t>
            </w:r>
          </w:p>
        </w:tc>
        <w:tc>
          <w:tcPr>
            <w:tcW w:w="941"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8.30</w:t>
            </w:r>
          </w:p>
        </w:tc>
        <w:tc>
          <w:tcPr>
            <w:tcW w:w="695"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0.08</w:t>
            </w:r>
          </w:p>
        </w:tc>
        <w:tc>
          <w:tcPr>
            <w:tcW w:w="53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15</w:t>
            </w:r>
          </w:p>
        </w:tc>
        <w:tc>
          <w:tcPr>
            <w:tcW w:w="573"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18</w:t>
            </w:r>
          </w:p>
        </w:tc>
        <w:tc>
          <w:tcPr>
            <w:tcW w:w="668"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28</w:t>
            </w:r>
          </w:p>
        </w:tc>
        <w:tc>
          <w:tcPr>
            <w:tcW w:w="654" w:type="dxa"/>
            <w:noWrap w:val="0"/>
            <w:vAlign w:val="center"/>
          </w:tcPr>
          <w:p>
            <w:pPr>
              <w:widowControl/>
              <w:adjustRightInd w:val="0"/>
              <w:snapToGrid w:val="0"/>
              <w:spacing w:line="240" w:lineRule="auto"/>
              <w:ind w:left="-82" w:leftChars="-34" w:right="-74" w:rightChars="-31" w:firstLine="0" w:firstLineChars="0"/>
              <w:jc w:val="center"/>
              <w:rPr>
                <w:rFonts w:hint="default" w:eastAsia="宋体"/>
                <w:bCs/>
                <w:color w:val="auto"/>
                <w:kern w:val="0"/>
                <w:sz w:val="20"/>
                <w:szCs w:val="20"/>
                <w:highlight w:val="none"/>
                <w:lang w:val="en-US" w:eastAsia="zh-CN"/>
              </w:rPr>
            </w:pPr>
            <w:r>
              <w:rPr>
                <w:rFonts w:hint="eastAsia"/>
                <w:bCs/>
                <w:color w:val="auto"/>
                <w:kern w:val="0"/>
                <w:sz w:val="20"/>
                <w:szCs w:val="20"/>
                <w:highlight w:val="none"/>
                <w:lang w:val="en-US" w:eastAsia="zh-CN"/>
              </w:rPr>
              <w:t>9.14</w:t>
            </w:r>
          </w:p>
        </w:tc>
        <w:tc>
          <w:tcPr>
            <w:tcW w:w="750"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0.402</w:t>
            </w:r>
          </w:p>
        </w:tc>
        <w:tc>
          <w:tcPr>
            <w:tcW w:w="669"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45</w:t>
            </w:r>
          </w:p>
        </w:tc>
        <w:tc>
          <w:tcPr>
            <w:tcW w:w="57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noWrap w:val="0"/>
            <w:vAlign w:val="center"/>
          </w:tcPr>
          <w:p>
            <w:pPr>
              <w:adjustRightInd w:val="0"/>
              <w:snapToGrid w:val="0"/>
              <w:spacing w:line="240" w:lineRule="auto"/>
              <w:ind w:firstLine="0" w:firstLineChars="0"/>
              <w:jc w:val="center"/>
              <w:rPr>
                <w:rFonts w:hint="eastAsia"/>
                <w:color w:val="auto"/>
                <w:sz w:val="20"/>
                <w:szCs w:val="20"/>
                <w:highlight w:val="none"/>
              </w:rPr>
            </w:pPr>
            <w:r>
              <w:rPr>
                <w:rFonts w:hint="eastAsia"/>
                <w:color w:val="auto"/>
                <w:sz w:val="20"/>
                <w:szCs w:val="20"/>
                <w:highlight w:val="none"/>
              </w:rPr>
              <w:t>厂区内</w:t>
            </w:r>
            <w:r>
              <w:rPr>
                <w:rFonts w:hint="eastAsia"/>
                <w:color w:val="auto"/>
                <w:sz w:val="20"/>
                <w:szCs w:val="20"/>
                <w:highlight w:val="none"/>
                <w:lang w:val="en-US" w:eastAsia="zh-CN"/>
              </w:rPr>
              <w:t>中部</w:t>
            </w:r>
            <w:r>
              <w:rPr>
                <w:rFonts w:hint="eastAsia"/>
                <w:color w:val="auto"/>
                <w:sz w:val="20"/>
                <w:szCs w:val="20"/>
                <w:highlight w:val="none"/>
                <w:lang w:eastAsia="zh-CN"/>
              </w:rPr>
              <w:t>（表层土 20cm）</w:t>
            </w:r>
          </w:p>
        </w:tc>
        <w:tc>
          <w:tcPr>
            <w:tcW w:w="941"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8.56</w:t>
            </w:r>
          </w:p>
        </w:tc>
        <w:tc>
          <w:tcPr>
            <w:tcW w:w="695"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0.11</w:t>
            </w:r>
          </w:p>
        </w:tc>
        <w:tc>
          <w:tcPr>
            <w:tcW w:w="53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18</w:t>
            </w:r>
          </w:p>
        </w:tc>
        <w:tc>
          <w:tcPr>
            <w:tcW w:w="573"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19</w:t>
            </w:r>
          </w:p>
        </w:tc>
        <w:tc>
          <w:tcPr>
            <w:tcW w:w="668"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25</w:t>
            </w:r>
          </w:p>
        </w:tc>
        <w:tc>
          <w:tcPr>
            <w:tcW w:w="654" w:type="dxa"/>
            <w:noWrap w:val="0"/>
            <w:vAlign w:val="center"/>
          </w:tcPr>
          <w:p>
            <w:pPr>
              <w:spacing w:line="240" w:lineRule="auto"/>
              <w:ind w:firstLine="0" w:firstLineChars="0"/>
              <w:jc w:val="center"/>
              <w:rPr>
                <w:rFonts w:hint="default" w:eastAsia="宋体"/>
                <w:bCs/>
                <w:color w:val="auto"/>
                <w:sz w:val="20"/>
                <w:szCs w:val="20"/>
                <w:highlight w:val="none"/>
                <w:lang w:val="en-US" w:eastAsia="zh-CN"/>
              </w:rPr>
            </w:pPr>
            <w:r>
              <w:rPr>
                <w:rFonts w:hint="eastAsia"/>
                <w:bCs/>
                <w:color w:val="auto"/>
                <w:sz w:val="20"/>
                <w:szCs w:val="20"/>
                <w:highlight w:val="none"/>
                <w:lang w:val="en-US" w:eastAsia="zh-CN"/>
              </w:rPr>
              <w:t>9.09</w:t>
            </w:r>
          </w:p>
        </w:tc>
        <w:tc>
          <w:tcPr>
            <w:tcW w:w="750"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0.195</w:t>
            </w:r>
          </w:p>
        </w:tc>
        <w:tc>
          <w:tcPr>
            <w:tcW w:w="669"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46</w:t>
            </w:r>
          </w:p>
        </w:tc>
        <w:tc>
          <w:tcPr>
            <w:tcW w:w="57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noWrap w:val="0"/>
            <w:vAlign w:val="center"/>
          </w:tcPr>
          <w:p>
            <w:pPr>
              <w:adjustRightInd w:val="0"/>
              <w:snapToGrid w:val="0"/>
              <w:spacing w:line="240" w:lineRule="auto"/>
              <w:ind w:firstLine="0" w:firstLineChars="0"/>
              <w:jc w:val="center"/>
              <w:rPr>
                <w:color w:val="auto"/>
                <w:sz w:val="20"/>
                <w:szCs w:val="20"/>
                <w:highlight w:val="none"/>
              </w:rPr>
            </w:pPr>
            <w:r>
              <w:rPr>
                <w:color w:val="auto"/>
                <w:sz w:val="20"/>
                <w:szCs w:val="20"/>
                <w:highlight w:val="none"/>
              </w:rPr>
              <w:t>厂区</w:t>
            </w:r>
            <w:r>
              <w:rPr>
                <w:rFonts w:hint="eastAsia"/>
                <w:color w:val="auto"/>
                <w:sz w:val="20"/>
                <w:szCs w:val="20"/>
                <w:highlight w:val="none"/>
              </w:rPr>
              <w:t>内</w:t>
            </w:r>
            <w:r>
              <w:rPr>
                <w:rFonts w:hint="eastAsia"/>
                <w:color w:val="auto"/>
                <w:sz w:val="20"/>
                <w:szCs w:val="20"/>
                <w:highlight w:val="none"/>
                <w:lang w:val="en-US" w:eastAsia="zh-CN"/>
              </w:rPr>
              <w:t>北</w:t>
            </w:r>
            <w:r>
              <w:rPr>
                <w:rFonts w:hint="eastAsia"/>
                <w:color w:val="auto"/>
                <w:sz w:val="20"/>
                <w:szCs w:val="20"/>
                <w:highlight w:val="none"/>
              </w:rPr>
              <w:t>侧</w:t>
            </w:r>
            <w:r>
              <w:rPr>
                <w:rFonts w:hint="eastAsia"/>
                <w:color w:val="auto"/>
                <w:sz w:val="20"/>
                <w:szCs w:val="20"/>
                <w:highlight w:val="none"/>
                <w:lang w:eastAsia="zh-CN"/>
              </w:rPr>
              <w:t>（表层土 20cm）</w:t>
            </w:r>
          </w:p>
        </w:tc>
        <w:tc>
          <w:tcPr>
            <w:tcW w:w="941"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8.54</w:t>
            </w:r>
          </w:p>
        </w:tc>
        <w:tc>
          <w:tcPr>
            <w:tcW w:w="695"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0.16</w:t>
            </w:r>
          </w:p>
        </w:tc>
        <w:tc>
          <w:tcPr>
            <w:tcW w:w="53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14</w:t>
            </w:r>
          </w:p>
        </w:tc>
        <w:tc>
          <w:tcPr>
            <w:tcW w:w="573"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16</w:t>
            </w:r>
          </w:p>
        </w:tc>
        <w:tc>
          <w:tcPr>
            <w:tcW w:w="668"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17</w:t>
            </w:r>
          </w:p>
        </w:tc>
        <w:tc>
          <w:tcPr>
            <w:tcW w:w="654" w:type="dxa"/>
            <w:noWrap w:val="0"/>
            <w:vAlign w:val="center"/>
          </w:tcPr>
          <w:p>
            <w:pPr>
              <w:spacing w:line="240" w:lineRule="auto"/>
              <w:ind w:firstLine="0" w:firstLineChars="0"/>
              <w:jc w:val="center"/>
              <w:rPr>
                <w:rFonts w:hint="default" w:eastAsia="宋体"/>
                <w:bCs/>
                <w:color w:val="auto"/>
                <w:sz w:val="20"/>
                <w:szCs w:val="20"/>
                <w:highlight w:val="none"/>
                <w:lang w:val="en-US" w:eastAsia="zh-CN"/>
              </w:rPr>
            </w:pPr>
            <w:r>
              <w:rPr>
                <w:rFonts w:hint="eastAsia"/>
                <w:bCs/>
                <w:color w:val="auto"/>
                <w:sz w:val="20"/>
                <w:szCs w:val="20"/>
                <w:highlight w:val="none"/>
                <w:lang w:val="en-US" w:eastAsia="zh-CN"/>
              </w:rPr>
              <w:t>8.90</w:t>
            </w:r>
          </w:p>
        </w:tc>
        <w:tc>
          <w:tcPr>
            <w:tcW w:w="750"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0.178</w:t>
            </w:r>
          </w:p>
        </w:tc>
        <w:tc>
          <w:tcPr>
            <w:tcW w:w="669"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50</w:t>
            </w:r>
          </w:p>
        </w:tc>
        <w:tc>
          <w:tcPr>
            <w:tcW w:w="572" w:type="dxa"/>
            <w:noWrap w:val="0"/>
            <w:vAlign w:val="center"/>
          </w:tcPr>
          <w:p>
            <w:pPr>
              <w:spacing w:line="240" w:lineRule="auto"/>
              <w:ind w:firstLine="0" w:firstLineChars="0"/>
              <w:jc w:val="center"/>
              <w:rPr>
                <w:rFonts w:hint="default" w:eastAsia="宋体"/>
                <w:color w:val="auto"/>
                <w:sz w:val="20"/>
                <w:szCs w:val="20"/>
                <w:highlight w:val="none"/>
                <w:lang w:val="en-US" w:eastAsia="zh-CN"/>
              </w:rPr>
            </w:pPr>
            <w:r>
              <w:rPr>
                <w:rFonts w:hint="eastAsia"/>
                <w:color w:val="auto"/>
                <w:sz w:val="20"/>
                <w:szCs w:val="20"/>
                <w:highlight w:val="none"/>
                <w:lang w:val="en-US" w:eastAsia="zh-CN"/>
              </w:rPr>
              <w:t>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49" w:type="dxa"/>
            <w:noWrap w:val="0"/>
            <w:vAlign w:val="center"/>
          </w:tcPr>
          <w:p>
            <w:pPr>
              <w:pStyle w:val="110"/>
              <w:spacing w:line="240" w:lineRule="auto"/>
              <w:ind w:firstLine="0" w:firstLineChars="0"/>
              <w:rPr>
                <w:color w:val="auto"/>
                <w:sz w:val="20"/>
                <w:szCs w:val="20"/>
                <w:highlight w:val="none"/>
              </w:rPr>
            </w:pPr>
            <w:r>
              <w:rPr>
                <w:rFonts w:hint="eastAsia"/>
                <w:color w:val="auto"/>
                <w:sz w:val="21"/>
                <w:szCs w:val="21"/>
                <w:lang w:eastAsia="zh-CN"/>
              </w:rPr>
              <w:t>《土壤环境质量  农用地土壤污染风险管控标准（试行）》表1农用地土壤风险筛选值</w:t>
            </w:r>
          </w:p>
        </w:tc>
        <w:tc>
          <w:tcPr>
            <w:tcW w:w="941"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6.5&lt;pH≤7.5</w:t>
            </w:r>
          </w:p>
        </w:tc>
        <w:tc>
          <w:tcPr>
            <w:tcW w:w="695"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0.3</w:t>
            </w:r>
          </w:p>
        </w:tc>
        <w:tc>
          <w:tcPr>
            <w:tcW w:w="532"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120</w:t>
            </w:r>
          </w:p>
        </w:tc>
        <w:tc>
          <w:tcPr>
            <w:tcW w:w="573"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100</w:t>
            </w:r>
          </w:p>
        </w:tc>
        <w:tc>
          <w:tcPr>
            <w:tcW w:w="668"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100</w:t>
            </w:r>
          </w:p>
        </w:tc>
        <w:tc>
          <w:tcPr>
            <w:tcW w:w="654" w:type="dxa"/>
            <w:noWrap w:val="0"/>
            <w:vAlign w:val="center"/>
          </w:tcPr>
          <w:p>
            <w:pPr>
              <w:pStyle w:val="110"/>
              <w:spacing w:line="240" w:lineRule="auto"/>
              <w:ind w:firstLine="0" w:firstLineChars="0"/>
              <w:rPr>
                <w:rFonts w:hint="eastAsia"/>
                <w:bCs/>
                <w:color w:val="auto"/>
                <w:sz w:val="20"/>
                <w:szCs w:val="20"/>
                <w:highlight w:val="none"/>
                <w:lang w:val="en-US" w:eastAsia="zh-CN"/>
              </w:rPr>
            </w:pPr>
            <w:r>
              <w:rPr>
                <w:rFonts w:hint="eastAsia"/>
                <w:color w:val="auto"/>
                <w:sz w:val="21"/>
                <w:szCs w:val="21"/>
                <w:lang w:eastAsia="zh-CN"/>
              </w:rPr>
              <w:t>30</w:t>
            </w:r>
          </w:p>
        </w:tc>
        <w:tc>
          <w:tcPr>
            <w:tcW w:w="750"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2.4</w:t>
            </w:r>
          </w:p>
        </w:tc>
        <w:tc>
          <w:tcPr>
            <w:tcW w:w="669"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250</w:t>
            </w:r>
          </w:p>
        </w:tc>
        <w:tc>
          <w:tcPr>
            <w:tcW w:w="572" w:type="dxa"/>
            <w:noWrap w:val="0"/>
            <w:vAlign w:val="center"/>
          </w:tcPr>
          <w:p>
            <w:pPr>
              <w:pStyle w:val="110"/>
              <w:spacing w:line="240" w:lineRule="auto"/>
              <w:ind w:firstLine="0" w:firstLineChars="0"/>
              <w:rPr>
                <w:rFonts w:hint="eastAsia"/>
                <w:color w:val="auto"/>
                <w:sz w:val="20"/>
                <w:szCs w:val="20"/>
                <w:highlight w:val="none"/>
                <w:lang w:val="en-US" w:eastAsia="zh-CN"/>
              </w:rPr>
            </w:pPr>
            <w:r>
              <w:rPr>
                <w:rFonts w:hint="eastAsia"/>
                <w:color w:val="auto"/>
                <w:sz w:val="21"/>
                <w:szCs w:val="21"/>
                <w:lang w:eastAsia="zh-CN"/>
              </w:rPr>
              <w:t>200</w:t>
            </w:r>
          </w:p>
        </w:tc>
      </w:tr>
    </w:tbl>
    <w:p>
      <w:pPr>
        <w:spacing w:before="120" w:beforeLines="50"/>
        <w:ind w:firstLine="480"/>
        <w:rPr>
          <w:rFonts w:hint="eastAsia"/>
          <w:color w:val="auto"/>
          <w:lang w:bidi="ar"/>
        </w:rPr>
      </w:pPr>
      <w:r>
        <w:rPr>
          <w:rFonts w:hint="eastAsia"/>
          <w:color w:val="auto"/>
          <w:lang w:bidi="ar"/>
        </w:rPr>
        <w:t xml:space="preserve">由评价结果可知，各监测因子满足《土壤环境质量 </w:t>
      </w:r>
      <w:r>
        <w:rPr>
          <w:color w:val="auto"/>
          <w:lang w:bidi="ar"/>
        </w:rPr>
        <w:t xml:space="preserve"> </w:t>
      </w:r>
      <w:r>
        <w:rPr>
          <w:rFonts w:hint="eastAsia"/>
          <w:color w:val="auto"/>
          <w:lang w:bidi="ar"/>
        </w:rPr>
        <w:t>农用地土壤污染风险管控标准（试行）》</w:t>
      </w:r>
      <w:r>
        <w:rPr>
          <w:rFonts w:hint="eastAsia"/>
          <w:bCs/>
          <w:color w:val="auto"/>
          <w:lang w:bidi="ar"/>
        </w:rPr>
        <w:t>（GB</w:t>
      </w:r>
      <w:r>
        <w:rPr>
          <w:bCs/>
          <w:color w:val="auto"/>
          <w:lang w:bidi="ar"/>
        </w:rPr>
        <w:t>15618</w:t>
      </w:r>
      <w:r>
        <w:rPr>
          <w:rFonts w:hint="eastAsia"/>
          <w:bCs/>
          <w:color w:val="auto"/>
          <w:lang w:bidi="ar"/>
        </w:rPr>
        <w:t>-2018）</w:t>
      </w:r>
      <w:r>
        <w:rPr>
          <w:rFonts w:hint="eastAsia"/>
          <w:color w:val="auto"/>
          <w:lang w:bidi="ar"/>
        </w:rPr>
        <w:t>表1中农用地土壤污染风险筛选值。</w:t>
      </w:r>
    </w:p>
    <w:p>
      <w:pPr>
        <w:pStyle w:val="8"/>
        <w:tabs>
          <w:tab w:val="clear" w:pos="0"/>
        </w:tabs>
        <w:rPr>
          <w:rFonts w:eastAsia="黑体"/>
          <w:color w:val="auto"/>
          <w:sz w:val="28"/>
          <w:szCs w:val="28"/>
        </w:rPr>
      </w:pPr>
      <w:r>
        <w:rPr>
          <w:rFonts w:eastAsia="黑体"/>
          <w:color w:val="auto"/>
          <w:sz w:val="28"/>
          <w:szCs w:val="28"/>
        </w:rPr>
        <w:t>生态环境现状调查与评价</w:t>
      </w:r>
    </w:p>
    <w:p>
      <w:pPr>
        <w:pStyle w:val="9"/>
        <w:spacing w:before="120" w:beforeLines="50"/>
        <w:rPr>
          <w:color w:val="auto"/>
        </w:rPr>
      </w:pPr>
      <w:r>
        <w:rPr>
          <w:rFonts w:hint="eastAsia"/>
          <w:color w:val="auto"/>
        </w:rPr>
        <w:t>生态功能区划</w:t>
      </w:r>
    </w:p>
    <w:p>
      <w:pPr>
        <w:pStyle w:val="16"/>
        <w:spacing w:line="360" w:lineRule="auto"/>
        <w:ind w:firstLine="480"/>
        <w:rPr>
          <w:rFonts w:ascii="Times New Roman" w:hAnsi="Times New Roman"/>
          <w:color w:val="auto"/>
          <w:szCs w:val="24"/>
        </w:rPr>
      </w:pPr>
      <w:r>
        <w:rPr>
          <w:rFonts w:hint="eastAsia" w:ascii="Times New Roman" w:hAnsi="Times New Roman"/>
          <w:color w:val="auto"/>
          <w:szCs w:val="24"/>
        </w:rPr>
        <w:t>根据《全国生态功能区划（修编版）》（环境保护部、中国科学院公告2015年第 61号，2015年11月），项目位于四川盆地农产品提供功能区（II-01-30），不属于重要生态功能区。</w:t>
      </w:r>
    </w:p>
    <w:p>
      <w:pPr>
        <w:pStyle w:val="16"/>
        <w:spacing w:line="360" w:lineRule="auto"/>
        <w:ind w:firstLine="480"/>
        <w:rPr>
          <w:rFonts w:ascii="Times New Roman" w:hAnsi="Times New Roman"/>
          <w:color w:val="auto"/>
          <w:szCs w:val="24"/>
        </w:rPr>
      </w:pPr>
      <w:r>
        <w:rPr>
          <w:rFonts w:hint="eastAsia" w:ascii="Times New Roman" w:hAnsi="Times New Roman"/>
          <w:color w:val="auto"/>
          <w:szCs w:val="24"/>
        </w:rPr>
        <w:t>依据《四川省生态功能区划》</w:t>
      </w:r>
      <w:r>
        <w:rPr>
          <w:rFonts w:hint="eastAsia" w:ascii="宋体" w:hAnsi="宋体"/>
          <w:color w:val="auto"/>
          <w:szCs w:val="24"/>
        </w:rPr>
        <w:t>(</w:t>
      </w:r>
      <w:r>
        <w:rPr>
          <w:rFonts w:hint="eastAsia" w:ascii="Times New Roman" w:hAnsi="Times New Roman"/>
          <w:color w:val="auto"/>
          <w:szCs w:val="24"/>
        </w:rPr>
        <w:t>川府函[2006]100号，2006年5月31日</w:t>
      </w:r>
      <w:r>
        <w:rPr>
          <w:rFonts w:hint="eastAsia" w:ascii="宋体" w:hAnsi="宋体"/>
          <w:color w:val="auto"/>
          <w:szCs w:val="24"/>
        </w:rPr>
        <w:t>)</w:t>
      </w:r>
      <w:r>
        <w:rPr>
          <w:rFonts w:hint="eastAsia" w:ascii="Times New Roman" w:hAnsi="Times New Roman"/>
          <w:color w:val="auto"/>
          <w:szCs w:val="24"/>
        </w:rPr>
        <w:t>，项目建设地位于四川盆地亚热带湿润气候生态区（Ⅰ）中的盆中丘陵农林复合生态亚区（Ⅰ-</w:t>
      </w:r>
      <w:r>
        <w:rPr>
          <w:rFonts w:ascii="Times New Roman" w:hAnsi="Times New Roman"/>
          <w:color w:val="auto"/>
          <w:szCs w:val="24"/>
        </w:rPr>
        <w:t>2</w:t>
      </w:r>
      <w:r>
        <w:rPr>
          <w:rFonts w:hint="eastAsia" w:ascii="Times New Roman" w:hAnsi="Times New Roman"/>
          <w:color w:val="auto"/>
          <w:szCs w:val="24"/>
        </w:rPr>
        <w:t>）中的涪江中下游农业生态功能区（Ⅰ-</w:t>
      </w:r>
      <w:r>
        <w:rPr>
          <w:rFonts w:ascii="Times New Roman" w:hAnsi="Times New Roman"/>
          <w:color w:val="auto"/>
          <w:szCs w:val="24"/>
        </w:rPr>
        <w:t>2-4</w:t>
      </w:r>
      <w:r>
        <w:rPr>
          <w:rFonts w:hint="eastAsia" w:ascii="Times New Roman" w:hAnsi="Times New Roman"/>
          <w:color w:val="auto"/>
          <w:szCs w:val="24"/>
        </w:rPr>
        <w:t>）。项目区不属于特殊生态敏感区和重要生态敏感区，为一般区域。</w:t>
      </w:r>
    </w:p>
    <w:p>
      <w:pPr>
        <w:pStyle w:val="16"/>
        <w:spacing w:line="360" w:lineRule="auto"/>
        <w:ind w:firstLine="0" w:firstLineChars="0"/>
        <w:jc w:val="center"/>
        <w:rPr>
          <w:rFonts w:ascii="Times New Roman" w:hAnsi="Times New Roman"/>
          <w:color w:val="auto"/>
        </w:rPr>
      </w:pPr>
      <w:r>
        <w:rPr>
          <w:rFonts w:hint="eastAsia" w:ascii="Times New Roman" w:hAnsi="Times New Roman"/>
          <w:color w:val="auto"/>
          <w:lang/>
        </w:rPr>
        <mc:AlternateContent>
          <mc:Choice Requires="wps">
            <w:drawing>
              <wp:anchor distT="0" distB="0" distL="114300" distR="114300" simplePos="0" relativeHeight="251662336" behindDoc="0" locked="0" layoutInCell="1" allowOverlap="1">
                <wp:simplePos x="0" y="0"/>
                <wp:positionH relativeFrom="column">
                  <wp:posOffset>3256915</wp:posOffset>
                </wp:positionH>
                <wp:positionV relativeFrom="paragraph">
                  <wp:posOffset>1158240</wp:posOffset>
                </wp:positionV>
                <wp:extent cx="1127125" cy="252095"/>
                <wp:effectExtent l="258445" t="4445" r="5080" b="10160"/>
                <wp:wrapNone/>
                <wp:docPr id="6" name="矩形标注 15"/>
                <wp:cNvGraphicFramePr/>
                <a:graphic xmlns:a="http://schemas.openxmlformats.org/drawingml/2006/main">
                  <a:graphicData uri="http://schemas.microsoft.com/office/word/2010/wordprocessingShape">
                    <wps:wsp>
                      <wps:cNvSpPr/>
                      <wps:spPr>
                        <a:xfrm>
                          <a:off x="0" y="0"/>
                          <a:ext cx="1127125" cy="252095"/>
                        </a:xfrm>
                        <a:prstGeom prst="wedgeRectCallout">
                          <a:avLst>
                            <a:gd name="adj1" fmla="val -69889"/>
                            <a:gd name="adj2" fmla="val -30102"/>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40" w:lineRule="auto"/>
                              <w:ind w:firstLine="0" w:firstLineChars="0"/>
                              <w:jc w:val="center"/>
                              <w:rPr>
                                <w:sz w:val="21"/>
                                <w:szCs w:val="21"/>
                              </w:rPr>
                            </w:pPr>
                            <w:r>
                              <w:rPr>
                                <w:rFonts w:hint="eastAsia"/>
                                <w:sz w:val="21"/>
                                <w:szCs w:val="21"/>
                              </w:rPr>
                              <w:t>本项目所在位置</w:t>
                            </w:r>
                          </w:p>
                        </w:txbxContent>
                      </wps:txbx>
                      <wps:bodyPr wrap="square" upright="1"/>
                    </wps:wsp>
                  </a:graphicData>
                </a:graphic>
              </wp:anchor>
            </w:drawing>
          </mc:Choice>
          <mc:Fallback>
            <w:pict>
              <v:shape id="矩形标注 15" o:spid="_x0000_s1026" o:spt="61" type="#_x0000_t61" style="position:absolute;left:0pt;margin-left:256.45pt;margin-top:91.2pt;height:19.85pt;width:88.75pt;z-index:251662336;mso-width-relative:page;mso-height-relative:page;" fillcolor="#FFFFFF" filled="t" stroked="t" coordsize="21600,21600" o:gfxdata="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DCEI7ZAAAACwEAAA8AAAAAAAAAAQAgAAAAIgAA&#10;AGRycy9kb3ducmV2LnhtbFBLAQIUABQAAAAIAIdO4kAl1D/ZQAIAAJ0EAAAOAAAAAAAAAAEAIAAA&#10;ACgBAABkcnMvZTJvRG9jLnhtbFBLBQYAAAAABgAGAFkBAADaBQAAAAA=&#10;" adj="-4296,4298">
                <v:fill on="t" focussize="0,0"/>
                <v:stroke color="#000000" joinstyle="miter"/>
                <v:imagedata o:title=""/>
                <o:lock v:ext="edit" aspectratio="f"/>
                <v:textbox>
                  <w:txbxContent>
                    <w:p>
                      <w:pPr>
                        <w:adjustRightInd w:val="0"/>
                        <w:snapToGrid w:val="0"/>
                        <w:spacing w:line="240" w:lineRule="auto"/>
                        <w:ind w:firstLine="0" w:firstLineChars="0"/>
                        <w:jc w:val="center"/>
                        <w:rPr>
                          <w:sz w:val="21"/>
                          <w:szCs w:val="21"/>
                        </w:rPr>
                      </w:pPr>
                      <w:r>
                        <w:rPr>
                          <w:rFonts w:hint="eastAsia"/>
                          <w:sz w:val="21"/>
                          <w:szCs w:val="21"/>
                        </w:rPr>
                        <w:t>本项目所在位置</w:t>
                      </w:r>
                    </w:p>
                  </w:txbxContent>
                </v:textbox>
              </v:shape>
            </w:pict>
          </mc:Fallback>
        </mc:AlternateContent>
      </w:r>
      <w:r>
        <w:rPr>
          <w:rFonts w:hint="eastAsia" w:ascii="Times New Roman" w:hAnsi="Times New Roman"/>
          <w:color w:val="auto"/>
          <w:lang/>
        </w:rPr>
        <mc:AlternateContent>
          <mc:Choice Requires="wps">
            <w:drawing>
              <wp:anchor distT="0" distB="0" distL="114300" distR="114300" simplePos="0" relativeHeight="251664384" behindDoc="0" locked="0" layoutInCell="1" allowOverlap="1">
                <wp:simplePos x="0" y="0"/>
                <wp:positionH relativeFrom="column">
                  <wp:posOffset>2973705</wp:posOffset>
                </wp:positionH>
                <wp:positionV relativeFrom="paragraph">
                  <wp:posOffset>1183640</wp:posOffset>
                </wp:positionV>
                <wp:extent cx="49530" cy="45085"/>
                <wp:effectExtent l="25400" t="24765" r="39370" b="25400"/>
                <wp:wrapNone/>
                <wp:docPr id="8" name="自选图形 23"/>
                <wp:cNvGraphicFramePr/>
                <a:graphic xmlns:a="http://schemas.openxmlformats.org/drawingml/2006/main">
                  <a:graphicData uri="http://schemas.microsoft.com/office/word/2010/wordprocessingShape">
                    <wps:wsp>
                      <wps:cNvSpPr/>
                      <wps:spPr>
                        <a:xfrm>
                          <a:off x="0" y="0"/>
                          <a:ext cx="49530" cy="45085"/>
                        </a:xfrm>
                        <a:prstGeom prst="star5">
                          <a:avLst/>
                        </a:prstGeom>
                        <a:solidFill>
                          <a:srgbClr val="FF0000"/>
                        </a:solidFill>
                        <a:ln w="15875" cap="flat" cmpd="sng">
                          <a:solidFill>
                            <a:srgbClr val="FF0000"/>
                          </a:solidFill>
                          <a:prstDash val="solid"/>
                          <a:miter/>
                          <a:headEnd type="none" w="med" len="med"/>
                          <a:tailEnd type="none" w="med" len="med"/>
                        </a:ln>
                      </wps:spPr>
                      <wps:bodyPr wrap="square" upright="1"/>
                    </wps:wsp>
                  </a:graphicData>
                </a:graphic>
              </wp:anchor>
            </w:drawing>
          </mc:Choice>
          <mc:Fallback>
            <w:pict>
              <v:shape id="自选图形 23" o:spid="_x0000_s1026" style="position:absolute;left:0pt;margin-left:234.15pt;margin-top:93.2pt;height:3.55pt;width:3.9pt;z-index:251664384;mso-width-relative:page;mso-height-relative:page;" fillcolor="#FF0000" filled="t" stroked="t" coordsize="49530,45085" o:gfxdata="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Tc9y3cAAAACwEAAA8AAAAAAAAA&#10;AQAgAAAAIgAAAGRycy9kb3ducmV2LnhtbFBLAQIUABQAAAAIAIdO4kA9VLyJDQIAADIEAAAOAAAA&#10;AAAAAAEAIAAAACsBAABkcnMvZTJvRG9jLnhtbFBLBQYAAAAABgAGAFkBAACqBQAAAAA=&#10;" path="m0,17220l18918,17221,24765,0,30611,17221,49529,17220,34224,27863,40070,45084,24765,34441,9459,45084,15305,27863xe">
                <v:path o:connectlocs="24765,0;0,17220;9459,45084;40070,45084;49529,17220" o:connectangles="247,164,82,82,0"/>
                <v:fill on="t" focussize="0,0"/>
                <v:stroke weight="1.25pt" color="#FF0000" joinstyle="miter"/>
                <v:imagedata o:title=""/>
                <o:lock v:ext="edit" aspectratio="f"/>
              </v:shape>
            </w:pict>
          </mc:Fallback>
        </mc:AlternateContent>
      </w:r>
      <w:r>
        <w:rPr>
          <w:b/>
          <w:color w:val="auto"/>
        </w:rPr>
        <w:drawing>
          <wp:inline distT="0" distB="0" distL="114300" distR="114300">
            <wp:extent cx="5517515" cy="3148965"/>
            <wp:effectExtent l="0" t="0" r="6985" b="13335"/>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62"/>
                    <a:stretch>
                      <a:fillRect/>
                    </a:stretch>
                  </pic:blipFill>
                  <pic:spPr>
                    <a:xfrm>
                      <a:off x="0" y="0"/>
                      <a:ext cx="5517515" cy="3148965"/>
                    </a:xfrm>
                    <a:prstGeom prst="rect">
                      <a:avLst/>
                    </a:prstGeom>
                    <a:noFill/>
                    <a:ln>
                      <a:noFill/>
                    </a:ln>
                  </pic:spPr>
                </pic:pic>
              </a:graphicData>
            </a:graphic>
          </wp:inline>
        </w:drawing>
      </w:r>
    </w:p>
    <w:p>
      <w:pPr>
        <w:pStyle w:val="16"/>
        <w:spacing w:line="360" w:lineRule="auto"/>
        <w:ind w:firstLine="0" w:firstLineChars="0"/>
        <w:jc w:val="center"/>
        <w:rPr>
          <w:b/>
          <w:color w:val="auto"/>
          <w:sz w:val="21"/>
          <w:szCs w:val="21"/>
        </w:rPr>
      </w:pPr>
      <w:r>
        <w:rPr>
          <w:rFonts w:hint="eastAsia" w:ascii="Times New Roman" w:hAnsi="Times New Roman"/>
          <w:b/>
          <w:bCs/>
          <w:color w:val="auto"/>
          <w:sz w:val="21"/>
          <w:szCs w:val="21"/>
        </w:rPr>
        <w:t>图</w:t>
      </w:r>
      <w:r>
        <w:rPr>
          <w:rFonts w:ascii="Times New Roman" w:hAnsi="Times New Roman"/>
          <w:b/>
          <w:bCs/>
          <w:color w:val="auto"/>
          <w:sz w:val="21"/>
          <w:szCs w:val="21"/>
        </w:rPr>
        <w:t xml:space="preserve">4.2-1  </w:t>
      </w:r>
      <w:r>
        <w:rPr>
          <w:rFonts w:hint="eastAsia" w:ascii="Times New Roman" w:hAnsi="Times New Roman"/>
          <w:b/>
          <w:bCs/>
          <w:color w:val="auto"/>
          <w:sz w:val="21"/>
          <w:szCs w:val="21"/>
        </w:rPr>
        <w:t>四川省生态功能区划图</w:t>
      </w:r>
    </w:p>
    <w:p>
      <w:pPr>
        <w:pStyle w:val="50"/>
        <w:keepNext w:val="0"/>
        <w:keepLines w:val="0"/>
        <w:pageBreakBefore w:val="0"/>
        <w:widowControl w:val="0"/>
        <w:kinsoku/>
        <w:wordWrap/>
        <w:overflowPunct/>
        <w:topLinePunct w:val="0"/>
        <w:autoSpaceDE/>
        <w:autoSpaceDN/>
        <w:bidi w:val="0"/>
        <w:adjustRightInd/>
        <w:snapToGrid/>
        <w:spacing w:after="0" w:line="0" w:lineRule="atLeast"/>
        <w:ind w:left="0" w:leftChars="0" w:firstLine="0" w:firstLineChars="0"/>
        <w:jc w:val="center"/>
        <w:textAlignment w:val="auto"/>
        <w:rPr>
          <w:rFonts w:hint="eastAsia"/>
          <w:b/>
          <w:color w:val="auto"/>
          <w:sz w:val="21"/>
          <w:szCs w:val="21"/>
        </w:rPr>
      </w:pPr>
      <w:r>
        <w:rPr>
          <w:rFonts w:hint="eastAsia"/>
          <w:b/>
          <w:color w:val="auto"/>
          <w:sz w:val="21"/>
          <w:szCs w:val="21"/>
        </w:rPr>
        <w:t>表</w:t>
      </w:r>
      <w:r>
        <w:rPr>
          <w:b/>
          <w:color w:val="auto"/>
          <w:sz w:val="21"/>
          <w:szCs w:val="21"/>
        </w:rPr>
        <w:t>4.2-</w:t>
      </w:r>
      <w:r>
        <w:rPr>
          <w:rFonts w:hint="eastAsia"/>
          <w:b/>
          <w:color w:val="auto"/>
          <w:sz w:val="21"/>
          <w:szCs w:val="21"/>
          <w:lang w:val="en-US" w:eastAsia="zh-CN"/>
        </w:rPr>
        <w:t>1</w:t>
      </w:r>
      <w:r>
        <w:rPr>
          <w:rFonts w:hint="eastAsia"/>
          <w:b/>
          <w:color w:val="auto"/>
          <w:sz w:val="21"/>
          <w:szCs w:val="21"/>
          <w:lang w:val="en-US" w:eastAsia="zh-CN"/>
        </w:rPr>
        <w:t>7</w:t>
      </w:r>
      <w:r>
        <w:rPr>
          <w:rFonts w:hint="eastAsia"/>
          <w:b/>
          <w:color w:val="auto"/>
          <w:sz w:val="21"/>
          <w:szCs w:val="21"/>
          <w:lang w:val="en-US" w:eastAsia="zh-CN"/>
        </w:rPr>
        <w:t xml:space="preserve"> </w:t>
      </w:r>
      <w:r>
        <w:rPr>
          <w:rFonts w:hint="eastAsia"/>
          <w:b/>
          <w:color w:val="auto"/>
          <w:sz w:val="21"/>
          <w:szCs w:val="21"/>
        </w:rPr>
        <w:t>项目区生态功能分区特征表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462"/>
        <w:gridCol w:w="2269"/>
        <w:gridCol w:w="898"/>
        <w:gridCol w:w="1061"/>
        <w:gridCol w:w="1160"/>
        <w:gridCol w:w="10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056" w:type="dxa"/>
            <w:noWrap w:val="0"/>
            <w:vAlign w:val="center"/>
          </w:tcPr>
          <w:p>
            <w:pPr>
              <w:pStyle w:val="50"/>
              <w:spacing w:after="0" w:line="240" w:lineRule="auto"/>
              <w:ind w:left="0" w:leftChars="0" w:firstLine="0" w:firstLineChars="0"/>
              <w:jc w:val="center"/>
              <w:rPr>
                <w:b/>
                <w:bCs/>
                <w:color w:val="auto"/>
                <w:sz w:val="20"/>
                <w:szCs w:val="20"/>
              </w:rPr>
            </w:pPr>
            <w:r>
              <w:rPr>
                <w:b/>
                <w:bCs/>
                <w:color w:val="auto"/>
                <w:sz w:val="20"/>
                <w:szCs w:val="20"/>
              </w:rPr>
              <w:t>生态功能区划</w:t>
            </w:r>
          </w:p>
        </w:tc>
        <w:tc>
          <w:tcPr>
            <w:tcW w:w="1462" w:type="dxa"/>
            <w:noWrap w:val="0"/>
            <w:vAlign w:val="center"/>
          </w:tcPr>
          <w:p>
            <w:pPr>
              <w:pStyle w:val="50"/>
              <w:spacing w:after="0" w:line="240" w:lineRule="auto"/>
              <w:ind w:left="0" w:leftChars="0" w:firstLine="0" w:firstLineChars="0"/>
              <w:jc w:val="center"/>
              <w:rPr>
                <w:b/>
                <w:bCs/>
                <w:color w:val="auto"/>
                <w:sz w:val="20"/>
                <w:szCs w:val="20"/>
              </w:rPr>
            </w:pPr>
            <w:r>
              <w:rPr>
                <w:rFonts w:hint="eastAsia"/>
                <w:b/>
                <w:bCs/>
                <w:color w:val="auto"/>
                <w:sz w:val="20"/>
                <w:szCs w:val="20"/>
              </w:rPr>
              <w:t>所在区域与面积</w:t>
            </w:r>
          </w:p>
        </w:tc>
        <w:tc>
          <w:tcPr>
            <w:tcW w:w="2269" w:type="dxa"/>
            <w:noWrap w:val="0"/>
            <w:vAlign w:val="center"/>
          </w:tcPr>
          <w:p>
            <w:pPr>
              <w:pStyle w:val="50"/>
              <w:spacing w:after="0" w:line="240" w:lineRule="auto"/>
              <w:ind w:left="0" w:leftChars="0" w:firstLine="0" w:firstLineChars="0"/>
              <w:jc w:val="center"/>
              <w:rPr>
                <w:rFonts w:hint="eastAsia"/>
                <w:b/>
                <w:bCs/>
                <w:color w:val="auto"/>
                <w:sz w:val="20"/>
                <w:szCs w:val="20"/>
              </w:rPr>
            </w:pPr>
            <w:r>
              <w:rPr>
                <w:rFonts w:hint="eastAsia"/>
                <w:b/>
                <w:bCs/>
                <w:color w:val="auto"/>
                <w:sz w:val="20"/>
                <w:szCs w:val="20"/>
              </w:rPr>
              <w:t>主要生态特征</w:t>
            </w:r>
          </w:p>
        </w:tc>
        <w:tc>
          <w:tcPr>
            <w:tcW w:w="898" w:type="dxa"/>
            <w:noWrap w:val="0"/>
            <w:vAlign w:val="center"/>
          </w:tcPr>
          <w:p>
            <w:pPr>
              <w:pStyle w:val="50"/>
              <w:spacing w:after="0" w:line="240" w:lineRule="auto"/>
              <w:ind w:left="0" w:leftChars="0" w:firstLine="0" w:firstLineChars="0"/>
              <w:jc w:val="center"/>
              <w:rPr>
                <w:b/>
                <w:bCs/>
                <w:color w:val="auto"/>
                <w:sz w:val="20"/>
                <w:szCs w:val="20"/>
              </w:rPr>
            </w:pPr>
            <w:r>
              <w:rPr>
                <w:rFonts w:hint="eastAsia"/>
                <w:b/>
                <w:bCs/>
                <w:color w:val="auto"/>
                <w:sz w:val="20"/>
                <w:szCs w:val="20"/>
              </w:rPr>
              <w:t>典型生态系统</w:t>
            </w:r>
          </w:p>
        </w:tc>
        <w:tc>
          <w:tcPr>
            <w:tcW w:w="1061" w:type="dxa"/>
            <w:noWrap w:val="0"/>
            <w:vAlign w:val="center"/>
          </w:tcPr>
          <w:p>
            <w:pPr>
              <w:pStyle w:val="50"/>
              <w:spacing w:after="0" w:line="240" w:lineRule="auto"/>
              <w:ind w:left="0" w:leftChars="0" w:firstLine="0" w:firstLineChars="0"/>
              <w:jc w:val="center"/>
              <w:rPr>
                <w:b/>
                <w:bCs/>
                <w:color w:val="auto"/>
                <w:sz w:val="20"/>
                <w:szCs w:val="20"/>
              </w:rPr>
            </w:pPr>
            <w:r>
              <w:rPr>
                <w:b/>
                <w:bCs/>
                <w:color w:val="auto"/>
                <w:sz w:val="20"/>
                <w:szCs w:val="20"/>
              </w:rPr>
              <w:t>主要生态问题</w:t>
            </w:r>
          </w:p>
        </w:tc>
        <w:tc>
          <w:tcPr>
            <w:tcW w:w="1160" w:type="dxa"/>
            <w:noWrap w:val="0"/>
            <w:vAlign w:val="center"/>
          </w:tcPr>
          <w:p>
            <w:pPr>
              <w:pStyle w:val="50"/>
              <w:spacing w:after="0" w:line="240" w:lineRule="auto"/>
              <w:ind w:left="0" w:leftChars="0" w:firstLine="0" w:firstLineChars="0"/>
              <w:jc w:val="center"/>
              <w:rPr>
                <w:b/>
                <w:bCs/>
                <w:color w:val="auto"/>
                <w:sz w:val="20"/>
                <w:szCs w:val="20"/>
              </w:rPr>
            </w:pPr>
            <w:r>
              <w:rPr>
                <w:b/>
                <w:bCs/>
                <w:color w:val="auto"/>
                <w:sz w:val="20"/>
                <w:szCs w:val="20"/>
              </w:rPr>
              <w:t>生态环境敏感性</w:t>
            </w:r>
          </w:p>
        </w:tc>
        <w:tc>
          <w:tcPr>
            <w:tcW w:w="1097" w:type="dxa"/>
            <w:noWrap w:val="0"/>
            <w:vAlign w:val="center"/>
          </w:tcPr>
          <w:p>
            <w:pPr>
              <w:pStyle w:val="50"/>
              <w:spacing w:after="0" w:line="240" w:lineRule="auto"/>
              <w:ind w:left="0" w:leftChars="0" w:firstLine="0" w:firstLineChars="0"/>
              <w:jc w:val="center"/>
              <w:rPr>
                <w:b/>
                <w:bCs/>
                <w:color w:val="auto"/>
                <w:sz w:val="20"/>
                <w:szCs w:val="20"/>
              </w:rPr>
            </w:pPr>
            <w:r>
              <w:rPr>
                <w:b/>
                <w:bCs/>
                <w:color w:val="auto"/>
                <w:sz w:val="20"/>
                <w:szCs w:val="20"/>
              </w:rPr>
              <w:t>主要服务功能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1056"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涪江中下游农业生态功能区</w:t>
            </w:r>
            <w:r>
              <w:rPr>
                <w:color w:val="auto"/>
                <w:sz w:val="20"/>
                <w:szCs w:val="20"/>
              </w:rPr>
              <w:t>（</w:t>
            </w:r>
            <w:r>
              <w:rPr>
                <w:rFonts w:hint="eastAsia" w:ascii="宋体" w:hAnsi="宋体" w:cs="宋体"/>
                <w:color w:val="auto"/>
                <w:sz w:val="20"/>
                <w:szCs w:val="20"/>
              </w:rPr>
              <w:t>Ⅰ</w:t>
            </w:r>
            <w:r>
              <w:rPr>
                <w:color w:val="auto"/>
                <w:sz w:val="20"/>
                <w:szCs w:val="20"/>
              </w:rPr>
              <w:t>-2-4）</w:t>
            </w:r>
          </w:p>
        </w:tc>
        <w:tc>
          <w:tcPr>
            <w:tcW w:w="1462"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在四川盆地中西部，跨绵阳、德阳、遂宁、资阳市的12个县级行政区。面积1.45万km</w:t>
            </w:r>
            <w:r>
              <w:rPr>
                <w:color w:val="auto"/>
                <w:sz w:val="20"/>
                <w:szCs w:val="20"/>
                <w:vertAlign w:val="superscript"/>
              </w:rPr>
              <w:t>2</w:t>
            </w:r>
          </w:p>
        </w:tc>
        <w:tc>
          <w:tcPr>
            <w:tcW w:w="2269" w:type="dxa"/>
            <w:noWrap w:val="0"/>
            <w:vAlign w:val="center"/>
          </w:tcPr>
          <w:p>
            <w:pPr>
              <w:pStyle w:val="50"/>
              <w:spacing w:after="0" w:line="240" w:lineRule="auto"/>
              <w:ind w:left="0" w:leftChars="0" w:firstLine="0" w:firstLineChars="0"/>
              <w:jc w:val="center"/>
              <w:rPr>
                <w:rFonts w:hint="eastAsia"/>
                <w:color w:val="auto"/>
                <w:sz w:val="20"/>
                <w:szCs w:val="20"/>
              </w:rPr>
            </w:pPr>
            <w:r>
              <w:rPr>
                <w:rFonts w:hint="eastAsia"/>
                <w:color w:val="auto"/>
                <w:sz w:val="20"/>
                <w:szCs w:val="20"/>
              </w:rPr>
              <w:t>地貌以丘陵为主，年均气温16.5~17.5℃，≥10℃活动积温5300℃左右，年降水量864~1027mm，河流均属于涪江水系。森林植被主要有人工或次生马尾松林、柏木林，次为杉木林和竹林</w:t>
            </w:r>
          </w:p>
        </w:tc>
        <w:tc>
          <w:tcPr>
            <w:tcW w:w="898"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农田、城市和水生态系统</w:t>
            </w:r>
          </w:p>
        </w:tc>
        <w:tc>
          <w:tcPr>
            <w:tcW w:w="1061"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森林覆盖率低，水土流失，耕地垦殖过度，农村面源污染，旱灾频发。</w:t>
            </w:r>
          </w:p>
        </w:tc>
        <w:tc>
          <w:tcPr>
            <w:tcW w:w="1160"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土壤侵蚀中度敏感，水环境污染高度敏感，酸雨轻度敏感</w:t>
            </w:r>
          </w:p>
        </w:tc>
        <w:tc>
          <w:tcPr>
            <w:tcW w:w="1097" w:type="dxa"/>
            <w:noWrap w:val="0"/>
            <w:vAlign w:val="center"/>
          </w:tcPr>
          <w:p>
            <w:pPr>
              <w:pStyle w:val="50"/>
              <w:spacing w:after="0" w:line="240" w:lineRule="auto"/>
              <w:ind w:left="0" w:leftChars="0" w:firstLine="0" w:firstLineChars="0"/>
              <w:jc w:val="center"/>
              <w:rPr>
                <w:color w:val="auto"/>
                <w:sz w:val="20"/>
                <w:szCs w:val="20"/>
              </w:rPr>
            </w:pPr>
            <w:r>
              <w:rPr>
                <w:rFonts w:hint="eastAsia"/>
                <w:color w:val="auto"/>
                <w:sz w:val="20"/>
                <w:szCs w:val="20"/>
              </w:rPr>
              <w:t>城镇与农业发展，水环境污染控制，洪水调蓄</w:t>
            </w:r>
          </w:p>
        </w:tc>
      </w:tr>
    </w:tbl>
    <w:p>
      <w:pPr>
        <w:pStyle w:val="9"/>
        <w:spacing w:before="120" w:beforeLines="50"/>
        <w:rPr>
          <w:color w:val="auto"/>
        </w:rPr>
      </w:pPr>
      <w:r>
        <w:rPr>
          <w:rFonts w:hint="eastAsia"/>
          <w:color w:val="auto"/>
        </w:rPr>
        <w:t>调查</w:t>
      </w:r>
      <w:r>
        <w:rPr>
          <w:color w:val="auto"/>
        </w:rPr>
        <w:t>范围与方法</w:t>
      </w:r>
    </w:p>
    <w:p>
      <w:pPr>
        <w:ind w:firstLine="480"/>
        <w:rPr>
          <w:color w:val="auto"/>
        </w:rPr>
      </w:pPr>
      <w:r>
        <w:rPr>
          <w:color w:val="auto"/>
        </w:rPr>
        <w:t>根据工程特点和生态环境的连通性、完整性及影响方向，本次生态环境影响评价范围为以拟建厂址为中心，项目各边界向外延伸500m所包围的区域范围。</w:t>
      </w:r>
      <w:r>
        <w:rPr>
          <w:rFonts w:hint="eastAsia"/>
          <w:color w:val="auto"/>
        </w:rPr>
        <w:t>重点</w:t>
      </w:r>
      <w:r>
        <w:rPr>
          <w:color w:val="auto"/>
        </w:rPr>
        <w:t>关注拟建场区的表土剥离引发的水土流失和区域部分生态环境退化的问题。</w:t>
      </w:r>
    </w:p>
    <w:p>
      <w:pPr>
        <w:ind w:firstLine="480"/>
        <w:rPr>
          <w:color w:val="auto"/>
        </w:rPr>
      </w:pPr>
      <w:r>
        <w:rPr>
          <w:color w:val="auto"/>
        </w:rPr>
        <w:t>本次评价生态环境现状调查主要采用资料收集和现场调查两种方法。其中资料收集是本次评价的主要方法之一，将从农、林、牧、渔等管理部门及专业研究机构收集生态和资源方面资料。</w:t>
      </w:r>
    </w:p>
    <w:p>
      <w:pPr>
        <w:pStyle w:val="9"/>
        <w:spacing w:before="120" w:beforeLines="50"/>
        <w:rPr>
          <w:color w:val="auto"/>
        </w:rPr>
      </w:pPr>
      <w:r>
        <w:rPr>
          <w:color w:val="auto"/>
        </w:rPr>
        <w:t>生态环境现状调查</w:t>
      </w:r>
    </w:p>
    <w:p>
      <w:pPr>
        <w:ind w:firstLine="480"/>
        <w:rPr>
          <w:rFonts w:hint="default" w:ascii="Times New Roman" w:hAnsi="Times New Roman" w:cs="Times New Roman"/>
          <w:color w:val="auto"/>
          <w:highlight w:val="yellow"/>
        </w:rPr>
      </w:pPr>
      <w:r>
        <w:rPr>
          <w:rFonts w:hint="default" w:ascii="Times New Roman" w:hAnsi="Times New Roman" w:cs="Times New Roman"/>
          <w:color w:val="auto"/>
          <w:highlight w:val="none"/>
        </w:rPr>
        <w:t>本项目位于</w:t>
      </w:r>
      <w:r>
        <w:rPr>
          <w:rFonts w:hint="eastAsia"/>
          <w:color w:val="auto"/>
          <w:lang w:val="en-US" w:eastAsia="zh-CN"/>
        </w:rPr>
        <w:t>游仙区盐泉镇通远村</w:t>
      </w:r>
      <w:r>
        <w:rPr>
          <w:rFonts w:hint="default" w:ascii="Times New Roman" w:hAnsi="Times New Roman" w:cs="Times New Roman"/>
          <w:color w:val="auto"/>
          <w:highlight w:val="none"/>
        </w:rPr>
        <w:t>，所处农村生态环境，人类活动频繁，受人类活动影响较大，生态系统多样性程度一般，周边为林地和耕地。根据调查，项目区为农村生态系统，人类扰动较大，无大型野生动物，仅有鼠类等啮齿动物、蛇类、昆虫类等，无国家重点保护珍稀濒危野生动物，项目所在区域无重大文物古迹，无国家重点保护珍稀动植物。</w:t>
      </w:r>
    </w:p>
    <w:p>
      <w:pPr>
        <w:pStyle w:val="8"/>
        <w:tabs>
          <w:tab w:val="clear" w:pos="0"/>
          <w:tab w:val="clear" w:pos="360"/>
        </w:tabs>
        <w:rPr>
          <w:rFonts w:hint="default" w:ascii="Times New Roman" w:hAnsi="Times New Roman" w:eastAsia="黑体" w:cs="Times New Roman"/>
          <w:b/>
          <w:bCs/>
          <w:color w:val="auto"/>
          <w:sz w:val="28"/>
          <w:szCs w:val="28"/>
          <w:highlight w:val="none"/>
        </w:rPr>
      </w:pPr>
      <w:r>
        <w:rPr>
          <w:rFonts w:hint="default" w:ascii="Times New Roman" w:hAnsi="Times New Roman" w:eastAsia="黑体" w:cs="Times New Roman"/>
          <w:b/>
          <w:bCs/>
          <w:color w:val="auto"/>
          <w:sz w:val="28"/>
          <w:szCs w:val="28"/>
          <w:highlight w:val="none"/>
        </w:rPr>
        <w:t xml:space="preserve">区域污染源调查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项目</w:t>
      </w:r>
      <w:r>
        <w:rPr>
          <w:rFonts w:hint="eastAsia" w:ascii="Times New Roman" w:hAnsi="Times New Roman" w:eastAsia="宋体" w:cs="Times New Roman"/>
          <w:color w:val="auto"/>
          <w:kern w:val="0"/>
          <w:sz w:val="24"/>
          <w:szCs w:val="24"/>
          <w:lang w:val="en-US" w:eastAsia="zh-CN" w:bidi="ar"/>
        </w:rPr>
        <w:t>目前已建成4栋猪舍及部分辅助设施，</w:t>
      </w:r>
      <w:r>
        <w:rPr>
          <w:rFonts w:hint="default" w:ascii="Times New Roman" w:hAnsi="Times New Roman" w:eastAsia="宋体" w:cs="Times New Roman"/>
          <w:color w:val="auto"/>
          <w:kern w:val="0"/>
          <w:sz w:val="24"/>
          <w:szCs w:val="24"/>
          <w:lang w:bidi="ar"/>
        </w:rPr>
        <w:t>场址现状为农用地</w:t>
      </w:r>
      <w:r>
        <w:rPr>
          <w:rFonts w:hint="eastAsia" w:ascii="Times New Roman" w:hAnsi="Times New Roman" w:eastAsia="宋体" w:cs="Times New Roman"/>
          <w:color w:val="auto"/>
          <w:kern w:val="0"/>
          <w:sz w:val="24"/>
          <w:szCs w:val="24"/>
          <w:lang w:val="en-US" w:eastAsia="zh-CN" w:bidi="ar"/>
        </w:rPr>
        <w:t>及建设用地</w:t>
      </w:r>
      <w:r>
        <w:rPr>
          <w:rFonts w:hint="default" w:ascii="Times New Roman" w:hAnsi="Times New Roman" w:eastAsia="宋体" w:cs="Times New Roman"/>
          <w:color w:val="auto"/>
          <w:kern w:val="0"/>
          <w:sz w:val="24"/>
          <w:szCs w:val="24"/>
          <w:lang w:bidi="ar"/>
        </w:rPr>
        <w:t>，项目周边主要为山丘林地、农田。项目</w:t>
      </w:r>
      <w:r>
        <w:rPr>
          <w:rFonts w:hint="eastAsia" w:ascii="Times New Roman" w:hAnsi="Times New Roman" w:eastAsia="宋体" w:cs="Times New Roman"/>
          <w:color w:val="auto"/>
          <w:kern w:val="0"/>
          <w:sz w:val="24"/>
          <w:szCs w:val="24"/>
          <w:lang w:val="en-US" w:eastAsia="zh-CN" w:bidi="ar"/>
        </w:rPr>
        <w:t>周边</w:t>
      </w:r>
      <w:r>
        <w:rPr>
          <w:rFonts w:hint="default" w:ascii="Times New Roman" w:hAnsi="Times New Roman" w:eastAsia="宋体" w:cs="Times New Roman"/>
          <w:color w:val="auto"/>
          <w:kern w:val="0"/>
          <w:sz w:val="24"/>
          <w:szCs w:val="24"/>
          <w:lang w:bidi="ar"/>
        </w:rPr>
        <w:t xml:space="preserve">有乡村道路。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项目区域污染源主要为周边村民生活污染源及农业、零散养殖小户污染源以及少量的车辆尾气。</w:t>
      </w:r>
    </w:p>
    <w:p>
      <w:pPr>
        <w:ind w:firstLine="480"/>
        <w:rPr>
          <w:color w:val="auto"/>
          <w:lang w:bidi="ar"/>
        </w:rPr>
      </w:pPr>
    </w:p>
    <w:p>
      <w:pPr>
        <w:ind w:firstLine="0" w:firstLineChars="0"/>
        <w:rPr>
          <w:rFonts w:eastAsia="Arial Unicode MS"/>
          <w:b/>
          <w:color w:val="auto"/>
          <w:kern w:val="44"/>
          <w:sz w:val="32"/>
          <w:szCs w:val="32"/>
        </w:rPr>
        <w:sectPr>
          <w:headerReference r:id="rId17" w:type="default"/>
          <w:pgSz w:w="11906" w:h="16838"/>
          <w:pgMar w:top="1418" w:right="1418" w:bottom="1418" w:left="1701" w:header="851" w:footer="992" w:gutter="0"/>
          <w:cols w:space="720" w:num="1"/>
          <w:docGrid w:linePitch="326" w:charSpace="0"/>
        </w:sectPr>
      </w:pPr>
    </w:p>
    <w:p>
      <w:pPr>
        <w:pStyle w:val="6"/>
        <w:rPr>
          <w:rFonts w:eastAsia="黑体"/>
          <w:color w:val="auto"/>
          <w:sz w:val="44"/>
        </w:rPr>
      </w:pPr>
      <w:bookmarkStart w:id="192" w:name="_Toc30649"/>
      <w:r>
        <w:rPr>
          <w:rFonts w:eastAsia="黑体"/>
          <w:color w:val="auto"/>
          <w:sz w:val="44"/>
        </w:rPr>
        <w:t>环境影响预测与评价</w:t>
      </w:r>
      <w:bookmarkEnd w:id="192"/>
    </w:p>
    <w:p>
      <w:pPr>
        <w:pStyle w:val="7"/>
        <w:rPr>
          <w:rFonts w:eastAsia="黑体"/>
          <w:color w:val="auto"/>
          <w:sz w:val="32"/>
        </w:rPr>
      </w:pPr>
      <w:bookmarkStart w:id="193" w:name="_Toc436035691"/>
      <w:bookmarkStart w:id="194" w:name="_Toc3116"/>
      <w:r>
        <w:rPr>
          <w:rFonts w:eastAsia="黑体"/>
          <w:color w:val="auto"/>
          <w:sz w:val="32"/>
        </w:rPr>
        <w:t>施工期环境影响</w:t>
      </w:r>
      <w:bookmarkEnd w:id="193"/>
      <w:r>
        <w:rPr>
          <w:rFonts w:eastAsia="黑体"/>
          <w:color w:val="auto"/>
          <w:sz w:val="32"/>
        </w:rPr>
        <w:t>分析</w:t>
      </w:r>
      <w:bookmarkEnd w:id="194"/>
    </w:p>
    <w:p>
      <w:pPr>
        <w:ind w:firstLine="480"/>
        <w:rPr>
          <w:color w:val="auto"/>
        </w:rPr>
      </w:pPr>
      <w:r>
        <w:rPr>
          <w:color w:val="auto"/>
        </w:rPr>
        <w:t>本项目施工期主要包括基础工程、主体工程、装饰工程、设备安装等工程建设。在工程建设期，尤其是土建工程阶段，地面施工活动、建筑材料的装运等将对项目所在地周围环境造成一定的破坏和影响，主要包括废气、废水、噪声、固体废物等污染因素对周围环境的影响。在施工过程中，由于土方的挖掘、运输、堆积等，原材料运输等都带来扬尘、噪声等环境污染。挖方过程中产生的弃土在不利气象条件下易造成水土流失。施工期的环境影响主要表现在以下几个方面：</w:t>
      </w:r>
    </w:p>
    <w:p>
      <w:pPr>
        <w:ind w:firstLine="480"/>
        <w:rPr>
          <w:color w:val="auto"/>
        </w:rPr>
      </w:pPr>
      <w:r>
        <w:rPr>
          <w:color w:val="auto"/>
        </w:rPr>
        <w:t>1、施工扬尘、运输车辆产生的扬尘、汽车尾气对周围大气环境的影响；</w:t>
      </w:r>
    </w:p>
    <w:p>
      <w:pPr>
        <w:ind w:firstLine="480"/>
        <w:rPr>
          <w:color w:val="auto"/>
        </w:rPr>
      </w:pPr>
      <w:r>
        <w:rPr>
          <w:color w:val="auto"/>
        </w:rPr>
        <w:t>2、施工人员产生的生活污水、施工废水对环境的影响；</w:t>
      </w:r>
    </w:p>
    <w:p>
      <w:pPr>
        <w:ind w:firstLine="480"/>
        <w:rPr>
          <w:color w:val="auto"/>
        </w:rPr>
      </w:pPr>
      <w:r>
        <w:rPr>
          <w:color w:val="auto"/>
        </w:rPr>
        <w:t>3、施工机械和运输车辆对周围声学环境的影响；</w:t>
      </w:r>
    </w:p>
    <w:p>
      <w:pPr>
        <w:ind w:firstLine="480"/>
        <w:rPr>
          <w:color w:val="auto"/>
        </w:rPr>
      </w:pPr>
      <w:r>
        <w:rPr>
          <w:color w:val="auto"/>
        </w:rPr>
        <w:t>4、施工期建筑垃圾、施工人员的生活垃圾对环境的影响；</w:t>
      </w:r>
    </w:p>
    <w:p>
      <w:pPr>
        <w:ind w:firstLine="480"/>
        <w:rPr>
          <w:color w:val="auto"/>
          <w:sz w:val="20"/>
          <w:szCs w:val="20"/>
        </w:rPr>
      </w:pPr>
      <w:r>
        <w:rPr>
          <w:color w:val="auto"/>
        </w:rPr>
        <w:t>5、施工期土方开挖及占用土地，局部水土流失对生态环境影响。</w:t>
      </w:r>
    </w:p>
    <w:p>
      <w:pPr>
        <w:pStyle w:val="8"/>
        <w:tabs>
          <w:tab w:val="clear" w:pos="0"/>
        </w:tabs>
        <w:rPr>
          <w:rFonts w:eastAsia="黑体"/>
          <w:color w:val="auto"/>
          <w:sz w:val="28"/>
          <w:szCs w:val="28"/>
        </w:rPr>
      </w:pPr>
      <w:r>
        <w:rPr>
          <w:rFonts w:eastAsia="黑体"/>
          <w:color w:val="auto"/>
          <w:sz w:val="28"/>
          <w:szCs w:val="28"/>
        </w:rPr>
        <w:t>施工期大气环境影响分析</w:t>
      </w:r>
    </w:p>
    <w:p>
      <w:pPr>
        <w:ind w:firstLine="480"/>
        <w:rPr>
          <w:color w:val="auto"/>
        </w:rPr>
      </w:pPr>
      <w:bookmarkStart w:id="195" w:name="_Toc393093536"/>
      <w:r>
        <w:rPr>
          <w:color w:val="auto"/>
        </w:rPr>
        <w:t>本项目施工期大气污染物的主要来源为施工扬尘、施工机械运行产生的无组织排放废气以及装修阶段的油漆废气，其中以施工扬尘对空气环境质量的影响最大。在施工过程中，其大气环境影响主要表现在：</w:t>
      </w:r>
    </w:p>
    <w:p>
      <w:pPr>
        <w:ind w:firstLine="480"/>
        <w:rPr>
          <w:color w:val="auto"/>
        </w:rPr>
      </w:pPr>
      <w:r>
        <w:rPr>
          <w:color w:val="auto"/>
        </w:rPr>
        <w:t>（1）基础施工中由于挖方、填方、推土、搬运泥土和水泥、石灰、沙石等材料的装卸、运输过程中有大量扬尘散逸到周围环境空气中；</w:t>
      </w:r>
    </w:p>
    <w:p>
      <w:pPr>
        <w:ind w:firstLine="480"/>
        <w:rPr>
          <w:color w:val="auto"/>
        </w:rPr>
      </w:pPr>
      <w:r>
        <w:rPr>
          <w:color w:val="auto"/>
        </w:rPr>
        <w:t>（2）施工期间，物料堆场由于吹风等原因会引起扬尘污染，尤其是在风速较大或装卸、汽车行驶速度较快的情况下，扬尘的污染尤为严重；</w:t>
      </w:r>
    </w:p>
    <w:p>
      <w:pPr>
        <w:ind w:firstLine="480"/>
        <w:rPr>
          <w:color w:val="auto"/>
        </w:rPr>
      </w:pPr>
      <w:r>
        <w:rPr>
          <w:color w:val="auto"/>
        </w:rPr>
        <w:t>（3）运输施工材料、设施的车辆以及内燃机、打桩机等施工机械在运行时排出的气体污染物将对空气造成危害。</w:t>
      </w:r>
    </w:p>
    <w:p>
      <w:pPr>
        <w:ind w:firstLine="480"/>
        <w:rPr>
          <w:color w:val="auto"/>
        </w:rPr>
      </w:pPr>
      <w:r>
        <w:rPr>
          <w:color w:val="auto"/>
        </w:rPr>
        <w:t>（</w:t>
      </w:r>
      <w:r>
        <w:rPr>
          <w:rFonts w:eastAsia="Arial Unicode MS"/>
          <w:color w:val="auto"/>
        </w:rPr>
        <w:t>4</w:t>
      </w:r>
      <w:r>
        <w:rPr>
          <w:color w:val="auto"/>
        </w:rPr>
        <w:t>）项目在对建筑物的室内外进行装修时（如表面粉刷、油漆、喷涂、裱糊、镶贴装饰等工序）会产生废气。</w:t>
      </w:r>
    </w:p>
    <w:p>
      <w:pPr>
        <w:ind w:firstLine="480"/>
        <w:rPr>
          <w:color w:val="auto"/>
        </w:rPr>
      </w:pPr>
      <w:r>
        <w:rPr>
          <w:color w:val="auto"/>
        </w:rPr>
        <w:t>经综合对比，项目施工过程中的施工扬尘将是大气污染因子中对周边大气环境影响最大的一项，其产生量大、污染面广。</w:t>
      </w:r>
    </w:p>
    <w:p>
      <w:pPr>
        <w:ind w:firstLine="482"/>
        <w:rPr>
          <w:b/>
          <w:color w:val="auto"/>
        </w:rPr>
      </w:pPr>
      <w:r>
        <w:rPr>
          <w:b/>
          <w:color w:val="auto"/>
        </w:rPr>
        <w:t>1、施工扬尘影响分析</w:t>
      </w:r>
    </w:p>
    <w:p>
      <w:pPr>
        <w:ind w:firstLine="480"/>
        <w:rPr>
          <w:color w:val="auto"/>
        </w:rPr>
      </w:pPr>
      <w:r>
        <w:rPr>
          <w:color w:val="auto"/>
        </w:rPr>
        <w:t>工程施工时，在运输车辆行驶、施工垃圾的清理及堆放、人来车往、堆料场装卸材料等均可能产生扬尘。一般情况下，其产生量在有风旱季晴天多于无风和雨季，动态施工多于静态作业。</w:t>
      </w:r>
    </w:p>
    <w:p>
      <w:pPr>
        <w:ind w:firstLine="480"/>
        <w:rPr>
          <w:color w:val="auto"/>
        </w:rPr>
      </w:pPr>
      <w:r>
        <w:rPr>
          <w:color w:val="auto"/>
        </w:rPr>
        <w:t>扬尘污染造成大气中TSP值增高，施工扬尘的起尘量与许多因素有关。影响起尘量的因素包括：施工场地起尘量、进出车辆夹带泥砂量、水泥搬运量以及起尘高度、采取的防护措施、空气湿度、风速等因素有关。据有关调查显示，施工工地的扬尘主要是由运输车辆的行驶产生，约占扬尘总量的60%。由于道路扬尘量与车辆的行驶速度有关，速度越快，扬尘量越大，因此在施工场地对施工车辆必须实施限速行驶，同时施工现场主要运输道路尽量采用硬化路面并定时进行洒水抑尘。</w:t>
      </w:r>
      <w:r>
        <w:rPr>
          <w:rFonts w:hint="eastAsia"/>
          <w:color w:val="auto"/>
        </w:rPr>
        <w:t xml:space="preserve"> </w:t>
      </w:r>
      <w:r>
        <w:rPr>
          <w:color w:val="auto"/>
        </w:rPr>
        <w:t xml:space="preserve"> </w:t>
      </w:r>
    </w:p>
    <w:p>
      <w:pPr>
        <w:ind w:firstLine="480"/>
        <w:rPr>
          <w:color w:val="auto"/>
        </w:rPr>
      </w:pPr>
      <w:r>
        <w:rPr>
          <w:color w:val="auto"/>
        </w:rPr>
        <w:t>根据《中华人民共和国大气污染防治法》、国务院印发的《大气污染防治行动计划》（国发【2013】37号）和《四川省人民政府办公厅关于加强灰霾污染防治的通知》（川办发【2013】32号）精神，施工单位应认真执行《四川省灰霾污染防治办法》（四川省人民政府第77次常务会议通过，自2015年5月1日起实施）、《四川省灰霾污染防治实施方案》中的相关规定。严格落实建设施工工地扬尘整治管理制度。做到“六必须”（必须围档作业、必须硬化道路、必须设置冲洗设施、必须及时洒水作业、必须落实保洁人员、必须定时清扫施工现场）、“六不准”（不准车辆带泥出门、不准运渣车辆冒顶装载、不准高空抛撒建筑垃圾、不准现场搅拌混凝土、不准场地积水、不准现场焚烧废弃物）。</w:t>
      </w:r>
    </w:p>
    <w:p>
      <w:pPr>
        <w:ind w:firstLine="480"/>
        <w:rPr>
          <w:color w:val="auto"/>
        </w:rPr>
      </w:pPr>
      <w:r>
        <w:rPr>
          <w:color w:val="auto"/>
        </w:rPr>
        <w:t>因此，本项目施工时要求施工现场定期对地面洒水、对撒落在路面的渣土及时清除、施工现场主要运输道路尽量采用硬化路面、自卸车、建筑垃圾运输车等运输车辆不允许超载，出场前一律清洗轮胎，用毡布覆盖，并且在施工区出口设置防尘飞扬垫等一系列措施，大大减少了施工扬尘对环境空气的影响。项目在施工过程中必须强化扬尘的控制措施，制定必要的防治措施，以减少施工扬尘对周围环境的影响。</w:t>
      </w:r>
    </w:p>
    <w:p>
      <w:pPr>
        <w:ind w:firstLine="480"/>
        <w:rPr>
          <w:color w:val="auto"/>
        </w:rPr>
      </w:pPr>
      <w:r>
        <w:rPr>
          <w:color w:val="auto"/>
        </w:rPr>
        <w:t>在施工过程中，施工单位必须严格落实本环评提出的扬尘控制措施，有效控制扬尘，使其对周围敏感保护目标的影响降至最低。项目在做到以上扬尘控制措施后，不会对项目周边的大气环境造成明显不利影响。</w:t>
      </w:r>
    </w:p>
    <w:p>
      <w:pPr>
        <w:ind w:firstLine="482"/>
        <w:rPr>
          <w:b/>
          <w:color w:val="auto"/>
        </w:rPr>
      </w:pPr>
      <w:r>
        <w:rPr>
          <w:b/>
          <w:color w:val="auto"/>
        </w:rPr>
        <w:t>2、施工机械废气影响分析</w:t>
      </w:r>
    </w:p>
    <w:p>
      <w:pPr>
        <w:ind w:firstLine="480"/>
        <w:rPr>
          <w:color w:val="auto"/>
        </w:rPr>
      </w:pPr>
      <w:r>
        <w:rPr>
          <w:color w:val="auto"/>
        </w:rPr>
        <w:t>施工期间，使用机动车运送原材料、设备和机械设备的运转，均会排放一定量的 CO、SO</w:t>
      </w:r>
      <w:r>
        <w:rPr>
          <w:color w:val="auto"/>
          <w:vertAlign w:val="subscript"/>
        </w:rPr>
        <w:t>2</w:t>
      </w:r>
      <w:r>
        <w:rPr>
          <w:color w:val="auto"/>
        </w:rPr>
        <w:t>、NOx以及未完全燃烧的THC等，其特点是排放量小、流动性强，且属间断性无组织排放，由于施工场地开阔，扩散条件良好，经自由扩散稀释后能够满足相应的排放标准。在施工期内应多加注意施工设备的维护，使其能够正常的运行，提高设备原料的利用率，不会对项目周边的大气环境造成明显不利影响。</w:t>
      </w:r>
    </w:p>
    <w:p>
      <w:pPr>
        <w:ind w:firstLine="482"/>
        <w:rPr>
          <w:b/>
          <w:color w:val="auto"/>
        </w:rPr>
      </w:pPr>
      <w:r>
        <w:rPr>
          <w:b/>
          <w:color w:val="auto"/>
        </w:rPr>
        <w:t>3、装修废气影响分析</w:t>
      </w:r>
    </w:p>
    <w:p>
      <w:pPr>
        <w:ind w:firstLine="480"/>
        <w:rPr>
          <w:color w:val="auto"/>
        </w:rPr>
      </w:pPr>
      <w:r>
        <w:rPr>
          <w:color w:val="auto"/>
        </w:rPr>
        <w:t>本项目需对构筑物室内进行装修，装饰工程用油漆、涂料等会产生挥发性气体，其主要污染因子为甲苯、二甲苯和甲醛等，属无组织排放。本项目拟采用环保装饰材料，以减少有害废气的排放。在装修期间，应加强室内的通风换气，油漆喷涂结束完成以后，也应每天进行通风换气一至二个月后才能使用，项目运营后也要注意室内空气的流畅。在进行以上防治措施后，再加上项目所在场地扩散条件较好，因此本项目装修施工产生的废气可达标排放。</w:t>
      </w:r>
    </w:p>
    <w:p>
      <w:pPr>
        <w:ind w:firstLine="480"/>
        <w:rPr>
          <w:color w:val="auto"/>
        </w:rPr>
      </w:pPr>
      <w:r>
        <w:rPr>
          <w:color w:val="auto"/>
        </w:rPr>
        <w:t>综上所述，项目施工期将会对项目所在地的环境空气质量造成一定影响，但只要施工单位按照上述要求做好大气污染防治措施，即可以有效降低上述不良影响。此外，上述不良影响随着施工期的结束也会结束，因此，项目施工期结束后，不会对项目所在地环境空气质量造成明显不利影响。</w:t>
      </w:r>
    </w:p>
    <w:bookmarkEnd w:id="195"/>
    <w:p>
      <w:pPr>
        <w:pStyle w:val="8"/>
        <w:tabs>
          <w:tab w:val="clear" w:pos="0"/>
        </w:tabs>
        <w:rPr>
          <w:rFonts w:eastAsia="黑体"/>
          <w:color w:val="auto"/>
          <w:sz w:val="28"/>
          <w:szCs w:val="28"/>
        </w:rPr>
      </w:pPr>
      <w:bookmarkStart w:id="196" w:name="_Toc393093540"/>
      <w:r>
        <w:rPr>
          <w:rFonts w:eastAsia="黑体"/>
          <w:color w:val="auto"/>
          <w:sz w:val="28"/>
          <w:szCs w:val="28"/>
        </w:rPr>
        <w:t>施工期水环境影响分析</w:t>
      </w:r>
      <w:bookmarkEnd w:id="196"/>
    </w:p>
    <w:p>
      <w:pPr>
        <w:ind w:firstLine="480"/>
        <w:rPr>
          <w:color w:val="auto"/>
        </w:rPr>
      </w:pPr>
      <w:r>
        <w:rPr>
          <w:color w:val="auto"/>
        </w:rPr>
        <w:t>施工期产生的废水包括施工人员生活污水、施工作业废水。</w:t>
      </w:r>
    </w:p>
    <w:p>
      <w:pPr>
        <w:ind w:firstLine="482"/>
        <w:rPr>
          <w:b/>
          <w:color w:val="auto"/>
        </w:rPr>
      </w:pPr>
      <w:r>
        <w:rPr>
          <w:b/>
          <w:color w:val="auto"/>
        </w:rPr>
        <w:t>1、生活污水</w:t>
      </w:r>
    </w:p>
    <w:p>
      <w:pPr>
        <w:ind w:firstLine="482"/>
        <w:rPr>
          <w:color w:val="auto"/>
        </w:rPr>
      </w:pPr>
      <w:r>
        <w:rPr>
          <w:color w:val="auto"/>
        </w:rPr>
        <w:t>本项目施工期生活污水主要是施工人员产生的生活污水。根据建设单位提供的数据资料，施工高峰期施工人员约100人，施工人员生活用水以50L/（人·d）计，用水量为5.0m</w:t>
      </w:r>
      <w:r>
        <w:rPr>
          <w:color w:val="auto"/>
          <w:vertAlign w:val="superscript"/>
        </w:rPr>
        <w:t>3</w:t>
      </w:r>
      <w:r>
        <w:rPr>
          <w:color w:val="auto"/>
        </w:rPr>
        <w:t>/d，污水产生量约占用水量的80%，即4.0m</w:t>
      </w:r>
      <w:r>
        <w:rPr>
          <w:color w:val="auto"/>
          <w:vertAlign w:val="superscript"/>
        </w:rPr>
        <w:t>3</w:t>
      </w:r>
      <w:r>
        <w:rPr>
          <w:color w:val="auto"/>
        </w:rPr>
        <w:t>/d。本项目施工期不在场地内设施工营地，施工人员依托周边居民房屋食宿，施工人员生活污水进入</w:t>
      </w:r>
      <w:r>
        <w:rPr>
          <w:rFonts w:hint="eastAsia"/>
          <w:color w:val="auto"/>
          <w:lang w:val="en-US" w:eastAsia="zh-CN"/>
        </w:rPr>
        <w:t>厂区污水处理站</w:t>
      </w:r>
      <w:r>
        <w:rPr>
          <w:color w:val="auto"/>
        </w:rPr>
        <w:t>，经收集处理后</w:t>
      </w:r>
      <w:r>
        <w:rPr>
          <w:rFonts w:hint="eastAsia"/>
          <w:color w:val="auto"/>
          <w:lang w:eastAsia="zh-CN"/>
        </w:rPr>
        <w:t>回用于农田</w:t>
      </w:r>
      <w:r>
        <w:rPr>
          <w:rFonts w:hint="eastAsia"/>
          <w:color w:val="auto"/>
          <w:lang w:val="en-US" w:eastAsia="zh-CN"/>
        </w:rPr>
        <w:t>施肥</w:t>
      </w:r>
      <w:r>
        <w:rPr>
          <w:color w:val="auto"/>
        </w:rPr>
        <w:t>。</w:t>
      </w:r>
    </w:p>
    <w:p>
      <w:pPr>
        <w:ind w:firstLine="482"/>
        <w:rPr>
          <w:b/>
          <w:color w:val="auto"/>
        </w:rPr>
      </w:pPr>
      <w:r>
        <w:rPr>
          <w:b/>
          <w:color w:val="auto"/>
        </w:rPr>
        <w:t>2、施工作业废水</w:t>
      </w:r>
    </w:p>
    <w:p>
      <w:pPr>
        <w:ind w:firstLine="480"/>
        <w:rPr>
          <w:color w:val="auto"/>
        </w:rPr>
      </w:pPr>
      <w:r>
        <w:rPr>
          <w:color w:val="auto"/>
        </w:rPr>
        <w:t>施工阶段产生的施工作业包括施工现场车辆及机械设备清洗、混凝土养护等，废水中含有一定量的油污和泥沙，其中SS浓度可达3000～5000mg/L，石油类可达5～10mg/L；施工废水产生量约为3m</w:t>
      </w:r>
      <w:r>
        <w:rPr>
          <w:color w:val="auto"/>
          <w:vertAlign w:val="superscript"/>
        </w:rPr>
        <w:t>3</w:t>
      </w:r>
      <w:r>
        <w:rPr>
          <w:color w:val="auto"/>
        </w:rPr>
        <w:t>/d，施工场地设1个临时隔油池（1m</w:t>
      </w:r>
      <w:r>
        <w:rPr>
          <w:color w:val="auto"/>
          <w:vertAlign w:val="superscript"/>
        </w:rPr>
        <w:t>3</w:t>
      </w:r>
      <w:r>
        <w:rPr>
          <w:color w:val="auto"/>
        </w:rPr>
        <w:t>）、1 个临时沉淀池（5m</w:t>
      </w:r>
      <w:r>
        <w:rPr>
          <w:color w:val="auto"/>
          <w:vertAlign w:val="superscript"/>
        </w:rPr>
        <w:t>3</w:t>
      </w:r>
      <w:r>
        <w:rPr>
          <w:color w:val="auto"/>
        </w:rPr>
        <w:t>），含SS、石油类的施工废水排入隔油池、沉淀池进行处理后回用于场地洒水降尘，不外排。本项目施工场区面积相对较大，施工场地洒水抑尘、养护需要消耗大量的水，能够完全消纳每天产生的施工作业废水，不外排。</w:t>
      </w:r>
    </w:p>
    <w:p>
      <w:pPr>
        <w:ind w:firstLine="480"/>
        <w:rPr>
          <w:color w:val="auto"/>
        </w:rPr>
      </w:pPr>
      <w:r>
        <w:rPr>
          <w:color w:val="auto"/>
        </w:rPr>
        <w:t>综上所述，项目施工期产生的废水不会对项目所在区域的水环境造成明显不利影响。</w:t>
      </w:r>
    </w:p>
    <w:p>
      <w:pPr>
        <w:pStyle w:val="8"/>
        <w:tabs>
          <w:tab w:val="clear" w:pos="0"/>
        </w:tabs>
        <w:rPr>
          <w:rFonts w:eastAsia="黑体"/>
          <w:color w:val="auto"/>
          <w:sz w:val="28"/>
          <w:szCs w:val="28"/>
        </w:rPr>
      </w:pPr>
      <w:bookmarkStart w:id="197" w:name="_Toc393093543"/>
      <w:r>
        <w:rPr>
          <w:rFonts w:eastAsia="黑体"/>
          <w:color w:val="auto"/>
          <w:sz w:val="28"/>
          <w:szCs w:val="28"/>
        </w:rPr>
        <w:t>施工期声环境影响分析</w:t>
      </w:r>
      <w:bookmarkEnd w:id="197"/>
    </w:p>
    <w:p>
      <w:pPr>
        <w:ind w:firstLine="480"/>
        <w:rPr>
          <w:color w:val="auto"/>
        </w:rPr>
      </w:pPr>
      <w:r>
        <w:rPr>
          <w:color w:val="auto"/>
        </w:rPr>
        <w:t>施工期噪声源主要包括：地基开挖、构筑物砌筑、场地清理和使用施工机械的固定声源噪声以及施工运输车辆的流动噪声声源。经建筑工程施工工地噪声源强类比调查分析，确定拟建项目的噪声影响主要来源于施工现场（场址区内）的声源噪声，这些噪声将对作业人员和场址周围环境造成一定影响。因此现针对施工噪声进行声学环境影响预测分析。</w:t>
      </w:r>
    </w:p>
    <w:p>
      <w:pPr>
        <w:ind w:firstLine="482"/>
        <w:rPr>
          <w:b/>
          <w:color w:val="auto"/>
        </w:rPr>
      </w:pPr>
      <w:r>
        <w:rPr>
          <w:b/>
          <w:color w:val="auto"/>
        </w:rPr>
        <w:t>1</w:t>
      </w:r>
      <w:bookmarkStart w:id="198" w:name="_Toc393093544"/>
      <w:r>
        <w:rPr>
          <w:b/>
          <w:color w:val="auto"/>
        </w:rPr>
        <w:t>、噪声源强</w:t>
      </w:r>
      <w:bookmarkEnd w:id="198"/>
    </w:p>
    <w:p>
      <w:pPr>
        <w:ind w:firstLine="480"/>
        <w:rPr>
          <w:color w:val="auto"/>
        </w:rPr>
      </w:pPr>
      <w:r>
        <w:rPr>
          <w:color w:val="auto"/>
        </w:rPr>
        <w:t>本项目施工期的噪声主要来自于各种施工机械和车辆运输产生的作业噪声，声源强度70~100dB(A)。施工过程中，不同的阶段会使用不同的机械设备，使施工现场产生的噪声具有强度较高、无规则、不连续等特点。其强度与施工机械的功率、工作状态等因素有关。</w:t>
      </w:r>
    </w:p>
    <w:p>
      <w:pPr>
        <w:ind w:firstLine="480"/>
        <w:rPr>
          <w:color w:val="auto"/>
        </w:rPr>
      </w:pPr>
      <w:r>
        <w:rPr>
          <w:color w:val="auto"/>
        </w:rPr>
        <w:t>根据工程施工特点，可以把地面工程的施工期划分为：</w:t>
      </w:r>
      <w:r>
        <w:rPr>
          <w:rFonts w:hint="eastAsia" w:ascii="宋体" w:hAnsi="宋体" w:cs="宋体"/>
          <w:color w:val="auto"/>
        </w:rPr>
        <w:t>①</w:t>
      </w:r>
      <w:r>
        <w:rPr>
          <w:color w:val="auto"/>
        </w:rPr>
        <w:t>土石方开挖阶段；</w:t>
      </w:r>
      <w:r>
        <w:rPr>
          <w:rFonts w:hint="eastAsia" w:ascii="宋体" w:hAnsi="宋体" w:cs="宋体"/>
          <w:color w:val="auto"/>
        </w:rPr>
        <w:t>②</w:t>
      </w:r>
      <w:r>
        <w:rPr>
          <w:color w:val="auto"/>
        </w:rPr>
        <w:t>基础施工阶段；</w:t>
      </w:r>
      <w:r>
        <w:rPr>
          <w:rFonts w:hint="eastAsia" w:ascii="宋体" w:hAnsi="宋体" w:cs="宋体"/>
          <w:color w:val="auto"/>
        </w:rPr>
        <w:t>③</w:t>
      </w:r>
      <w:r>
        <w:rPr>
          <w:color w:val="auto"/>
        </w:rPr>
        <w:t>主体结构施工阶段；各阶段具有独立的特性。第一阶段，主要是推土机、装载机以及各种车辆，大部分为移动声源，一般声功率级为82~95dB（A），没有明显的指向性；第二阶段，噪声源主要是各种打桩机，基本属于固定声源，打桩机系脉冲噪声，一般声功率级为70~105dB（A）左右；第三阶段，主要噪声源为混凝土搅拌机、振捣棒、电锯、电焊机等，其中包含一些敲打声，声功率级一般为80~95dB（A）。施工机械设备噪声源强见表3.4-4。</w:t>
      </w:r>
    </w:p>
    <w:p>
      <w:pPr>
        <w:ind w:firstLine="482"/>
        <w:rPr>
          <w:b/>
          <w:color w:val="auto"/>
        </w:rPr>
      </w:pPr>
      <w:r>
        <w:rPr>
          <w:b/>
          <w:color w:val="auto"/>
        </w:rPr>
        <w:t>2</w:t>
      </w:r>
      <w:bookmarkStart w:id="199" w:name="_Toc393093545"/>
      <w:r>
        <w:rPr>
          <w:b/>
          <w:color w:val="auto"/>
        </w:rPr>
        <w:t>、噪声预测</w:t>
      </w:r>
      <w:bookmarkEnd w:id="199"/>
      <w:r>
        <w:rPr>
          <w:b/>
          <w:color w:val="auto"/>
        </w:rPr>
        <w:t>评价</w:t>
      </w:r>
    </w:p>
    <w:p>
      <w:pPr>
        <w:ind w:firstLine="480"/>
        <w:rPr>
          <w:color w:val="auto"/>
        </w:rPr>
      </w:pPr>
      <w:r>
        <w:rPr>
          <w:color w:val="auto"/>
        </w:rPr>
        <w:t>项目施工机械噪声主要是低频噪声，仅考虑距离衰减值、场界围墙屏障等因素。本次预测采用点声源衰减模式，其预测模式如下：</w:t>
      </w:r>
    </w:p>
    <w:p>
      <w:pPr>
        <w:spacing w:line="240" w:lineRule="auto"/>
        <w:ind w:firstLine="0" w:firstLineChars="0"/>
        <w:jc w:val="center"/>
        <w:rPr>
          <w:color w:val="auto"/>
        </w:rPr>
      </w:pPr>
      <w:r>
        <w:rPr>
          <w:color w:val="auto"/>
          <w:lang/>
        </w:rPr>
        <w:drawing>
          <wp:inline distT="0" distB="0" distL="114300" distR="114300">
            <wp:extent cx="1866900" cy="438150"/>
            <wp:effectExtent l="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63"/>
                    <a:stretch>
                      <a:fillRect/>
                    </a:stretch>
                  </pic:blipFill>
                  <pic:spPr>
                    <a:xfrm>
                      <a:off x="0" y="0"/>
                      <a:ext cx="1866900" cy="438150"/>
                    </a:xfrm>
                    <a:prstGeom prst="rect">
                      <a:avLst/>
                    </a:prstGeom>
                    <a:noFill/>
                    <a:ln>
                      <a:noFill/>
                    </a:ln>
                  </pic:spPr>
                </pic:pic>
              </a:graphicData>
            </a:graphic>
          </wp:inline>
        </w:drawing>
      </w:r>
    </w:p>
    <w:p>
      <w:pPr>
        <w:ind w:firstLine="480"/>
        <w:jc w:val="left"/>
        <w:rPr>
          <w:color w:val="auto"/>
        </w:rPr>
      </w:pPr>
      <w:r>
        <w:rPr>
          <w:color w:val="auto"/>
        </w:rPr>
        <w:t>式中：</w:t>
      </w:r>
      <w:r>
        <w:rPr>
          <w:i/>
          <w:color w:val="auto"/>
        </w:rPr>
        <w:t>LA (r)</w:t>
      </w:r>
      <w:r>
        <w:rPr>
          <w:color w:val="auto"/>
        </w:rPr>
        <w:t>——距离声源</w:t>
      </w:r>
      <w:r>
        <w:rPr>
          <w:i/>
          <w:color w:val="auto"/>
        </w:rPr>
        <w:t>r</w:t>
      </w:r>
      <w:r>
        <w:rPr>
          <w:color w:val="auto"/>
        </w:rPr>
        <w:t>处的A声级，dB(A)；</w:t>
      </w:r>
    </w:p>
    <w:p>
      <w:pPr>
        <w:ind w:firstLine="1200" w:firstLineChars="500"/>
        <w:jc w:val="left"/>
        <w:rPr>
          <w:color w:val="auto"/>
        </w:rPr>
      </w:pPr>
      <w:r>
        <w:rPr>
          <w:i/>
          <w:color w:val="auto"/>
        </w:rPr>
        <w:t>LA (r</w:t>
      </w:r>
      <w:r>
        <w:rPr>
          <w:i/>
          <w:color w:val="auto"/>
          <w:vertAlign w:val="subscript"/>
        </w:rPr>
        <w:t>0</w:t>
      </w:r>
      <w:r>
        <w:rPr>
          <w:i/>
          <w:color w:val="auto"/>
        </w:rPr>
        <w:t>)</w:t>
      </w:r>
      <w:r>
        <w:rPr>
          <w:color w:val="auto"/>
        </w:rPr>
        <w:t>——距声源</w:t>
      </w:r>
      <w:r>
        <w:rPr>
          <w:i/>
          <w:color w:val="auto"/>
        </w:rPr>
        <w:t>r</w:t>
      </w:r>
      <w:r>
        <w:rPr>
          <w:i/>
          <w:color w:val="auto"/>
          <w:vertAlign w:val="subscript"/>
        </w:rPr>
        <w:t>0</w:t>
      </w:r>
      <w:r>
        <w:rPr>
          <w:color w:val="auto"/>
        </w:rPr>
        <w:t xml:space="preserve">处的A声级，dB(A)； </w:t>
      </w:r>
    </w:p>
    <w:p>
      <w:pPr>
        <w:ind w:firstLine="1200" w:firstLineChars="500"/>
        <w:jc w:val="left"/>
        <w:rPr>
          <w:color w:val="auto"/>
        </w:rPr>
      </w:pPr>
      <w:r>
        <w:rPr>
          <w:i/>
          <w:color w:val="auto"/>
        </w:rPr>
        <w:t>r</w:t>
      </w:r>
      <w:r>
        <w:rPr>
          <w:i/>
          <w:color w:val="auto"/>
          <w:vertAlign w:val="subscript"/>
        </w:rPr>
        <w:t>0</w:t>
      </w:r>
      <w:r>
        <w:rPr>
          <w:color w:val="auto"/>
        </w:rPr>
        <w:t>、</w:t>
      </w:r>
      <w:r>
        <w:rPr>
          <w:i/>
          <w:color w:val="auto"/>
        </w:rPr>
        <w:t>r</w:t>
      </w:r>
      <w:r>
        <w:rPr>
          <w:color w:val="auto"/>
        </w:rPr>
        <w:t>——距声源的距离，m；</w:t>
      </w:r>
    </w:p>
    <w:p>
      <w:pPr>
        <w:ind w:firstLine="1200" w:firstLineChars="500"/>
        <w:jc w:val="left"/>
        <w:rPr>
          <w:color w:val="auto"/>
        </w:rPr>
      </w:pPr>
      <w:r>
        <w:rPr>
          <w:i/>
          <w:color w:val="auto"/>
        </w:rPr>
        <w:t>ΔL</w:t>
      </w:r>
      <w:r>
        <w:rPr>
          <w:color w:val="auto"/>
        </w:rPr>
        <w:t>——其他因素引起的噪声衰减量，一般取0~15dB(A)。</w:t>
      </w:r>
    </w:p>
    <w:p>
      <w:pPr>
        <w:ind w:firstLine="480"/>
        <w:rPr>
          <w:color w:val="auto"/>
        </w:rPr>
      </w:pPr>
      <w:r>
        <w:rPr>
          <w:color w:val="auto"/>
        </w:rPr>
        <w:t>由上式预测单个噪声源在评价点的贡献值，再将不同声源在该点的贡献值用对数法叠加，得出多个噪声源对该点噪声的贡献值，采用的模式如下：</w:t>
      </w:r>
    </w:p>
    <w:p>
      <w:pPr>
        <w:spacing w:line="240" w:lineRule="auto"/>
        <w:ind w:firstLine="0" w:firstLineChars="0"/>
        <w:jc w:val="center"/>
        <w:rPr>
          <w:color w:val="auto"/>
        </w:rPr>
      </w:pPr>
      <w:r>
        <w:rPr>
          <w:color w:val="auto"/>
          <w:position w:val="-28"/>
        </w:rPr>
        <w:drawing>
          <wp:inline distT="0" distB="0" distL="114300" distR="114300">
            <wp:extent cx="1388745" cy="485775"/>
            <wp:effectExtent l="0" t="0" r="0" b="8255"/>
            <wp:docPr id="3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3"/>
                    <pic:cNvPicPr>
                      <a:picLocks noChangeAspect="1"/>
                    </pic:cNvPicPr>
                  </pic:nvPicPr>
                  <pic:blipFill>
                    <a:blip r:embed="rId64"/>
                    <a:stretch>
                      <a:fillRect/>
                    </a:stretch>
                  </pic:blipFill>
                  <pic:spPr>
                    <a:xfrm>
                      <a:off x="0" y="0"/>
                      <a:ext cx="1388745" cy="485775"/>
                    </a:xfrm>
                    <a:prstGeom prst="rect">
                      <a:avLst/>
                    </a:prstGeom>
                    <a:noFill/>
                    <a:ln>
                      <a:noFill/>
                    </a:ln>
                  </pic:spPr>
                </pic:pic>
              </a:graphicData>
            </a:graphic>
          </wp:inline>
        </w:drawing>
      </w:r>
    </w:p>
    <w:p>
      <w:pPr>
        <w:ind w:firstLine="480"/>
        <w:jc w:val="left"/>
        <w:rPr>
          <w:color w:val="auto"/>
        </w:rPr>
      </w:pPr>
      <w:r>
        <w:rPr>
          <w:color w:val="auto"/>
        </w:rPr>
        <w:t>式中：</w:t>
      </w:r>
      <w:r>
        <w:rPr>
          <w:i/>
          <w:color w:val="auto"/>
        </w:rPr>
        <w:t>L</w:t>
      </w:r>
      <w:r>
        <w:rPr>
          <w:color w:val="auto"/>
        </w:rPr>
        <w:t>——叠加后总声压级，dB(A)；</w:t>
      </w:r>
    </w:p>
    <w:p>
      <w:pPr>
        <w:ind w:firstLine="1200" w:firstLineChars="500"/>
        <w:jc w:val="left"/>
        <w:rPr>
          <w:color w:val="auto"/>
        </w:rPr>
      </w:pPr>
      <w:r>
        <w:rPr>
          <w:i/>
          <w:color w:val="auto"/>
        </w:rPr>
        <w:t>L</w:t>
      </w:r>
      <w:r>
        <w:rPr>
          <w:i/>
          <w:color w:val="auto"/>
          <w:vertAlign w:val="subscript"/>
        </w:rPr>
        <w:t>i</w:t>
      </w:r>
      <w:r>
        <w:rPr>
          <w:color w:val="auto"/>
        </w:rPr>
        <w:t>——各声源的噪声值，dB(A)；</w:t>
      </w:r>
    </w:p>
    <w:p>
      <w:pPr>
        <w:ind w:firstLine="1200" w:firstLineChars="500"/>
        <w:jc w:val="left"/>
        <w:rPr>
          <w:color w:val="auto"/>
        </w:rPr>
      </w:pPr>
      <w:r>
        <w:rPr>
          <w:i/>
          <w:color w:val="auto"/>
        </w:rPr>
        <w:t>n</w:t>
      </w:r>
      <w:r>
        <w:rPr>
          <w:color w:val="auto"/>
        </w:rPr>
        <w:t>——声源个数。</w:t>
      </w:r>
    </w:p>
    <w:p>
      <w:pPr>
        <w:ind w:firstLine="480"/>
        <w:rPr>
          <w:color w:val="auto"/>
        </w:rPr>
      </w:pPr>
      <w:r>
        <w:rPr>
          <w:color w:val="auto"/>
        </w:rPr>
        <w:t>根据上述公式及项目与周围主要敏感点的距离，可计算出建设项目在施工过程中各种主要噪声源对环境的影响程度，计算单台设备噪声随距离的衰减情况见表5.1-1。</w:t>
      </w:r>
    </w:p>
    <w:p>
      <w:pPr>
        <w:pStyle w:val="166"/>
        <w:spacing w:before="120" w:beforeLines="0"/>
        <w:rPr>
          <w:color w:val="auto"/>
        </w:rPr>
      </w:pPr>
      <w:r>
        <w:rPr>
          <w:color w:val="auto"/>
        </w:rPr>
        <w:t>表5.1-1</w:t>
      </w:r>
      <w:r>
        <w:rPr>
          <w:rFonts w:hint="eastAsia"/>
          <w:color w:val="auto"/>
          <w:lang w:val="en-US" w:eastAsia="zh-CN"/>
        </w:rPr>
        <w:t xml:space="preserve"> </w:t>
      </w:r>
      <w:r>
        <w:rPr>
          <w:color w:val="auto"/>
        </w:rPr>
        <w:t>单台设备运转噪声辐射值计算表  单位：dB（A）</w:t>
      </w:r>
    </w:p>
    <w:tbl>
      <w:tblPr>
        <w:tblStyle w:val="51"/>
        <w:tblW w:w="0" w:type="auto"/>
        <w:tblInd w:w="0" w:type="dxa"/>
        <w:tblLayout w:type="fixed"/>
        <w:tblCellMar>
          <w:top w:w="0" w:type="dxa"/>
          <w:left w:w="0" w:type="dxa"/>
          <w:bottom w:w="0" w:type="dxa"/>
          <w:right w:w="0" w:type="dxa"/>
        </w:tblCellMar>
      </w:tblPr>
      <w:tblGrid>
        <w:gridCol w:w="1491"/>
        <w:gridCol w:w="1180"/>
        <w:gridCol w:w="873"/>
        <w:gridCol w:w="875"/>
        <w:gridCol w:w="873"/>
        <w:gridCol w:w="875"/>
        <w:gridCol w:w="873"/>
        <w:gridCol w:w="875"/>
        <w:gridCol w:w="872"/>
      </w:tblGrid>
      <w:tr>
        <w:tblPrEx>
          <w:tblCellMar>
            <w:top w:w="0" w:type="dxa"/>
            <w:left w:w="0" w:type="dxa"/>
            <w:bottom w:w="0" w:type="dxa"/>
            <w:right w:w="0" w:type="dxa"/>
          </w:tblCellMar>
        </w:tblPrEx>
        <w:trPr>
          <w:wBefore w:w="0" w:type="dxa"/>
          <w:wAfter w:w="0" w:type="dxa"/>
          <w:trHeight w:val="340" w:hRule="atLeast"/>
        </w:trPr>
        <w:tc>
          <w:tcPr>
            <w:tcW w:w="1491" w:type="dxa"/>
            <w:vMerge w:val="restart"/>
            <w:tcBorders>
              <w:top w:val="single" w:color="auto" w:sz="12" w:space="0"/>
              <w:left w:val="nil"/>
              <w:bottom w:val="single" w:color="000000" w:sz="4" w:space="0"/>
              <w:right w:val="single" w:color="000000" w:sz="4" w:space="0"/>
            </w:tcBorders>
            <w:noWrap w:val="0"/>
            <w:vAlign w:val="center"/>
          </w:tcPr>
          <w:p>
            <w:pPr>
              <w:pStyle w:val="332"/>
              <w:kinsoku w:val="0"/>
              <w:overflowPunct w:val="0"/>
              <w:ind w:right="1"/>
              <w:jc w:val="center"/>
              <w:rPr>
                <w:b/>
                <w:bCs/>
                <w:color w:val="auto"/>
                <w:sz w:val="20"/>
                <w:szCs w:val="20"/>
              </w:rPr>
            </w:pPr>
            <w:r>
              <w:rPr>
                <w:b/>
                <w:bCs/>
                <w:color w:val="auto"/>
                <w:sz w:val="20"/>
                <w:szCs w:val="20"/>
              </w:rPr>
              <w:t>设备名称</w:t>
            </w:r>
          </w:p>
        </w:tc>
        <w:tc>
          <w:tcPr>
            <w:tcW w:w="1180" w:type="dxa"/>
            <w:vMerge w:val="restart"/>
            <w:tcBorders>
              <w:top w:val="single" w:color="auto" w:sz="12" w:space="0"/>
              <w:left w:val="single" w:color="000000" w:sz="4" w:space="0"/>
              <w:bottom w:val="single" w:color="000000" w:sz="4" w:space="0"/>
              <w:right w:val="single" w:color="000000" w:sz="4" w:space="0"/>
            </w:tcBorders>
            <w:noWrap w:val="0"/>
            <w:vAlign w:val="center"/>
          </w:tcPr>
          <w:p>
            <w:pPr>
              <w:pStyle w:val="332"/>
              <w:kinsoku w:val="0"/>
              <w:overflowPunct w:val="0"/>
              <w:ind w:right="1"/>
              <w:jc w:val="center"/>
              <w:rPr>
                <w:b/>
                <w:bCs/>
                <w:color w:val="auto"/>
                <w:sz w:val="20"/>
                <w:szCs w:val="20"/>
              </w:rPr>
            </w:pPr>
            <w:r>
              <w:rPr>
                <w:b/>
                <w:bCs/>
                <w:color w:val="auto"/>
                <w:sz w:val="20"/>
                <w:szCs w:val="20"/>
              </w:rPr>
              <w:t>声级测值距离声源</w:t>
            </w:r>
          </w:p>
        </w:tc>
        <w:tc>
          <w:tcPr>
            <w:tcW w:w="6116" w:type="dxa"/>
            <w:gridSpan w:val="7"/>
            <w:tcBorders>
              <w:top w:val="single" w:color="auto" w:sz="12" w:space="0"/>
              <w:left w:val="single" w:color="000000" w:sz="4" w:space="0"/>
              <w:bottom w:val="single" w:color="000000" w:sz="4" w:space="0"/>
              <w:right w:val="nil"/>
            </w:tcBorders>
            <w:noWrap w:val="0"/>
            <w:vAlign w:val="center"/>
          </w:tcPr>
          <w:p>
            <w:pPr>
              <w:pStyle w:val="332"/>
              <w:kinsoku w:val="0"/>
              <w:overflowPunct w:val="0"/>
              <w:ind w:right="1"/>
              <w:jc w:val="center"/>
              <w:rPr>
                <w:color w:val="auto"/>
                <w:sz w:val="20"/>
                <w:szCs w:val="20"/>
              </w:rPr>
            </w:pPr>
            <w:r>
              <w:rPr>
                <w:b/>
                <w:bCs/>
                <w:color w:val="auto"/>
                <w:sz w:val="20"/>
                <w:szCs w:val="20"/>
              </w:rPr>
              <w:t>距离（m）</w:t>
            </w:r>
          </w:p>
        </w:tc>
      </w:tr>
      <w:tr>
        <w:tblPrEx>
          <w:tblCellMar>
            <w:top w:w="0" w:type="dxa"/>
            <w:left w:w="0" w:type="dxa"/>
            <w:bottom w:w="0" w:type="dxa"/>
            <w:right w:w="0" w:type="dxa"/>
          </w:tblCellMar>
        </w:tblPrEx>
        <w:trPr>
          <w:wBefore w:w="0" w:type="dxa"/>
          <w:wAfter w:w="0" w:type="dxa"/>
          <w:trHeight w:val="340" w:hRule="atLeast"/>
        </w:trPr>
        <w:tc>
          <w:tcPr>
            <w:tcW w:w="1491" w:type="dxa"/>
            <w:vMerge w:val="continue"/>
            <w:tcBorders>
              <w:top w:val="single" w:color="000000" w:sz="10" w:space="0"/>
              <w:left w:val="nil"/>
              <w:bottom w:val="single" w:color="000000" w:sz="4" w:space="0"/>
              <w:right w:val="single" w:color="000000" w:sz="4" w:space="0"/>
            </w:tcBorders>
            <w:noWrap w:val="0"/>
            <w:vAlign w:val="center"/>
          </w:tcPr>
          <w:p>
            <w:pPr>
              <w:pStyle w:val="332"/>
              <w:kinsoku w:val="0"/>
              <w:overflowPunct w:val="0"/>
              <w:ind w:right="1"/>
              <w:jc w:val="center"/>
              <w:rPr>
                <w:color w:val="auto"/>
                <w:sz w:val="20"/>
                <w:szCs w:val="20"/>
              </w:rPr>
            </w:pPr>
          </w:p>
        </w:tc>
        <w:tc>
          <w:tcPr>
            <w:tcW w:w="1180" w:type="dxa"/>
            <w:vMerge w:val="continue"/>
            <w:tcBorders>
              <w:top w:val="single" w:color="000000" w:sz="10" w:space="0"/>
              <w:left w:val="single" w:color="000000" w:sz="4" w:space="0"/>
              <w:bottom w:val="single" w:color="000000" w:sz="4" w:space="0"/>
              <w:right w:val="single" w:color="000000" w:sz="4" w:space="0"/>
            </w:tcBorders>
            <w:noWrap w:val="0"/>
            <w:vAlign w:val="center"/>
          </w:tcPr>
          <w:p>
            <w:pPr>
              <w:pStyle w:val="332"/>
              <w:kinsoku w:val="0"/>
              <w:overflowPunct w:val="0"/>
              <w:ind w:right="1"/>
              <w:jc w:val="center"/>
              <w:rPr>
                <w:color w:val="auto"/>
                <w:sz w:val="20"/>
                <w:szCs w:val="20"/>
              </w:rPr>
            </w:pP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b/>
                <w:bCs/>
                <w:color w:val="auto"/>
                <w:sz w:val="20"/>
                <w:szCs w:val="20"/>
              </w:rPr>
              <w:t>10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b/>
                <w:bCs/>
                <w:color w:val="auto"/>
                <w:sz w:val="20"/>
                <w:szCs w:val="20"/>
              </w:rPr>
              <w:t>20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b/>
                <w:bCs/>
                <w:color w:val="auto"/>
                <w:sz w:val="20"/>
                <w:szCs w:val="20"/>
              </w:rPr>
              <w:t>40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b/>
                <w:bCs/>
                <w:color w:val="auto"/>
                <w:sz w:val="20"/>
                <w:szCs w:val="20"/>
              </w:rPr>
              <w:t>50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ind w:right="1"/>
              <w:jc w:val="center"/>
              <w:rPr>
                <w:color w:val="auto"/>
                <w:sz w:val="20"/>
                <w:szCs w:val="20"/>
              </w:rPr>
            </w:pPr>
            <w:r>
              <w:rPr>
                <w:b/>
                <w:bCs/>
                <w:color w:val="auto"/>
                <w:sz w:val="20"/>
                <w:szCs w:val="20"/>
              </w:rPr>
              <w:t>60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b/>
                <w:bCs/>
                <w:color w:val="auto"/>
                <w:sz w:val="20"/>
                <w:szCs w:val="20"/>
              </w:rPr>
              <w:t>100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b/>
                <w:bCs/>
                <w:color w:val="auto"/>
                <w:sz w:val="20"/>
                <w:szCs w:val="20"/>
              </w:rPr>
              <w:t>200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液压挖掘机</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44.0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挖掘机</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86</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66</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60.0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53.9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52.0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50.4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46</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40.0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轮式装载机</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95</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75</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68.9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63.9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61.0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59.4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55</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49.0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推土机</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88</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68</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61.9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55.9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52.4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48</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41.9</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各类压路机</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44.0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重型运输车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44.0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木工电锯</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72.9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66.9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65.0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63.4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59</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52.9</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电锤</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100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80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73.9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53.9</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振动夯锤</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100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80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73.9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53.9</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混凝土输送泵</w:t>
            </w:r>
          </w:p>
        </w:tc>
        <w:tc>
          <w:tcPr>
            <w:tcW w:w="1180"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95</w:t>
            </w:r>
          </w:p>
        </w:tc>
        <w:tc>
          <w:tcPr>
            <w:tcW w:w="873"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75</w:t>
            </w:r>
          </w:p>
        </w:tc>
        <w:tc>
          <w:tcPr>
            <w:tcW w:w="875"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68.9</w:t>
            </w:r>
          </w:p>
        </w:tc>
        <w:tc>
          <w:tcPr>
            <w:tcW w:w="873"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63.9</w:t>
            </w:r>
          </w:p>
        </w:tc>
        <w:tc>
          <w:tcPr>
            <w:tcW w:w="875"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61.0</w:t>
            </w:r>
          </w:p>
        </w:tc>
        <w:tc>
          <w:tcPr>
            <w:tcW w:w="873"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59.4</w:t>
            </w:r>
          </w:p>
        </w:tc>
        <w:tc>
          <w:tcPr>
            <w:tcW w:w="875" w:type="dxa"/>
            <w:tcBorders>
              <w:top w:val="single" w:color="000000" w:sz="4" w:space="0"/>
              <w:left w:val="single" w:color="000000" w:sz="4" w:space="0"/>
              <w:bottom w:val="single" w:color="000000" w:sz="10"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55</w:t>
            </w:r>
          </w:p>
        </w:tc>
        <w:tc>
          <w:tcPr>
            <w:tcW w:w="872" w:type="dxa"/>
            <w:tcBorders>
              <w:top w:val="single" w:color="000000" w:sz="4" w:space="0"/>
              <w:left w:val="single" w:color="000000" w:sz="4" w:space="0"/>
              <w:bottom w:val="single" w:color="000000" w:sz="10" w:space="0"/>
              <w:right w:val="nil"/>
            </w:tcBorders>
            <w:noWrap w:val="0"/>
            <w:vAlign w:val="center"/>
          </w:tcPr>
          <w:p>
            <w:pPr>
              <w:pStyle w:val="332"/>
              <w:kinsoku w:val="0"/>
              <w:overflowPunct w:val="0"/>
              <w:jc w:val="center"/>
              <w:rPr>
                <w:color w:val="auto"/>
                <w:sz w:val="20"/>
                <w:szCs w:val="20"/>
              </w:rPr>
            </w:pPr>
            <w:r>
              <w:rPr>
                <w:color w:val="auto"/>
                <w:sz w:val="20"/>
                <w:szCs w:val="20"/>
              </w:rPr>
              <w:t>49.0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商砼运输车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70</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57.9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56.0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50</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44.0</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混凝土振捣器</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88</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68</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61.9</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55.9</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54.0</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52.4</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48</w:t>
            </w:r>
          </w:p>
        </w:tc>
        <w:tc>
          <w:tcPr>
            <w:tcW w:w="872" w:type="dxa"/>
            <w:tcBorders>
              <w:top w:val="single" w:color="000000" w:sz="4" w:space="0"/>
              <w:left w:val="single" w:color="000000" w:sz="4" w:space="0"/>
              <w:bottom w:val="single" w:color="000000" w:sz="4" w:space="0"/>
              <w:right w:val="nil"/>
            </w:tcBorders>
            <w:noWrap w:val="0"/>
            <w:vAlign w:val="center"/>
          </w:tcPr>
          <w:p>
            <w:pPr>
              <w:pStyle w:val="332"/>
              <w:kinsoku w:val="0"/>
              <w:overflowPunct w:val="0"/>
              <w:jc w:val="center"/>
              <w:rPr>
                <w:color w:val="auto"/>
                <w:sz w:val="20"/>
                <w:szCs w:val="20"/>
              </w:rPr>
            </w:pPr>
            <w:r>
              <w:rPr>
                <w:color w:val="auto"/>
                <w:sz w:val="20"/>
                <w:szCs w:val="20"/>
              </w:rPr>
              <w:t>41.9</w:t>
            </w:r>
          </w:p>
        </w:tc>
      </w:tr>
      <w:tr>
        <w:tblPrEx>
          <w:tblCellMar>
            <w:top w:w="0" w:type="dxa"/>
            <w:left w:w="0" w:type="dxa"/>
            <w:bottom w:w="0" w:type="dxa"/>
            <w:right w:w="0" w:type="dxa"/>
          </w:tblCellMar>
        </w:tblPrEx>
        <w:trPr>
          <w:wBefore w:w="0" w:type="dxa"/>
          <w:wAfter w:w="0" w:type="dxa"/>
          <w:trHeight w:val="340" w:hRule="atLeast"/>
        </w:trPr>
        <w:tc>
          <w:tcPr>
            <w:tcW w:w="1491" w:type="dxa"/>
            <w:tcBorders>
              <w:top w:val="single" w:color="000000" w:sz="4" w:space="0"/>
              <w:left w:val="nil"/>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空压机</w:t>
            </w:r>
          </w:p>
        </w:tc>
        <w:tc>
          <w:tcPr>
            <w:tcW w:w="1180"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92</w:t>
            </w:r>
          </w:p>
        </w:tc>
        <w:tc>
          <w:tcPr>
            <w:tcW w:w="873"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72</w:t>
            </w:r>
          </w:p>
        </w:tc>
        <w:tc>
          <w:tcPr>
            <w:tcW w:w="875"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65.9</w:t>
            </w:r>
          </w:p>
        </w:tc>
        <w:tc>
          <w:tcPr>
            <w:tcW w:w="873"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59.9</w:t>
            </w:r>
          </w:p>
        </w:tc>
        <w:tc>
          <w:tcPr>
            <w:tcW w:w="875"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58.0</w:t>
            </w:r>
          </w:p>
        </w:tc>
        <w:tc>
          <w:tcPr>
            <w:tcW w:w="873"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56.4</w:t>
            </w:r>
          </w:p>
        </w:tc>
        <w:tc>
          <w:tcPr>
            <w:tcW w:w="875" w:type="dxa"/>
            <w:tcBorders>
              <w:top w:val="single" w:color="000000" w:sz="4" w:space="0"/>
              <w:left w:val="single" w:color="000000" w:sz="4" w:space="0"/>
              <w:bottom w:val="single" w:color="auto" w:sz="12" w:space="0"/>
              <w:right w:val="single" w:color="000000" w:sz="4" w:space="0"/>
            </w:tcBorders>
            <w:noWrap w:val="0"/>
            <w:vAlign w:val="center"/>
          </w:tcPr>
          <w:p>
            <w:pPr>
              <w:pStyle w:val="332"/>
              <w:kinsoku w:val="0"/>
              <w:overflowPunct w:val="0"/>
              <w:jc w:val="center"/>
              <w:rPr>
                <w:color w:val="auto"/>
                <w:sz w:val="20"/>
                <w:szCs w:val="20"/>
              </w:rPr>
            </w:pPr>
            <w:r>
              <w:rPr>
                <w:color w:val="auto"/>
                <w:sz w:val="20"/>
                <w:szCs w:val="20"/>
              </w:rPr>
              <w:t>52</w:t>
            </w:r>
          </w:p>
        </w:tc>
        <w:tc>
          <w:tcPr>
            <w:tcW w:w="872" w:type="dxa"/>
            <w:tcBorders>
              <w:top w:val="single" w:color="000000" w:sz="4" w:space="0"/>
              <w:left w:val="single" w:color="000000" w:sz="4" w:space="0"/>
              <w:bottom w:val="single" w:color="auto" w:sz="12" w:space="0"/>
              <w:right w:val="nil"/>
            </w:tcBorders>
            <w:noWrap w:val="0"/>
            <w:vAlign w:val="center"/>
          </w:tcPr>
          <w:p>
            <w:pPr>
              <w:pStyle w:val="332"/>
              <w:kinsoku w:val="0"/>
              <w:overflowPunct w:val="0"/>
              <w:jc w:val="center"/>
              <w:rPr>
                <w:color w:val="auto"/>
                <w:sz w:val="20"/>
                <w:szCs w:val="20"/>
              </w:rPr>
            </w:pPr>
            <w:r>
              <w:rPr>
                <w:color w:val="auto"/>
                <w:sz w:val="20"/>
                <w:szCs w:val="20"/>
              </w:rPr>
              <w:t>45.9</w:t>
            </w:r>
          </w:p>
        </w:tc>
      </w:tr>
    </w:tbl>
    <w:p>
      <w:pPr>
        <w:spacing w:before="120" w:beforeLines="50"/>
        <w:ind w:firstLine="480"/>
        <w:rPr>
          <w:color w:val="auto"/>
        </w:rPr>
      </w:pPr>
      <w:r>
        <w:rPr>
          <w:color w:val="auto"/>
        </w:rPr>
        <w:t>从表5.1-1可知，单台施工机械噪声昼间在距施工场地约40m处满足《建筑施工场界环境噪声排放标准》（GB12523-2011）规定的标准要求。由于高噪声机械设备施工只在昼间进行，且施工期是暂时的，噪声属不连续排放。因此施工期间噪声值可满足《建筑施工场界环境噪声排放标准》（GB12523-2011）标准的要求，施工噪声可实现达标排放。本项目猪舍等建筑物周边200m范围内无居民等敏感点，因此施工期噪声对周围居民影响不大。</w:t>
      </w:r>
    </w:p>
    <w:p>
      <w:pPr>
        <w:ind w:firstLine="480"/>
        <w:rPr>
          <w:color w:val="auto"/>
        </w:rPr>
      </w:pPr>
      <w:r>
        <w:rPr>
          <w:color w:val="auto"/>
        </w:rPr>
        <w:t>为了进一步减小施工期噪声的影响，环评要求合理布设固定源机械（如空压机），尽量布置于远离居民点，在场地四周设置施工围挡（1.8m高），加强施工期环境管理，在此条件下施工噪声不会对周围声环境敏感点带来不利影响，不会改变施工场地周边声功能区划。材料运输安排在白天进行，在经过村庄时采取限速、禁鸣等措施，在此前提下，运输车辆产生的噪声不会改变沿线声功能区划。在采取相关噪声治理措施后，施工期产生的噪声贡献值较小，不会对周围敏感点产生明显影响。</w:t>
      </w:r>
    </w:p>
    <w:p>
      <w:pPr>
        <w:ind w:firstLine="480"/>
        <w:rPr>
          <w:color w:val="auto"/>
        </w:rPr>
      </w:pPr>
      <w:r>
        <w:rPr>
          <w:color w:val="auto"/>
        </w:rPr>
        <w:t>综上所述，施工单位和建设单位应严格执行《建筑施工场界环境噪声排放标准》（GB12523-2011）标准，加强施工过程的管理，制定合理的施工作业计划，合理布局施工以及安排施工作业时间，将噪声级大的施工作业尽可能安排在白天进行，并从管理上采取措施；将有固定工作地点的施工机械设置在距敏感点较远的位置上，以降低施工噪声对环境的影响。</w:t>
      </w:r>
    </w:p>
    <w:p>
      <w:pPr>
        <w:pStyle w:val="8"/>
        <w:tabs>
          <w:tab w:val="clear" w:pos="0"/>
        </w:tabs>
        <w:rPr>
          <w:rFonts w:eastAsia="黑体"/>
          <w:color w:val="auto"/>
          <w:sz w:val="28"/>
          <w:szCs w:val="28"/>
        </w:rPr>
      </w:pPr>
      <w:bookmarkStart w:id="200" w:name="_Toc393093548"/>
      <w:r>
        <w:rPr>
          <w:rFonts w:eastAsia="黑体"/>
          <w:color w:val="auto"/>
          <w:sz w:val="28"/>
          <w:szCs w:val="28"/>
        </w:rPr>
        <w:t>施工期固废环境影响分析</w:t>
      </w:r>
      <w:bookmarkEnd w:id="200"/>
    </w:p>
    <w:p>
      <w:pPr>
        <w:ind w:firstLine="480"/>
        <w:rPr>
          <w:color w:val="auto"/>
        </w:rPr>
      </w:pPr>
      <w:r>
        <w:rPr>
          <w:color w:val="auto"/>
        </w:rPr>
        <w:t>本项目施工期产生的固体废弃物主要为施工人员产生的生活垃圾和各种建筑垃圾等。</w:t>
      </w:r>
    </w:p>
    <w:p>
      <w:pPr>
        <w:ind w:firstLine="482"/>
        <w:rPr>
          <w:b/>
          <w:color w:val="auto"/>
        </w:rPr>
      </w:pPr>
      <w:r>
        <w:rPr>
          <w:b/>
          <w:color w:val="auto"/>
        </w:rPr>
        <w:t>1</w:t>
      </w:r>
      <w:bookmarkStart w:id="201" w:name="_Toc393093549"/>
      <w:r>
        <w:rPr>
          <w:b/>
          <w:color w:val="auto"/>
        </w:rPr>
        <w:t>、生活垃圾</w:t>
      </w:r>
      <w:bookmarkEnd w:id="201"/>
    </w:p>
    <w:p>
      <w:pPr>
        <w:ind w:firstLine="480"/>
        <w:rPr>
          <w:color w:val="auto"/>
        </w:rPr>
      </w:pPr>
      <w:r>
        <w:rPr>
          <w:color w:val="auto"/>
        </w:rPr>
        <w:t>本项目施工高峰期施工人员约100人，生活垃圾按0.5kg/d·人计，产生量为 50kg/d。施工人员每日产生的生活垃圾应经过袋装收集后，交由当地环卫部门统一清运处置，不会对区域环境质量构成潜在的影响因素。</w:t>
      </w:r>
    </w:p>
    <w:p>
      <w:pPr>
        <w:ind w:firstLine="482"/>
        <w:rPr>
          <w:b/>
          <w:color w:val="auto"/>
        </w:rPr>
      </w:pPr>
      <w:r>
        <w:rPr>
          <w:b/>
          <w:color w:val="auto"/>
        </w:rPr>
        <w:t>2</w:t>
      </w:r>
      <w:bookmarkStart w:id="202" w:name="_Toc393093550"/>
      <w:r>
        <w:rPr>
          <w:b/>
          <w:color w:val="auto"/>
        </w:rPr>
        <w:t>、建筑</w:t>
      </w:r>
      <w:bookmarkEnd w:id="202"/>
      <w:r>
        <w:rPr>
          <w:b/>
          <w:color w:val="auto"/>
        </w:rPr>
        <w:t>垃圾</w:t>
      </w:r>
    </w:p>
    <w:p>
      <w:pPr>
        <w:ind w:firstLine="480"/>
        <w:rPr>
          <w:color w:val="auto"/>
          <w:kern w:val="0"/>
        </w:rPr>
      </w:pPr>
      <w:r>
        <w:rPr>
          <w:color w:val="auto"/>
        </w:rPr>
        <w:t>施工过程中产生的砂土、石块、水泥、碎木料、锯木屑、废金属、钢筋、铁丝、土石方等建筑垃圾约</w:t>
      </w:r>
      <w:r>
        <w:rPr>
          <w:rFonts w:hint="eastAsia"/>
          <w:color w:val="auto"/>
          <w:lang w:val="en-US" w:eastAsia="zh-CN"/>
        </w:rPr>
        <w:t>30</w:t>
      </w:r>
      <w:r>
        <w:rPr>
          <w:color w:val="auto"/>
        </w:rPr>
        <w:t>t，施工单位必须加强管理，集中收集。建筑垃圾中废金属、废钢筋、废铁丝、废砖块、废木料等应尽量回收利用，其他不能回收利用的建筑垃圾清运至当地管理部门指定的受纳场地堆放，严禁乱倾乱倒。建筑施工单位在建设项目竣工后，应随即清理、清运完建筑垃圾。</w:t>
      </w:r>
    </w:p>
    <w:p>
      <w:pPr>
        <w:ind w:firstLine="482"/>
        <w:rPr>
          <w:b/>
          <w:color w:val="auto"/>
        </w:rPr>
      </w:pPr>
      <w:r>
        <w:rPr>
          <w:b/>
          <w:color w:val="auto"/>
        </w:rPr>
        <w:t>3、弃土弃渣</w:t>
      </w:r>
    </w:p>
    <w:p>
      <w:pPr>
        <w:ind w:firstLine="480"/>
        <w:rPr>
          <w:color w:val="auto"/>
        </w:rPr>
      </w:pPr>
      <w:r>
        <w:rPr>
          <w:color w:val="auto"/>
        </w:rPr>
        <w:t>根据主体工程设计资料，项目挖方量（主要包括猪舍基础开挖、环保处理设施基坑开挖</w:t>
      </w:r>
      <w:r>
        <w:rPr>
          <w:rFonts w:hint="eastAsia"/>
          <w:color w:val="auto"/>
          <w:lang w:eastAsia="zh-CN"/>
        </w:rPr>
        <w:t>、</w:t>
      </w:r>
      <w:r>
        <w:rPr>
          <w:color w:val="auto"/>
        </w:rPr>
        <w:t>基坑开挖等）约为</w:t>
      </w:r>
      <w:r>
        <w:rPr>
          <w:rFonts w:hint="eastAsia"/>
          <w:color w:val="auto"/>
          <w:lang w:val="en-US" w:eastAsia="zh-CN"/>
        </w:rPr>
        <w:t>3000</w:t>
      </w:r>
      <w:r>
        <w:rPr>
          <w:color w:val="auto"/>
        </w:rPr>
        <w:t>m</w:t>
      </w:r>
      <w:r>
        <w:rPr>
          <w:color w:val="auto"/>
          <w:vertAlign w:val="superscript"/>
        </w:rPr>
        <w:t>3</w:t>
      </w:r>
      <w:r>
        <w:rPr>
          <w:color w:val="auto"/>
        </w:rPr>
        <w:t>，填方量（场地低处平整、厂区硬化区土地压实、绿化区需要的表土）约为</w:t>
      </w:r>
      <w:r>
        <w:rPr>
          <w:rFonts w:hint="eastAsia"/>
          <w:color w:val="auto"/>
          <w:lang w:val="en-US" w:eastAsia="zh-CN"/>
        </w:rPr>
        <w:t>2000</w:t>
      </w:r>
      <w:r>
        <w:rPr>
          <w:color w:val="auto"/>
        </w:rPr>
        <w:t>m</w:t>
      </w:r>
      <w:r>
        <w:rPr>
          <w:color w:val="auto"/>
          <w:vertAlign w:val="superscript"/>
        </w:rPr>
        <w:t>3</w:t>
      </w:r>
      <w:r>
        <w:rPr>
          <w:color w:val="auto"/>
        </w:rPr>
        <w:t>，剩余土方量（主要为表土）约为</w:t>
      </w:r>
      <w:r>
        <w:rPr>
          <w:rFonts w:hint="eastAsia"/>
          <w:color w:val="auto"/>
          <w:lang w:val="en-US" w:eastAsia="zh-CN"/>
        </w:rPr>
        <w:t>1000</w:t>
      </w:r>
      <w:r>
        <w:rPr>
          <w:color w:val="auto"/>
        </w:rPr>
        <w:t>m</w:t>
      </w:r>
      <w:r>
        <w:rPr>
          <w:color w:val="auto"/>
          <w:vertAlign w:val="superscript"/>
        </w:rPr>
        <w:t>3</w:t>
      </w:r>
      <w:r>
        <w:rPr>
          <w:color w:val="auto"/>
        </w:rPr>
        <w:t>，用作修建周边道路绿化覆土、本项目绿化工程的填方及绿化覆土及周边农田整治覆土。工程不产生弃土，不设置弃土场。</w:t>
      </w:r>
    </w:p>
    <w:p>
      <w:pPr>
        <w:ind w:firstLine="480"/>
        <w:rPr>
          <w:color w:val="auto"/>
        </w:rPr>
      </w:pPr>
      <w:r>
        <w:rPr>
          <w:color w:val="auto"/>
        </w:rPr>
        <w:t>综上所述，项目施工期在严格落实上述措施后，其施工期的固体废弃物可得到有效处理和处置，不会造成二次污染。施工结束后，即可基本消除，影响区域的各环境要素基本得以恢复。</w:t>
      </w:r>
    </w:p>
    <w:p>
      <w:pPr>
        <w:pStyle w:val="8"/>
        <w:tabs>
          <w:tab w:val="clear" w:pos="0"/>
        </w:tabs>
        <w:rPr>
          <w:color w:val="auto"/>
        </w:rPr>
      </w:pPr>
      <w:r>
        <w:rPr>
          <w:rFonts w:eastAsia="黑体"/>
          <w:color w:val="auto"/>
          <w:sz w:val="28"/>
          <w:szCs w:val="28"/>
        </w:rPr>
        <w:t>施工期生态环境影响分析</w:t>
      </w:r>
    </w:p>
    <w:p>
      <w:pPr>
        <w:ind w:firstLine="480"/>
        <w:rPr>
          <w:color w:val="auto"/>
          <w:kern w:val="0"/>
        </w:rPr>
      </w:pPr>
      <w:r>
        <w:rPr>
          <w:color w:val="auto"/>
          <w:kern w:val="0"/>
        </w:rPr>
        <w:t>项目</w:t>
      </w:r>
      <w:r>
        <w:rPr>
          <w:color w:val="auto"/>
        </w:rPr>
        <w:t>用地现状为耕地和</w:t>
      </w:r>
      <w:r>
        <w:rPr>
          <w:rFonts w:hint="eastAsia"/>
          <w:color w:val="auto"/>
          <w:lang w:val="en-US" w:eastAsia="zh-CN"/>
        </w:rPr>
        <w:t>园地</w:t>
      </w:r>
      <w:r>
        <w:rPr>
          <w:color w:val="auto"/>
        </w:rPr>
        <w:t>，</w:t>
      </w:r>
      <w:r>
        <w:rPr>
          <w:color w:val="auto"/>
          <w:kern w:val="0"/>
        </w:rPr>
        <w:t>项目建设过程中将影响项目区内动植物生存环境、农村生态环境，改变区域土地利用现状，引发水土流失等。</w:t>
      </w:r>
    </w:p>
    <w:p>
      <w:pPr>
        <w:ind w:firstLine="482"/>
        <w:rPr>
          <w:b/>
          <w:color w:val="auto"/>
          <w:kern w:val="0"/>
        </w:rPr>
      </w:pPr>
      <w:r>
        <w:rPr>
          <w:b/>
          <w:color w:val="auto"/>
          <w:kern w:val="0"/>
        </w:rPr>
        <w:t>1、水土流失</w:t>
      </w:r>
    </w:p>
    <w:p>
      <w:pPr>
        <w:ind w:firstLine="480"/>
        <w:rPr>
          <w:color w:val="auto"/>
          <w:kern w:val="0"/>
        </w:rPr>
      </w:pPr>
      <w:r>
        <w:rPr>
          <w:color w:val="auto"/>
          <w:kern w:val="0"/>
        </w:rPr>
        <w:t>工程的建设将会损坏原有的地形、地貌和植被，建设过程中的施工活动扰动了原有的土地结构，致使土体抗侵蚀能力降低，同时由于开挖量大，增大了风蚀和水蚀的强度。此外，由于项目地形、地貌和施工条件，有可能产生施工临时堆土，临时堆土场堆土若高度大、坡度陡，遇暴雨有可能产生比较严重的水土流失。</w:t>
      </w:r>
    </w:p>
    <w:p>
      <w:pPr>
        <w:ind w:firstLine="480"/>
        <w:rPr>
          <w:color w:val="auto"/>
          <w:kern w:val="0"/>
        </w:rPr>
      </w:pPr>
      <w:r>
        <w:rPr>
          <w:rFonts w:hint="eastAsia"/>
          <w:color w:val="auto"/>
          <w:kern w:val="0"/>
        </w:rPr>
        <w:t>本环评要求施工单位采取以下措施防止水土流失：</w:t>
      </w:r>
    </w:p>
    <w:p>
      <w:pPr>
        <w:ind w:firstLine="480"/>
        <w:rPr>
          <w:color w:val="auto"/>
          <w:kern w:val="0"/>
        </w:rPr>
      </w:pPr>
      <w:r>
        <w:rPr>
          <w:rFonts w:hint="eastAsia"/>
          <w:color w:val="auto"/>
          <w:kern w:val="0"/>
        </w:rPr>
        <w:t>（1）施工期土建工程应尽量避开雨季，以使水土流失量控制在最低限度，并严格按照《中华人民共和国水土保持法》等有关法律法规以及当地有关部门的要求进行施工。</w:t>
      </w:r>
    </w:p>
    <w:p>
      <w:pPr>
        <w:ind w:firstLine="480"/>
        <w:rPr>
          <w:rFonts w:hint="eastAsia"/>
          <w:color w:val="auto"/>
          <w:kern w:val="0"/>
        </w:rPr>
      </w:pPr>
      <w:r>
        <w:rPr>
          <w:rFonts w:hint="eastAsia"/>
          <w:color w:val="auto"/>
          <w:kern w:val="0"/>
        </w:rPr>
        <w:t>（2）对开挖后的裸露坡地，需盖上覆盖物，避免降雨时的水流直接冲刷。</w:t>
      </w:r>
    </w:p>
    <w:p>
      <w:pPr>
        <w:ind w:firstLine="480"/>
        <w:rPr>
          <w:rFonts w:hint="eastAsia"/>
          <w:color w:val="auto"/>
          <w:kern w:val="0"/>
        </w:rPr>
      </w:pPr>
      <w:r>
        <w:rPr>
          <w:rFonts w:hint="eastAsia"/>
          <w:color w:val="auto"/>
          <w:kern w:val="0"/>
        </w:rPr>
        <w:t>（3）减缓推松的土壤边坡坡度，及早将松土压实。</w:t>
      </w:r>
    </w:p>
    <w:p>
      <w:pPr>
        <w:ind w:firstLine="480"/>
        <w:rPr>
          <w:color w:val="auto"/>
          <w:kern w:val="0"/>
        </w:rPr>
      </w:pPr>
      <w:r>
        <w:rPr>
          <w:rFonts w:hint="eastAsia"/>
          <w:color w:val="auto"/>
          <w:kern w:val="0"/>
        </w:rPr>
        <w:t>（4）在施工场地及施工周边地面坡度较大的区域，需修建临时的档桩，还要及时修筑石块水泥护坡与挡砂墙，采用工程措施使坡地得以巩固，以防止道路与建筑物边坡产主滑坡与水土流失。</w:t>
      </w:r>
    </w:p>
    <w:p>
      <w:pPr>
        <w:ind w:firstLine="480"/>
        <w:rPr>
          <w:rFonts w:hint="eastAsia"/>
          <w:color w:val="auto"/>
          <w:kern w:val="0"/>
        </w:rPr>
      </w:pPr>
      <w:r>
        <w:rPr>
          <w:rFonts w:hint="eastAsia"/>
          <w:color w:val="auto"/>
          <w:kern w:val="0"/>
        </w:rPr>
        <w:t>（5）削坡到位时即行植草、铺护坡，严禁开挖坡度较大的区域。</w:t>
      </w:r>
    </w:p>
    <w:p>
      <w:pPr>
        <w:ind w:firstLine="480"/>
        <w:rPr>
          <w:rFonts w:hint="eastAsia"/>
          <w:color w:val="auto"/>
          <w:kern w:val="0"/>
        </w:rPr>
      </w:pPr>
      <w:r>
        <w:rPr>
          <w:rFonts w:hint="eastAsia"/>
          <w:color w:val="auto"/>
          <w:kern w:val="0"/>
        </w:rPr>
        <w:t>（6）在低洼处修建截水沟和沉砂池，使降雨径流中的砂土经沉淀后再向外排放，并及时清理沉淀池。</w:t>
      </w:r>
    </w:p>
    <w:p>
      <w:pPr>
        <w:ind w:firstLine="480"/>
        <w:rPr>
          <w:rFonts w:hint="eastAsia"/>
          <w:color w:val="auto"/>
          <w:kern w:val="0"/>
        </w:rPr>
      </w:pPr>
      <w:r>
        <w:rPr>
          <w:rFonts w:hint="eastAsia"/>
          <w:color w:val="auto"/>
          <w:kern w:val="0"/>
        </w:rPr>
        <w:t>（7）为减少雨季水土流失和生态景观影响。在挖方和填方时，要建好护坡墙或采取其它有效措施，防止塌方和水土流失：在土方工程完成后，应加强绿化工作，尽快规划绿地和各种裸露地面绿化工作，恢复绿化，使生态景观得到好转。</w:t>
      </w:r>
    </w:p>
    <w:p>
      <w:pPr>
        <w:ind w:firstLine="480"/>
        <w:rPr>
          <w:color w:val="auto"/>
          <w:kern w:val="0"/>
        </w:rPr>
      </w:pPr>
      <w:r>
        <w:rPr>
          <w:rFonts w:hint="eastAsia"/>
          <w:color w:val="auto"/>
          <w:kern w:val="0"/>
        </w:rPr>
        <w:t>（8）建设单位应对施工过程及施工完毕影响区域的水土保持有足够的重视，落实建设资金，做到按计划有步骤地进行水土流失的防治，确保开发建设区域良好的自然生态环境不受水土流失的严重影响。</w:t>
      </w:r>
      <w:r>
        <w:rPr>
          <w:color w:val="auto"/>
          <w:kern w:val="0"/>
        </w:rPr>
        <w:t>。</w:t>
      </w:r>
    </w:p>
    <w:p>
      <w:pPr>
        <w:ind w:firstLine="482"/>
        <w:rPr>
          <w:b/>
          <w:color w:val="auto"/>
          <w:kern w:val="0"/>
        </w:rPr>
      </w:pPr>
      <w:r>
        <w:rPr>
          <w:b/>
          <w:color w:val="auto"/>
          <w:kern w:val="0"/>
        </w:rPr>
        <w:t>2、植被影响分析</w:t>
      </w:r>
    </w:p>
    <w:p>
      <w:pPr>
        <w:ind w:firstLine="480"/>
        <w:rPr>
          <w:color w:val="auto"/>
          <w:kern w:val="0"/>
        </w:rPr>
      </w:pPr>
      <w:r>
        <w:rPr>
          <w:color w:val="auto"/>
          <w:kern w:val="0"/>
        </w:rPr>
        <w:t>工程占地对植被的影响，主要影响因素包括项目建构筑物、设备的修建、绿化工程占地及施工人员、施工机械对地表的践踏等。</w:t>
      </w:r>
    </w:p>
    <w:p>
      <w:pPr>
        <w:ind w:firstLine="480"/>
        <w:rPr>
          <w:color w:val="auto"/>
          <w:kern w:val="0"/>
        </w:rPr>
      </w:pPr>
      <w:r>
        <w:rPr>
          <w:color w:val="auto"/>
          <w:kern w:val="0"/>
        </w:rPr>
        <w:t>项目</w:t>
      </w:r>
      <w:r>
        <w:rPr>
          <w:color w:val="auto"/>
        </w:rPr>
        <w:t>用地面积为</w:t>
      </w:r>
      <w:r>
        <w:rPr>
          <w:rFonts w:hint="eastAsia"/>
          <w:color w:val="auto"/>
          <w:lang w:val="en-US" w:eastAsia="zh-CN"/>
        </w:rPr>
        <w:t>38.57</w:t>
      </w:r>
      <w:r>
        <w:rPr>
          <w:rFonts w:hint="eastAsia"/>
          <w:color w:val="auto"/>
        </w:rPr>
        <w:t>亩</w:t>
      </w:r>
      <w:r>
        <w:rPr>
          <w:color w:val="auto"/>
        </w:rPr>
        <w:t>，</w:t>
      </w:r>
      <w:r>
        <w:rPr>
          <w:color w:val="auto"/>
          <w:kern w:val="0"/>
        </w:rPr>
        <w:t>主要为耕地及</w:t>
      </w:r>
      <w:r>
        <w:rPr>
          <w:rFonts w:hint="eastAsia"/>
          <w:color w:val="auto"/>
          <w:kern w:val="0"/>
          <w:lang w:val="en-US" w:eastAsia="zh-CN"/>
        </w:rPr>
        <w:t>园地</w:t>
      </w:r>
      <w:r>
        <w:rPr>
          <w:color w:val="auto"/>
          <w:kern w:val="0"/>
        </w:rPr>
        <w:t>，土地占用主要为农作物的减少。根据调查，项目施工区域无珍稀名贵植物。除工程建筑和道路不同程度的占地外，其余地表基本绿化。项目占地面积相对于所在区域比例较小，区域雨水丰富，气候适宜，破坏植被通过补偿措施容易恢复；项目建设开发强度不大，施工人员、施工机械对地表的践踏程度较轻，在1~2年后即可恢复。因此，本项目施工期对植被不会产生大的影响。</w:t>
      </w:r>
    </w:p>
    <w:p>
      <w:pPr>
        <w:ind w:firstLine="482"/>
        <w:rPr>
          <w:b/>
          <w:color w:val="auto"/>
          <w:kern w:val="0"/>
        </w:rPr>
      </w:pPr>
      <w:r>
        <w:rPr>
          <w:b/>
          <w:color w:val="auto"/>
          <w:kern w:val="0"/>
        </w:rPr>
        <w:t>3、野生动物影响分析</w:t>
      </w:r>
    </w:p>
    <w:p>
      <w:pPr>
        <w:ind w:firstLine="480"/>
        <w:rPr>
          <w:color w:val="auto"/>
          <w:kern w:val="0"/>
        </w:rPr>
      </w:pPr>
      <w:r>
        <w:rPr>
          <w:color w:val="auto"/>
          <w:kern w:val="0"/>
        </w:rPr>
        <w:t>施工期对野生动物的主要影响因素为车辆运输、工程建设等施工行为可能影响野生动物的栖息环境。施工期间，施工队伍生活污水收集处理、生活垃圾等定点收集清运，不会对周围环境及野生动物产生明显不利影响。</w:t>
      </w:r>
    </w:p>
    <w:p>
      <w:pPr>
        <w:ind w:firstLine="480"/>
        <w:rPr>
          <w:color w:val="auto"/>
          <w:kern w:val="0"/>
        </w:rPr>
      </w:pPr>
      <w:r>
        <w:rPr>
          <w:color w:val="auto"/>
          <w:kern w:val="0"/>
        </w:rPr>
        <w:t>根据现状调查，评价区为农业生态系统，人类扰动较大，无珍稀濒危野生保护动物分布，区域内仅有鼠类、蛇类等广布种动物，不具有较大保护价值。因此，只要加强对施工人员的监督和环保意识的宣传，工程对区域内野生动物不会产生较大影响。</w:t>
      </w:r>
    </w:p>
    <w:p>
      <w:pPr>
        <w:ind w:firstLine="480"/>
        <w:rPr>
          <w:color w:val="auto"/>
          <w:kern w:val="0"/>
        </w:rPr>
      </w:pPr>
      <w:r>
        <w:rPr>
          <w:color w:val="auto"/>
          <w:kern w:val="0"/>
        </w:rPr>
        <w:t>综上所述，通过采取上述措施后，大大减少了因施工造成的水土流失，对生态环境的影响也降低到了最低。因此，本工程施工期不会对所在区域生态环境造成明显不利影响。</w:t>
      </w:r>
    </w:p>
    <w:p>
      <w:pPr>
        <w:ind w:firstLine="482"/>
        <w:rPr>
          <w:b/>
          <w:color w:val="auto"/>
        </w:rPr>
      </w:pPr>
      <w:r>
        <w:rPr>
          <w:b/>
          <w:color w:val="auto"/>
        </w:rPr>
        <w:t>综上，项目施工期的影响是暂时的，在施工结束后影响区域的各环境要素基本都可以得到恢复。需认真制定和落实施工期应采取的环保措施，只要施工单位做到文明施工并加强施工人员的环境保护安全意识教育，工程施工的环境影响问题可得到有效控制或消除，可使其对环境的影响降至最小程度。</w:t>
      </w:r>
    </w:p>
    <w:p>
      <w:pPr>
        <w:pStyle w:val="7"/>
        <w:rPr>
          <w:rFonts w:eastAsia="黑体"/>
          <w:color w:val="auto"/>
          <w:sz w:val="32"/>
        </w:rPr>
      </w:pPr>
      <w:bookmarkStart w:id="203" w:name="_Toc436035692"/>
      <w:bookmarkStart w:id="204" w:name="_Toc9347"/>
      <w:r>
        <w:rPr>
          <w:rFonts w:eastAsia="黑体"/>
          <w:color w:val="auto"/>
          <w:sz w:val="32"/>
        </w:rPr>
        <w:t>运营期环境影响</w:t>
      </w:r>
      <w:bookmarkEnd w:id="203"/>
      <w:r>
        <w:rPr>
          <w:rFonts w:eastAsia="黑体"/>
          <w:color w:val="auto"/>
          <w:sz w:val="32"/>
        </w:rPr>
        <w:t>预测与评价</w:t>
      </w:r>
      <w:bookmarkEnd w:id="204"/>
    </w:p>
    <w:p>
      <w:pPr>
        <w:pStyle w:val="8"/>
        <w:tabs>
          <w:tab w:val="clear" w:pos="0"/>
        </w:tabs>
        <w:rPr>
          <w:rFonts w:eastAsia="黑体"/>
          <w:color w:val="auto"/>
          <w:sz w:val="28"/>
          <w:szCs w:val="28"/>
        </w:rPr>
      </w:pPr>
      <w:r>
        <w:rPr>
          <w:rFonts w:eastAsia="黑体"/>
          <w:color w:val="auto"/>
          <w:sz w:val="28"/>
          <w:szCs w:val="28"/>
        </w:rPr>
        <w:t>地表水环境影响分析</w:t>
      </w:r>
    </w:p>
    <w:p>
      <w:pPr>
        <w:pStyle w:val="9"/>
        <w:spacing w:before="120" w:beforeLines="50"/>
        <w:rPr>
          <w:color w:val="auto"/>
        </w:rPr>
      </w:pPr>
      <w:r>
        <w:rPr>
          <w:color w:val="auto"/>
        </w:rPr>
        <w:t>水污染控制和水环境影响减缓措施有效性评价</w:t>
      </w:r>
    </w:p>
    <w:p>
      <w:pPr>
        <w:ind w:firstLine="480"/>
        <w:rPr>
          <w:rFonts w:hint="eastAsia"/>
          <w:color w:val="auto"/>
        </w:rPr>
      </w:pPr>
      <w:r>
        <w:rPr>
          <w:rFonts w:hint="eastAsia"/>
          <w:color w:val="auto"/>
        </w:rPr>
        <w:t>本项目运行过程水污染源主要为养殖污废水，根据《环境影响评价技术导则地面水环境》（HJ2.3-2018），本次地表水环境影响评价为水污染影响型。</w:t>
      </w:r>
    </w:p>
    <w:p>
      <w:pPr>
        <w:ind w:firstLine="480"/>
        <w:rPr>
          <w:rFonts w:hint="eastAsia"/>
          <w:color w:val="auto"/>
        </w:rPr>
      </w:pPr>
      <w:r>
        <w:rPr>
          <w:rFonts w:hint="eastAsia"/>
          <w:color w:val="auto"/>
        </w:rPr>
        <w:t>水污染影响型建设项目根据排放方式和废水排放量划分评价等级，本项目所有污废水经过厌氧发酵之后，在施肥季节农肥利用，非施肥季节或者雨季则暂存于</w:t>
      </w:r>
      <w:r>
        <w:rPr>
          <w:rFonts w:hint="eastAsia"/>
          <w:color w:val="auto"/>
          <w:lang w:eastAsia="zh-CN"/>
        </w:rPr>
        <w:t>沼液暂存池</w:t>
      </w:r>
      <w:r>
        <w:rPr>
          <w:rFonts w:hint="eastAsia"/>
          <w:color w:val="auto"/>
        </w:rPr>
        <w:t>内。本项目污废水不外排，全部采取资源化利用的方式消耗掉。</w:t>
      </w:r>
    </w:p>
    <w:p>
      <w:pPr>
        <w:ind w:firstLine="480"/>
        <w:rPr>
          <w:color w:val="auto"/>
        </w:rPr>
      </w:pPr>
      <w:r>
        <w:rPr>
          <w:rFonts w:hint="eastAsia"/>
          <w:color w:val="auto"/>
        </w:rPr>
        <w:t>根据《环境影响评价技术导则 地面水环境》</w:t>
      </w:r>
      <w:r>
        <w:rPr>
          <w:rFonts w:hint="eastAsia" w:ascii="宋体" w:hAnsi="宋体"/>
          <w:color w:val="auto"/>
        </w:rPr>
        <w:t>(</w:t>
      </w:r>
      <w:r>
        <w:rPr>
          <w:rFonts w:hint="eastAsia"/>
          <w:color w:val="auto"/>
        </w:rPr>
        <w:t>HJ2.3-2018</w:t>
      </w:r>
      <w:r>
        <w:rPr>
          <w:rFonts w:hint="eastAsia" w:ascii="宋体" w:hAnsi="宋体"/>
          <w:color w:val="auto"/>
        </w:rPr>
        <w:t>)</w:t>
      </w:r>
      <w:r>
        <w:rPr>
          <w:rFonts w:hint="eastAsia"/>
          <w:color w:val="auto"/>
        </w:rPr>
        <w:t>，本次项目地表水评价等级为三级B，仅进行水污染控制和水环境影响减缓措施有效性评价。</w:t>
      </w:r>
    </w:p>
    <w:p>
      <w:pPr>
        <w:pStyle w:val="9"/>
        <w:spacing w:before="120" w:beforeLines="50"/>
        <w:rPr>
          <w:color w:val="auto"/>
        </w:rPr>
      </w:pPr>
      <w:r>
        <w:rPr>
          <w:color w:val="auto"/>
        </w:rPr>
        <w:t>项目污水处理设施的环境可行性评价</w:t>
      </w:r>
    </w:p>
    <w:p>
      <w:pPr>
        <w:ind w:firstLine="480"/>
        <w:rPr>
          <w:rFonts w:hint="eastAsia"/>
          <w:bCs/>
          <w:color w:val="auto"/>
        </w:rPr>
      </w:pPr>
      <w:r>
        <w:rPr>
          <w:rFonts w:hint="eastAsia"/>
          <w:bCs/>
          <w:color w:val="auto"/>
        </w:rPr>
        <w:t>（1）沼液作为农田施肥的可行性分析</w:t>
      </w:r>
    </w:p>
    <w:p>
      <w:pPr>
        <w:ind w:firstLine="480"/>
        <w:rPr>
          <w:rFonts w:hint="eastAsia"/>
          <w:bCs/>
          <w:color w:val="auto"/>
          <w:sz w:val="24"/>
          <w:szCs w:val="24"/>
        </w:rPr>
      </w:pPr>
      <w:r>
        <w:rPr>
          <w:rFonts w:hint="eastAsia"/>
          <w:bCs/>
          <w:color w:val="auto"/>
        </w:rPr>
        <w:t>养猪项目主要排放污水是猪尿、</w:t>
      </w:r>
      <w:r>
        <w:rPr>
          <w:rFonts w:hint="eastAsia"/>
          <w:bCs/>
          <w:color w:val="auto"/>
          <w:lang w:val="en-US" w:eastAsia="zh-CN"/>
        </w:rPr>
        <w:t>猪粪脱水、</w:t>
      </w:r>
      <w:r>
        <w:rPr>
          <w:rFonts w:hint="eastAsia"/>
          <w:bCs/>
          <w:color w:val="auto"/>
        </w:rPr>
        <w:t>猪舍冲洗废水、生活污水，沼液产生量为</w:t>
      </w:r>
      <w:r>
        <w:rPr>
          <w:rFonts w:hint="eastAsia"/>
          <w:bCs/>
          <w:color w:val="auto"/>
          <w:lang w:val="en-US" w:eastAsia="zh-CN"/>
        </w:rPr>
        <w:t>1</w:t>
      </w:r>
      <w:r>
        <w:rPr>
          <w:rFonts w:hint="eastAsia"/>
          <w:bCs/>
          <w:color w:val="auto"/>
          <w:lang w:val="en-US" w:eastAsia="zh-CN"/>
        </w:rPr>
        <w:t>0827.58</w:t>
      </w:r>
      <w:r>
        <w:rPr>
          <w:rFonts w:hint="eastAsia"/>
          <w:bCs/>
          <w:color w:val="auto"/>
        </w:rPr>
        <w:t>t/a，经厌氧发酵后为无有毒有害物质。沼肥是沼气发酵的残余物，含有较全面的养分和丰富的有机质，是具有改良土壤功效的优质有机肥料。沼肥中含有一定的氮、磷、钾等元素</w:t>
      </w:r>
      <w:r>
        <w:rPr>
          <w:rFonts w:hint="eastAsia"/>
          <w:bCs/>
          <w:color w:val="auto"/>
          <w:sz w:val="24"/>
          <w:szCs w:val="24"/>
        </w:rPr>
        <w:t>，而且还含有钙、镁、锰等多种微量元素，对农作物的生长是有利的。将经沼气发酵处理后用于施肥，可以节省大量化肥，提高作物产量，还可以改善土壤的物理化学性质，提高土壤肥力，有利于农作物的生长，节约水资源，减少污染物排放量，为“一举两得”的措施。</w:t>
      </w:r>
    </w:p>
    <w:p>
      <w:pPr>
        <w:ind w:firstLine="480"/>
        <w:rPr>
          <w:rFonts w:hint="eastAsia"/>
          <w:bCs/>
          <w:color w:val="auto"/>
          <w:sz w:val="24"/>
          <w:szCs w:val="24"/>
        </w:rPr>
      </w:pPr>
      <w:r>
        <w:rPr>
          <w:rFonts w:hint="eastAsia"/>
          <w:bCs/>
          <w:color w:val="auto"/>
          <w:sz w:val="24"/>
          <w:szCs w:val="24"/>
        </w:rPr>
        <w:t>（2）地域环境条件分析</w:t>
      </w:r>
    </w:p>
    <w:p>
      <w:pPr>
        <w:ind w:firstLine="480"/>
        <w:rPr>
          <w:bCs/>
          <w:color w:val="auto"/>
          <w:sz w:val="24"/>
          <w:szCs w:val="24"/>
        </w:rPr>
      </w:pPr>
      <w:r>
        <w:rPr>
          <w:rFonts w:hint="eastAsia"/>
          <w:bCs/>
          <w:color w:val="auto"/>
          <w:sz w:val="24"/>
          <w:szCs w:val="24"/>
        </w:rPr>
        <w:t>本项目采用种养结合生态循环农业模式，项目周边配套有大量果园、农田，可以消纳本项目产生的沼液，目前企业已与周边农户签订了沼液供应协议，周边约可提供约</w:t>
      </w:r>
      <w:r>
        <w:rPr>
          <w:color w:val="auto"/>
          <w:kern w:val="0"/>
          <w:sz w:val="24"/>
          <w:szCs w:val="24"/>
        </w:rPr>
        <w:t>2</w:t>
      </w:r>
      <w:r>
        <w:rPr>
          <w:rFonts w:hint="eastAsia"/>
          <w:color w:val="auto"/>
          <w:kern w:val="0"/>
          <w:sz w:val="24"/>
          <w:szCs w:val="24"/>
          <w:lang w:val="en-US" w:eastAsia="zh-CN"/>
        </w:rPr>
        <w:t>7</w:t>
      </w:r>
      <w:r>
        <w:rPr>
          <w:color w:val="auto"/>
          <w:kern w:val="0"/>
          <w:sz w:val="24"/>
          <w:szCs w:val="24"/>
        </w:rPr>
        <w:t>00</w:t>
      </w:r>
      <w:r>
        <w:rPr>
          <w:rFonts w:hint="eastAsia"/>
          <w:bCs/>
          <w:color w:val="auto"/>
          <w:sz w:val="24"/>
          <w:szCs w:val="24"/>
        </w:rPr>
        <w:t xml:space="preserve">亩农田消纳本项目沼液。 </w:t>
      </w:r>
    </w:p>
    <w:p>
      <w:pPr>
        <w:widowControl/>
        <w:ind w:firstLine="480"/>
        <w:rPr>
          <w:color w:val="auto"/>
          <w:sz w:val="24"/>
          <w:szCs w:val="24"/>
        </w:rPr>
      </w:pPr>
      <w:r>
        <w:rPr>
          <w:rFonts w:hint="eastAsia"/>
          <w:color w:val="auto"/>
          <w:kern w:val="0"/>
          <w:sz w:val="24"/>
          <w:szCs w:val="24"/>
        </w:rPr>
        <w:t>（3）</w:t>
      </w:r>
      <w:r>
        <w:rPr>
          <w:rFonts w:hint="eastAsia"/>
          <w:color w:val="auto"/>
          <w:sz w:val="24"/>
          <w:szCs w:val="24"/>
        </w:rPr>
        <w:t>项目设计污水处理能力可行性</w:t>
      </w:r>
    </w:p>
    <w:p>
      <w:pPr>
        <w:adjustRightInd w:val="0"/>
        <w:snapToGrid w:val="0"/>
        <w:ind w:firstLine="480"/>
        <w:rPr>
          <w:color w:val="auto"/>
          <w:sz w:val="24"/>
          <w:szCs w:val="24"/>
        </w:rPr>
      </w:pPr>
      <w:r>
        <w:rPr>
          <w:rFonts w:hint="eastAsia"/>
          <w:color w:val="auto"/>
          <w:sz w:val="24"/>
          <w:szCs w:val="24"/>
        </w:rPr>
        <w:t>根据工程分析可知，本项目</w:t>
      </w:r>
      <w:r>
        <w:rPr>
          <w:rFonts w:hint="eastAsia"/>
          <w:color w:val="auto"/>
          <w:sz w:val="24"/>
          <w:szCs w:val="24"/>
          <w:lang w:eastAsia="zh-CN"/>
        </w:rPr>
        <w:t>养猪场</w:t>
      </w:r>
      <w:r>
        <w:rPr>
          <w:rFonts w:hint="eastAsia"/>
          <w:color w:val="auto"/>
          <w:sz w:val="24"/>
          <w:szCs w:val="24"/>
        </w:rPr>
        <w:t>运营期废水产生总量</w:t>
      </w:r>
      <w:r>
        <w:rPr>
          <w:rFonts w:hint="eastAsia"/>
          <w:color w:val="auto"/>
          <w:sz w:val="24"/>
          <w:szCs w:val="24"/>
        </w:rPr>
        <w:fldChar w:fldCharType="begin"/>
      </w:r>
      <w:r>
        <w:rPr>
          <w:rFonts w:hint="eastAsia"/>
          <w:color w:val="auto"/>
          <w:sz w:val="24"/>
          <w:szCs w:val="24"/>
        </w:rPr>
        <w:instrText xml:space="preserve"> = SUM（ABOVE） \* MERGEFORMAT </w:instrText>
      </w:r>
      <w:r>
        <w:rPr>
          <w:rFonts w:hint="eastAsia"/>
          <w:color w:val="auto"/>
          <w:sz w:val="24"/>
          <w:szCs w:val="24"/>
        </w:rPr>
        <w:fldChar w:fldCharType="separate"/>
      </w:r>
      <w:r>
        <w:rPr>
          <w:rFonts w:hint="eastAsia"/>
          <w:color w:val="auto"/>
          <w:sz w:val="24"/>
          <w:szCs w:val="24"/>
        </w:rPr>
        <w:t>30.063</w:t>
      </w:r>
      <w:r>
        <w:rPr>
          <w:rFonts w:hint="eastAsia"/>
          <w:color w:val="auto"/>
          <w:sz w:val="24"/>
          <w:szCs w:val="24"/>
        </w:rPr>
        <w:fldChar w:fldCharType="end"/>
      </w:r>
      <w:r>
        <w:rPr>
          <w:rFonts w:hint="eastAsia"/>
          <w:color w:val="auto"/>
          <w:sz w:val="24"/>
          <w:szCs w:val="24"/>
        </w:rPr>
        <w:t>m</w:t>
      </w:r>
      <w:r>
        <w:rPr>
          <w:rFonts w:hint="eastAsia"/>
          <w:color w:val="auto"/>
          <w:sz w:val="24"/>
          <w:szCs w:val="24"/>
          <w:vertAlign w:val="superscript"/>
        </w:rPr>
        <w:t>3</w:t>
      </w:r>
      <w:r>
        <w:rPr>
          <w:rFonts w:hint="eastAsia"/>
          <w:color w:val="auto"/>
          <w:sz w:val="24"/>
          <w:szCs w:val="24"/>
        </w:rPr>
        <w:t>/d，拟建黑膜沼气池容积为</w:t>
      </w:r>
      <w:r>
        <w:rPr>
          <w:rFonts w:hint="eastAsia"/>
          <w:color w:val="auto"/>
          <w:sz w:val="24"/>
          <w:szCs w:val="24"/>
          <w:lang w:val="en-US" w:eastAsia="zh-CN"/>
        </w:rPr>
        <w:t>1500</w:t>
      </w:r>
      <w:r>
        <w:rPr>
          <w:rFonts w:hint="eastAsia"/>
          <w:color w:val="auto"/>
          <w:sz w:val="24"/>
          <w:szCs w:val="24"/>
        </w:rPr>
        <w:t>m</w:t>
      </w:r>
      <w:r>
        <w:rPr>
          <w:rFonts w:hint="eastAsia"/>
          <w:color w:val="auto"/>
          <w:sz w:val="24"/>
          <w:szCs w:val="24"/>
          <w:vertAlign w:val="superscript"/>
        </w:rPr>
        <w:t>3</w:t>
      </w:r>
      <w:r>
        <w:rPr>
          <w:rFonts w:hint="eastAsia"/>
          <w:color w:val="auto"/>
          <w:sz w:val="24"/>
          <w:szCs w:val="24"/>
        </w:rPr>
        <w:t>，能满足项目废水处理规模。</w:t>
      </w:r>
    </w:p>
    <w:p>
      <w:pPr>
        <w:adjustRightInd w:val="0"/>
        <w:snapToGrid w:val="0"/>
        <w:ind w:firstLine="480"/>
        <w:rPr>
          <w:color w:val="auto"/>
          <w:sz w:val="24"/>
          <w:szCs w:val="24"/>
        </w:rPr>
      </w:pPr>
      <w:r>
        <w:rPr>
          <w:rFonts w:hint="eastAsia"/>
          <w:color w:val="auto"/>
          <w:sz w:val="24"/>
          <w:szCs w:val="24"/>
        </w:rPr>
        <w:t>（4）</w:t>
      </w:r>
      <w:r>
        <w:rPr>
          <w:color w:val="auto"/>
          <w:sz w:val="24"/>
          <w:szCs w:val="24"/>
        </w:rPr>
        <w:t>处理工艺的可行性</w:t>
      </w:r>
    </w:p>
    <w:p>
      <w:pPr>
        <w:adjustRightInd w:val="0"/>
        <w:snapToGrid w:val="0"/>
        <w:ind w:firstLine="480"/>
        <w:rPr>
          <w:color w:val="auto"/>
          <w:sz w:val="24"/>
          <w:szCs w:val="24"/>
        </w:rPr>
      </w:pPr>
      <w:r>
        <w:rPr>
          <w:rFonts w:hint="eastAsia"/>
          <w:color w:val="auto"/>
          <w:sz w:val="24"/>
          <w:szCs w:val="24"/>
        </w:rPr>
        <w:t>根据建设单位提供的资料，本项目食堂废水经隔油池沉淀后与养殖废水和生活污水进入拟建污水处理系统采取“干湿分离（固液分离）+厌氧发酵”工艺处理后达《畜禽养殖业污染物排放标准》（GB18596-2001）中表5标准值后暂存于储存池内，用于周边农田施肥，不外排。与《畜禽养殖业污染治理工程技术规范》（GBHJ497-2009）中规定的“粪污处理基本工艺模式——模式Ⅱ”相符。</w:t>
      </w:r>
    </w:p>
    <w:p>
      <w:pPr>
        <w:adjustRightInd w:val="0"/>
        <w:snapToGrid w:val="0"/>
        <w:ind w:firstLine="480"/>
        <w:rPr>
          <w:color w:val="auto"/>
          <w:sz w:val="24"/>
          <w:szCs w:val="24"/>
        </w:rPr>
      </w:pPr>
      <w:r>
        <w:rPr>
          <w:rFonts w:hint="eastAsia"/>
          <w:color w:val="auto"/>
          <w:sz w:val="24"/>
          <w:szCs w:val="24"/>
        </w:rPr>
        <w:t>（</w:t>
      </w:r>
      <w:r>
        <w:rPr>
          <w:color w:val="auto"/>
          <w:sz w:val="24"/>
          <w:szCs w:val="24"/>
        </w:rPr>
        <w:t>5</w:t>
      </w:r>
      <w:r>
        <w:rPr>
          <w:rFonts w:hint="eastAsia"/>
          <w:color w:val="auto"/>
          <w:sz w:val="24"/>
          <w:szCs w:val="24"/>
        </w:rPr>
        <w:t>）</w:t>
      </w:r>
      <w:r>
        <w:rPr>
          <w:color w:val="auto"/>
          <w:sz w:val="24"/>
          <w:szCs w:val="24"/>
        </w:rPr>
        <w:t>废水还田可行性</w:t>
      </w:r>
    </w:p>
    <w:p>
      <w:pPr>
        <w:adjustRightInd w:val="0"/>
        <w:snapToGrid w:val="0"/>
        <w:ind w:firstLine="480"/>
        <w:rPr>
          <w:color w:val="auto"/>
          <w:sz w:val="24"/>
          <w:szCs w:val="24"/>
        </w:rPr>
      </w:pPr>
      <w:r>
        <w:rPr>
          <w:rFonts w:hint="eastAsia" w:ascii="宋体" w:hAnsi="宋体" w:cs="宋体"/>
          <w:color w:val="auto"/>
          <w:sz w:val="24"/>
          <w:szCs w:val="24"/>
        </w:rPr>
        <w:t>①</w:t>
      </w:r>
      <w:r>
        <w:rPr>
          <w:color w:val="auto"/>
          <w:sz w:val="24"/>
          <w:szCs w:val="24"/>
        </w:rPr>
        <w:t>消纳面积合理性分析</w:t>
      </w:r>
    </w:p>
    <w:p>
      <w:pPr>
        <w:adjustRightInd w:val="0"/>
        <w:snapToGrid w:val="0"/>
        <w:ind w:firstLine="480"/>
        <w:rPr>
          <w:color w:val="auto"/>
          <w:sz w:val="24"/>
          <w:szCs w:val="24"/>
          <w:highlight w:val="yellow"/>
        </w:rPr>
      </w:pPr>
      <w:r>
        <w:rPr>
          <w:color w:val="auto"/>
          <w:sz w:val="24"/>
          <w:szCs w:val="24"/>
        </w:rPr>
        <w:t>本项目消纳区域内主要为农作物、林地，其中种植的农作物主要为油菜、</w:t>
      </w:r>
      <w:r>
        <w:rPr>
          <w:rFonts w:hint="eastAsia"/>
          <w:color w:val="auto"/>
          <w:sz w:val="24"/>
          <w:szCs w:val="24"/>
        </w:rPr>
        <w:t>水稻</w:t>
      </w:r>
      <w:r>
        <w:rPr>
          <w:color w:val="auto"/>
          <w:sz w:val="24"/>
          <w:szCs w:val="24"/>
        </w:rPr>
        <w:t>等，消纳面积约为</w:t>
      </w:r>
      <w:r>
        <w:rPr>
          <w:color w:val="auto"/>
          <w:kern w:val="0"/>
          <w:sz w:val="24"/>
          <w:szCs w:val="24"/>
        </w:rPr>
        <w:t>2</w:t>
      </w:r>
      <w:r>
        <w:rPr>
          <w:rFonts w:hint="eastAsia"/>
          <w:color w:val="auto"/>
          <w:kern w:val="0"/>
          <w:sz w:val="24"/>
          <w:szCs w:val="24"/>
          <w:lang w:val="en-US" w:eastAsia="zh-CN"/>
        </w:rPr>
        <w:t>7</w:t>
      </w:r>
      <w:r>
        <w:rPr>
          <w:color w:val="auto"/>
          <w:kern w:val="0"/>
          <w:sz w:val="24"/>
          <w:szCs w:val="24"/>
        </w:rPr>
        <w:t>00</w:t>
      </w:r>
      <w:r>
        <w:rPr>
          <w:color w:val="auto"/>
          <w:sz w:val="24"/>
          <w:szCs w:val="24"/>
        </w:rPr>
        <w:t>亩。根据工程分析，本项目</w:t>
      </w:r>
      <w:r>
        <w:rPr>
          <w:rFonts w:hint="eastAsia"/>
          <w:color w:val="auto"/>
          <w:sz w:val="24"/>
          <w:szCs w:val="24"/>
          <w:lang w:eastAsia="zh-CN"/>
        </w:rPr>
        <w:t>养猪场</w:t>
      </w:r>
      <w:r>
        <w:rPr>
          <w:color w:val="auto"/>
          <w:sz w:val="24"/>
          <w:szCs w:val="24"/>
        </w:rPr>
        <w:t>用于周围耕地及林地</w:t>
      </w:r>
      <w:r>
        <w:rPr>
          <w:rFonts w:hint="eastAsia"/>
          <w:color w:val="auto"/>
          <w:sz w:val="24"/>
          <w:szCs w:val="24"/>
        </w:rPr>
        <w:t>消纳</w:t>
      </w:r>
      <w:r>
        <w:rPr>
          <w:color w:val="auto"/>
          <w:sz w:val="24"/>
          <w:szCs w:val="24"/>
        </w:rPr>
        <w:t>量为</w:t>
      </w:r>
      <w:r>
        <w:rPr>
          <w:rFonts w:hint="eastAsia"/>
          <w:color w:val="auto"/>
          <w:sz w:val="24"/>
          <w:szCs w:val="24"/>
        </w:rPr>
        <w:fldChar w:fldCharType="begin"/>
      </w:r>
      <w:r>
        <w:rPr>
          <w:rFonts w:hint="eastAsia"/>
          <w:color w:val="auto"/>
          <w:sz w:val="24"/>
          <w:szCs w:val="24"/>
        </w:rPr>
        <w:instrText xml:space="preserve"> = SUM（ABOVE） \* MERGEFORMAT </w:instrText>
      </w:r>
      <w:r>
        <w:rPr>
          <w:rFonts w:hint="eastAsia"/>
          <w:color w:val="auto"/>
          <w:sz w:val="24"/>
          <w:szCs w:val="24"/>
        </w:rPr>
        <w:fldChar w:fldCharType="separate"/>
      </w:r>
      <w:r>
        <w:rPr>
          <w:rFonts w:hint="eastAsia"/>
          <w:color w:val="auto"/>
          <w:sz w:val="24"/>
          <w:szCs w:val="24"/>
        </w:rPr>
        <w:t>30.063</w:t>
      </w:r>
      <w:r>
        <w:rPr>
          <w:rFonts w:hint="eastAsia"/>
          <w:color w:val="auto"/>
          <w:sz w:val="24"/>
          <w:szCs w:val="24"/>
        </w:rPr>
        <w:fldChar w:fldCharType="end"/>
      </w:r>
      <w:r>
        <w:rPr>
          <w:color w:val="auto"/>
          <w:sz w:val="24"/>
          <w:szCs w:val="24"/>
        </w:rPr>
        <w:t>m</w:t>
      </w:r>
      <w:r>
        <w:rPr>
          <w:color w:val="auto"/>
          <w:sz w:val="24"/>
          <w:szCs w:val="24"/>
          <w:vertAlign w:val="superscript"/>
        </w:rPr>
        <w:t>3</w:t>
      </w:r>
      <w:r>
        <w:rPr>
          <w:color w:val="auto"/>
          <w:sz w:val="24"/>
          <w:szCs w:val="24"/>
        </w:rPr>
        <w:t>/d（</w:t>
      </w:r>
      <w:r>
        <w:rPr>
          <w:rFonts w:hint="eastAsia"/>
          <w:bCs/>
          <w:color w:val="auto"/>
          <w:sz w:val="24"/>
          <w:szCs w:val="24"/>
          <w:lang w:val="en-US" w:eastAsia="zh-CN"/>
        </w:rPr>
        <w:t>10827.58</w:t>
      </w:r>
      <w:r>
        <w:rPr>
          <w:color w:val="auto"/>
          <w:sz w:val="24"/>
          <w:szCs w:val="24"/>
        </w:rPr>
        <w:t>m</w:t>
      </w:r>
      <w:r>
        <w:rPr>
          <w:color w:val="auto"/>
          <w:sz w:val="24"/>
          <w:szCs w:val="24"/>
          <w:vertAlign w:val="superscript"/>
        </w:rPr>
        <w:t>3</w:t>
      </w:r>
      <w:r>
        <w:rPr>
          <w:color w:val="auto"/>
          <w:sz w:val="24"/>
          <w:szCs w:val="24"/>
        </w:rPr>
        <w:t>/a）。本项目已与</w:t>
      </w:r>
      <w:r>
        <w:rPr>
          <w:rFonts w:hint="eastAsia"/>
          <w:color w:val="auto"/>
          <w:sz w:val="24"/>
          <w:szCs w:val="24"/>
        </w:rPr>
        <w:t>周边</w:t>
      </w:r>
      <w:r>
        <w:rPr>
          <w:rFonts w:hint="eastAsia"/>
          <w:color w:val="auto"/>
          <w:sz w:val="24"/>
          <w:szCs w:val="24"/>
          <w:lang w:val="en-US" w:eastAsia="zh-CN"/>
        </w:rPr>
        <w:t>村民委员会、农业合作社</w:t>
      </w:r>
      <w:r>
        <w:rPr>
          <w:color w:val="auto"/>
          <w:sz w:val="24"/>
          <w:szCs w:val="24"/>
        </w:rPr>
        <w:t>签订消纳协议，消纳区面积共计约</w:t>
      </w:r>
      <w:r>
        <w:rPr>
          <w:color w:val="auto"/>
          <w:kern w:val="0"/>
          <w:sz w:val="24"/>
          <w:szCs w:val="24"/>
        </w:rPr>
        <w:t>2</w:t>
      </w:r>
      <w:r>
        <w:rPr>
          <w:rFonts w:hint="eastAsia"/>
          <w:color w:val="auto"/>
          <w:kern w:val="0"/>
          <w:sz w:val="24"/>
          <w:szCs w:val="24"/>
          <w:lang w:val="en-US" w:eastAsia="zh-CN"/>
        </w:rPr>
        <w:t>7</w:t>
      </w:r>
      <w:r>
        <w:rPr>
          <w:color w:val="auto"/>
          <w:kern w:val="0"/>
          <w:sz w:val="24"/>
          <w:szCs w:val="24"/>
        </w:rPr>
        <w:t>00</w:t>
      </w:r>
      <w:r>
        <w:rPr>
          <w:color w:val="auto"/>
          <w:sz w:val="24"/>
          <w:szCs w:val="24"/>
        </w:rPr>
        <w:t>亩。</w:t>
      </w:r>
    </w:p>
    <w:p>
      <w:pPr>
        <w:adjustRightInd w:val="0"/>
        <w:snapToGrid w:val="0"/>
        <w:ind w:firstLine="480"/>
        <w:rPr>
          <w:color w:val="auto"/>
          <w:sz w:val="24"/>
          <w:szCs w:val="24"/>
          <w:highlight w:val="yellow"/>
        </w:rPr>
      </w:pPr>
      <w:r>
        <w:rPr>
          <w:rFonts w:hint="eastAsia" w:ascii="宋体" w:hAnsi="宋体" w:cs="宋体"/>
          <w:color w:val="auto"/>
          <w:sz w:val="24"/>
          <w:szCs w:val="24"/>
        </w:rPr>
        <w:t>②</w:t>
      </w:r>
      <w:r>
        <w:rPr>
          <w:color w:val="auto"/>
          <w:sz w:val="24"/>
          <w:szCs w:val="24"/>
        </w:rPr>
        <w:t>种植结构分析</w:t>
      </w:r>
    </w:p>
    <w:p>
      <w:pPr>
        <w:adjustRightInd w:val="0"/>
        <w:snapToGrid w:val="0"/>
        <w:ind w:firstLine="480"/>
        <w:rPr>
          <w:color w:val="auto"/>
        </w:rPr>
      </w:pPr>
      <w:r>
        <w:rPr>
          <w:color w:val="auto"/>
          <w:sz w:val="24"/>
          <w:szCs w:val="24"/>
        </w:rPr>
        <w:t>根据建设单位提供资料，消纳区</w:t>
      </w:r>
      <w:r>
        <w:rPr>
          <w:rFonts w:hint="eastAsia"/>
          <w:color w:val="auto"/>
          <w:sz w:val="24"/>
          <w:szCs w:val="24"/>
        </w:rPr>
        <w:t>耕地约</w:t>
      </w:r>
      <w:r>
        <w:rPr>
          <w:color w:val="auto"/>
          <w:kern w:val="0"/>
          <w:sz w:val="24"/>
          <w:szCs w:val="24"/>
        </w:rPr>
        <w:t>2</w:t>
      </w:r>
      <w:r>
        <w:rPr>
          <w:rFonts w:hint="eastAsia"/>
          <w:color w:val="auto"/>
          <w:kern w:val="0"/>
          <w:sz w:val="24"/>
          <w:szCs w:val="24"/>
          <w:lang w:val="en-US" w:eastAsia="zh-CN"/>
        </w:rPr>
        <w:t>7</w:t>
      </w:r>
      <w:r>
        <w:rPr>
          <w:color w:val="auto"/>
          <w:kern w:val="0"/>
          <w:sz w:val="24"/>
          <w:szCs w:val="24"/>
        </w:rPr>
        <w:t>00</w:t>
      </w:r>
      <w:r>
        <w:rPr>
          <w:color w:val="auto"/>
          <w:sz w:val="24"/>
          <w:szCs w:val="24"/>
        </w:rPr>
        <w:t>亩</w:t>
      </w:r>
      <w:r>
        <w:rPr>
          <w:rFonts w:hint="eastAsia"/>
          <w:color w:val="auto"/>
          <w:sz w:val="24"/>
          <w:szCs w:val="24"/>
        </w:rPr>
        <w:t>，</w:t>
      </w:r>
      <w:r>
        <w:rPr>
          <w:color w:val="auto"/>
          <w:sz w:val="24"/>
          <w:szCs w:val="24"/>
        </w:rPr>
        <w:t>农作物</w:t>
      </w:r>
      <w:r>
        <w:rPr>
          <w:rFonts w:hint="eastAsia"/>
          <w:color w:val="auto"/>
          <w:sz w:val="24"/>
          <w:szCs w:val="24"/>
        </w:rPr>
        <w:t>种植</w:t>
      </w:r>
      <w:r>
        <w:rPr>
          <w:color w:val="auto"/>
          <w:sz w:val="24"/>
          <w:szCs w:val="24"/>
        </w:rPr>
        <w:t>油</w:t>
      </w:r>
      <w:r>
        <w:rPr>
          <w:color w:val="auto"/>
        </w:rPr>
        <w:t>菜</w:t>
      </w:r>
      <w:r>
        <w:rPr>
          <w:rFonts w:hint="eastAsia"/>
          <w:color w:val="auto"/>
        </w:rPr>
        <w:t>和</w:t>
      </w:r>
      <w:r>
        <w:rPr>
          <w:color w:val="auto"/>
        </w:rPr>
        <w:t>水稻，根据季节变化，交替种植。项目区域种植结构为一年一季，</w:t>
      </w:r>
      <w:r>
        <w:rPr>
          <w:rFonts w:hint="eastAsia"/>
          <w:color w:val="auto"/>
          <w:kern w:val="0"/>
        </w:rPr>
        <w:t>油菜种植时间：12月</w:t>
      </w:r>
      <w:r>
        <w:rPr>
          <w:color w:val="auto"/>
          <w:kern w:val="0"/>
        </w:rPr>
        <w:t>~</w:t>
      </w:r>
      <w:r>
        <w:rPr>
          <w:rFonts w:hint="eastAsia"/>
          <w:color w:val="auto"/>
          <w:kern w:val="0"/>
        </w:rPr>
        <w:t>次年5月（冬季、春季、夏季）；水稻种植时间：5月</w:t>
      </w:r>
      <w:r>
        <w:rPr>
          <w:color w:val="auto"/>
          <w:kern w:val="0"/>
        </w:rPr>
        <w:t>~</w:t>
      </w:r>
      <w:r>
        <w:rPr>
          <w:rFonts w:hint="eastAsia"/>
          <w:color w:val="auto"/>
          <w:kern w:val="0"/>
        </w:rPr>
        <w:t>7月（夏季）</w:t>
      </w:r>
      <w:r>
        <w:rPr>
          <w:color w:val="auto"/>
        </w:rPr>
        <w:t>。</w:t>
      </w:r>
    </w:p>
    <w:p>
      <w:pPr>
        <w:adjustRightInd w:val="0"/>
        <w:snapToGrid w:val="0"/>
        <w:ind w:firstLine="480"/>
        <w:rPr>
          <w:color w:val="auto"/>
        </w:rPr>
      </w:pPr>
      <w:r>
        <w:rPr>
          <w:color w:val="auto"/>
        </w:rPr>
        <w:t>综上所述，本项目消纳区种植结构情况见表5.2-1。</w:t>
      </w:r>
    </w:p>
    <w:p>
      <w:pPr>
        <w:spacing w:line="240" w:lineRule="auto"/>
        <w:ind w:firstLine="0" w:firstLineChars="0"/>
        <w:jc w:val="center"/>
        <w:rPr>
          <w:rFonts w:eastAsia="黑体"/>
          <w:bCs/>
          <w:color w:val="auto"/>
          <w:sz w:val="21"/>
          <w:szCs w:val="21"/>
        </w:rPr>
      </w:pPr>
      <w:r>
        <w:rPr>
          <w:b/>
          <w:color w:val="auto"/>
          <w:sz w:val="21"/>
        </w:rPr>
        <w:t>表5.2-1  项目消纳区种植结构情况一览表</w:t>
      </w:r>
    </w:p>
    <w:tbl>
      <w:tblPr>
        <w:tblStyle w:val="51"/>
        <w:tblW w:w="5000" w:type="pct"/>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2274"/>
        <w:gridCol w:w="2137"/>
        <w:gridCol w:w="1090"/>
        <w:gridCol w:w="2112"/>
        <w:gridCol w:w="1174"/>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294" w:type="pct"/>
            <w:tcBorders>
              <w:tl2br w:val="single" w:color="auto" w:sz="4" w:space="0"/>
            </w:tcBorders>
            <w:noWrap w:val="0"/>
            <w:vAlign w:val="center"/>
          </w:tcPr>
          <w:p>
            <w:pPr>
              <w:kinsoku w:val="0"/>
              <w:overflowPunct w:val="0"/>
              <w:autoSpaceDE w:val="0"/>
              <w:autoSpaceDN w:val="0"/>
              <w:adjustRightInd w:val="0"/>
              <w:spacing w:line="240" w:lineRule="auto"/>
              <w:ind w:right="107" w:firstLine="0" w:firstLineChars="0"/>
              <w:jc w:val="center"/>
              <w:rPr>
                <w:b/>
                <w:color w:val="auto"/>
                <w:w w:val="99"/>
                <w:kern w:val="0"/>
                <w:sz w:val="20"/>
                <w:szCs w:val="20"/>
              </w:rPr>
            </w:pPr>
            <w:r>
              <w:rPr>
                <w:b/>
                <w:color w:val="auto"/>
                <w:kern w:val="0"/>
                <w:sz w:val="20"/>
                <w:szCs w:val="20"/>
              </w:rPr>
              <w:t xml:space="preserve">           种植时间</w:t>
            </w:r>
          </w:p>
          <w:p>
            <w:pPr>
              <w:kinsoku w:val="0"/>
              <w:overflowPunct w:val="0"/>
              <w:autoSpaceDE w:val="0"/>
              <w:autoSpaceDN w:val="0"/>
              <w:adjustRightInd w:val="0"/>
              <w:spacing w:line="240" w:lineRule="auto"/>
              <w:ind w:right="107" w:firstLine="0" w:firstLineChars="0"/>
              <w:jc w:val="left"/>
              <w:rPr>
                <w:b/>
                <w:color w:val="auto"/>
                <w:w w:val="99"/>
                <w:kern w:val="0"/>
                <w:sz w:val="20"/>
                <w:szCs w:val="20"/>
              </w:rPr>
            </w:pPr>
            <w:r>
              <w:rPr>
                <w:b/>
                <w:color w:val="auto"/>
                <w:kern w:val="0"/>
                <w:sz w:val="20"/>
                <w:szCs w:val="20"/>
              </w:rPr>
              <w:t>种植结构</w:t>
            </w:r>
          </w:p>
        </w:tc>
        <w:tc>
          <w:tcPr>
            <w:tcW w:w="1216" w:type="pct"/>
            <w:noWrap w:val="0"/>
            <w:vAlign w:val="center"/>
          </w:tcPr>
          <w:p>
            <w:pPr>
              <w:kinsoku w:val="0"/>
              <w:overflowPunct w:val="0"/>
              <w:autoSpaceDE w:val="0"/>
              <w:autoSpaceDN w:val="0"/>
              <w:adjustRightInd w:val="0"/>
              <w:spacing w:line="240" w:lineRule="auto"/>
              <w:ind w:right="2" w:firstLine="0" w:firstLineChars="0"/>
              <w:jc w:val="center"/>
              <w:rPr>
                <w:b/>
                <w:color w:val="auto"/>
                <w:kern w:val="0"/>
                <w:sz w:val="20"/>
                <w:szCs w:val="20"/>
              </w:rPr>
            </w:pPr>
            <w:r>
              <w:rPr>
                <w:b/>
                <w:color w:val="auto"/>
                <w:kern w:val="0"/>
                <w:sz w:val="20"/>
                <w:szCs w:val="20"/>
              </w:rPr>
              <w:t>春季</w:t>
            </w:r>
          </w:p>
        </w:tc>
        <w:tc>
          <w:tcPr>
            <w:tcW w:w="620" w:type="pct"/>
            <w:noWrap w:val="0"/>
            <w:vAlign w:val="center"/>
          </w:tcPr>
          <w:p>
            <w:pPr>
              <w:kinsoku w:val="0"/>
              <w:overflowPunct w:val="0"/>
              <w:autoSpaceDE w:val="0"/>
              <w:autoSpaceDN w:val="0"/>
              <w:adjustRightInd w:val="0"/>
              <w:spacing w:line="240" w:lineRule="auto"/>
              <w:ind w:right="1" w:firstLine="0" w:firstLineChars="0"/>
              <w:jc w:val="center"/>
              <w:rPr>
                <w:b/>
                <w:color w:val="auto"/>
                <w:kern w:val="0"/>
                <w:sz w:val="20"/>
                <w:szCs w:val="20"/>
              </w:rPr>
            </w:pPr>
            <w:r>
              <w:rPr>
                <w:b/>
                <w:color w:val="auto"/>
                <w:kern w:val="0"/>
                <w:sz w:val="20"/>
                <w:szCs w:val="20"/>
              </w:rPr>
              <w:t>夏季</w:t>
            </w:r>
          </w:p>
        </w:tc>
        <w:tc>
          <w:tcPr>
            <w:tcW w:w="1202" w:type="pct"/>
            <w:noWrap w:val="0"/>
            <w:vAlign w:val="center"/>
          </w:tcPr>
          <w:p>
            <w:pPr>
              <w:kinsoku w:val="0"/>
              <w:overflowPunct w:val="0"/>
              <w:autoSpaceDE w:val="0"/>
              <w:autoSpaceDN w:val="0"/>
              <w:adjustRightInd w:val="0"/>
              <w:spacing w:line="240" w:lineRule="auto"/>
              <w:ind w:right="1" w:firstLine="0" w:firstLineChars="0"/>
              <w:jc w:val="center"/>
              <w:rPr>
                <w:b/>
                <w:color w:val="auto"/>
                <w:kern w:val="0"/>
                <w:sz w:val="20"/>
                <w:szCs w:val="20"/>
              </w:rPr>
            </w:pPr>
            <w:r>
              <w:rPr>
                <w:b/>
                <w:color w:val="auto"/>
                <w:kern w:val="0"/>
                <w:sz w:val="20"/>
                <w:szCs w:val="20"/>
              </w:rPr>
              <w:t>秋季</w:t>
            </w:r>
          </w:p>
        </w:tc>
        <w:tc>
          <w:tcPr>
            <w:tcW w:w="668" w:type="pct"/>
            <w:noWrap w:val="0"/>
            <w:vAlign w:val="center"/>
          </w:tcPr>
          <w:p>
            <w:pPr>
              <w:kinsoku w:val="0"/>
              <w:overflowPunct w:val="0"/>
              <w:autoSpaceDE w:val="0"/>
              <w:autoSpaceDN w:val="0"/>
              <w:adjustRightInd w:val="0"/>
              <w:spacing w:line="240" w:lineRule="auto"/>
              <w:ind w:firstLine="0" w:firstLineChars="0"/>
              <w:jc w:val="center"/>
              <w:rPr>
                <w:b/>
                <w:color w:val="auto"/>
                <w:kern w:val="0"/>
                <w:sz w:val="20"/>
                <w:szCs w:val="20"/>
              </w:rPr>
            </w:pPr>
            <w:r>
              <w:rPr>
                <w:b/>
                <w:color w:val="auto"/>
                <w:kern w:val="0"/>
                <w:sz w:val="20"/>
                <w:szCs w:val="20"/>
              </w:rPr>
              <w:t>冬季</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294"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rFonts w:hint="eastAsia"/>
                <w:color w:val="auto"/>
                <w:kern w:val="0"/>
                <w:sz w:val="20"/>
                <w:szCs w:val="20"/>
              </w:rPr>
              <w:t>油菜</w:t>
            </w:r>
            <w:r>
              <w:rPr>
                <w:color w:val="auto"/>
                <w:kern w:val="0"/>
                <w:sz w:val="20"/>
                <w:szCs w:val="20"/>
              </w:rPr>
              <w:t>（亩）</w:t>
            </w:r>
          </w:p>
        </w:tc>
        <w:tc>
          <w:tcPr>
            <w:tcW w:w="1216"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620" w:type="pct"/>
            <w:noWrap w:val="0"/>
            <w:vAlign w:val="center"/>
          </w:tcPr>
          <w:p>
            <w:pPr>
              <w:kinsoku w:val="0"/>
              <w:overflowPunct w:val="0"/>
              <w:autoSpaceDE w:val="0"/>
              <w:autoSpaceDN w:val="0"/>
              <w:adjustRightInd w:val="0"/>
              <w:spacing w:line="240" w:lineRule="auto"/>
              <w:ind w:right="1" w:firstLine="0" w:firstLineChars="0"/>
              <w:jc w:val="center"/>
              <w:rPr>
                <w:color w:val="auto"/>
                <w:kern w:val="0"/>
                <w:sz w:val="20"/>
                <w:szCs w:val="20"/>
              </w:rPr>
            </w:pPr>
            <w:r>
              <w:rPr>
                <w:color w:val="auto"/>
                <w:kern w:val="0"/>
                <w:sz w:val="20"/>
                <w:szCs w:val="20"/>
              </w:rPr>
              <w:t>——</w:t>
            </w:r>
          </w:p>
        </w:tc>
        <w:tc>
          <w:tcPr>
            <w:tcW w:w="1202" w:type="pct"/>
            <w:noWrap w:val="0"/>
            <w:vAlign w:val="center"/>
          </w:tcPr>
          <w:p>
            <w:pPr>
              <w:kinsoku w:val="0"/>
              <w:overflowPunct w:val="0"/>
              <w:autoSpaceDE w:val="0"/>
              <w:autoSpaceDN w:val="0"/>
              <w:adjustRightInd w:val="0"/>
              <w:spacing w:line="240" w:lineRule="auto"/>
              <w:ind w:right="1"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p>
            <w:pPr>
              <w:kinsoku w:val="0"/>
              <w:overflowPunct w:val="0"/>
              <w:autoSpaceDE w:val="0"/>
              <w:autoSpaceDN w:val="0"/>
              <w:adjustRightInd w:val="0"/>
              <w:spacing w:line="240" w:lineRule="auto"/>
              <w:ind w:right="1" w:firstLine="0" w:firstLineChars="0"/>
              <w:jc w:val="center"/>
              <w:rPr>
                <w:color w:val="auto"/>
                <w:kern w:val="0"/>
                <w:sz w:val="20"/>
                <w:szCs w:val="20"/>
              </w:rPr>
            </w:pPr>
            <w:r>
              <w:rPr>
                <w:color w:val="auto"/>
                <w:kern w:val="0"/>
                <w:sz w:val="20"/>
                <w:szCs w:val="20"/>
              </w:rPr>
              <w:t>（</w:t>
            </w:r>
            <w:r>
              <w:rPr>
                <w:rFonts w:hint="eastAsia"/>
                <w:color w:val="auto"/>
                <w:kern w:val="0"/>
                <w:sz w:val="20"/>
                <w:szCs w:val="20"/>
              </w:rPr>
              <w:t>水稻</w:t>
            </w:r>
            <w:r>
              <w:rPr>
                <w:color w:val="auto"/>
                <w:kern w:val="0"/>
                <w:sz w:val="20"/>
                <w:szCs w:val="20"/>
              </w:rPr>
              <w:t>收割后播种）</w:t>
            </w:r>
          </w:p>
        </w:tc>
        <w:tc>
          <w:tcPr>
            <w:tcW w:w="668"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294"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rFonts w:hint="eastAsia"/>
                <w:color w:val="auto"/>
                <w:kern w:val="0"/>
                <w:sz w:val="20"/>
                <w:szCs w:val="20"/>
              </w:rPr>
              <w:t>水稻</w:t>
            </w:r>
            <w:r>
              <w:rPr>
                <w:color w:val="auto"/>
                <w:kern w:val="0"/>
                <w:sz w:val="20"/>
                <w:szCs w:val="20"/>
              </w:rPr>
              <w:t>（亩）</w:t>
            </w:r>
          </w:p>
        </w:tc>
        <w:tc>
          <w:tcPr>
            <w:tcW w:w="1216"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p>
            <w:pPr>
              <w:kinsoku w:val="0"/>
              <w:overflowPunct w:val="0"/>
              <w:autoSpaceDE w:val="0"/>
              <w:autoSpaceDN w:val="0"/>
              <w:adjustRightInd w:val="0"/>
              <w:spacing w:line="240" w:lineRule="auto"/>
              <w:ind w:right="105" w:firstLine="0" w:firstLineChars="0"/>
              <w:jc w:val="center"/>
              <w:rPr>
                <w:color w:val="auto"/>
                <w:kern w:val="0"/>
                <w:sz w:val="20"/>
                <w:szCs w:val="20"/>
              </w:rPr>
            </w:pPr>
            <w:r>
              <w:rPr>
                <w:color w:val="auto"/>
                <w:kern w:val="0"/>
                <w:sz w:val="20"/>
                <w:szCs w:val="20"/>
              </w:rPr>
              <w:t>（</w:t>
            </w:r>
            <w:r>
              <w:rPr>
                <w:rFonts w:hint="eastAsia"/>
                <w:color w:val="auto"/>
                <w:kern w:val="0"/>
                <w:sz w:val="20"/>
                <w:szCs w:val="20"/>
              </w:rPr>
              <w:t>油菜</w:t>
            </w:r>
            <w:r>
              <w:rPr>
                <w:color w:val="auto"/>
                <w:kern w:val="0"/>
                <w:sz w:val="20"/>
                <w:szCs w:val="20"/>
              </w:rPr>
              <w:t>收割后播种）</w:t>
            </w:r>
          </w:p>
        </w:tc>
        <w:tc>
          <w:tcPr>
            <w:tcW w:w="620"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1202"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668" w:type="pct"/>
            <w:noWrap w:val="0"/>
            <w:vAlign w:val="center"/>
          </w:tcPr>
          <w:p>
            <w:pPr>
              <w:kinsoku w:val="0"/>
              <w:overflowPunct w:val="0"/>
              <w:autoSpaceDE w:val="0"/>
              <w:autoSpaceDN w:val="0"/>
              <w:adjustRightInd w:val="0"/>
              <w:spacing w:line="240" w:lineRule="auto"/>
              <w:ind w:firstLine="0" w:firstLineChars="0"/>
              <w:jc w:val="center"/>
              <w:rPr>
                <w:color w:val="auto"/>
                <w:kern w:val="0"/>
                <w:sz w:val="20"/>
                <w:szCs w:val="20"/>
              </w:rPr>
            </w:pPr>
            <w:r>
              <w:rPr>
                <w:color w:val="auto"/>
                <w:kern w:val="0"/>
                <w:sz w:val="20"/>
                <w:szCs w:val="20"/>
              </w:rPr>
              <w:t>——</w:t>
            </w:r>
          </w:p>
        </w:tc>
      </w:tr>
    </w:tbl>
    <w:p>
      <w:pPr>
        <w:adjustRightInd w:val="0"/>
        <w:snapToGrid w:val="0"/>
        <w:spacing w:before="120" w:beforeLines="50"/>
        <w:ind w:firstLine="480"/>
        <w:rPr>
          <w:color w:val="auto"/>
        </w:rPr>
      </w:pPr>
      <w:r>
        <w:rPr>
          <w:color w:val="auto"/>
        </w:rPr>
        <w:t>③消纳区需水量分析</w:t>
      </w:r>
    </w:p>
    <w:p>
      <w:pPr>
        <w:adjustRightInd w:val="0"/>
        <w:snapToGrid w:val="0"/>
        <w:ind w:firstLine="480"/>
        <w:rPr>
          <w:rFonts w:hint="eastAsia"/>
          <w:color w:val="auto"/>
        </w:rPr>
      </w:pPr>
      <w:r>
        <w:rPr>
          <w:color w:val="auto"/>
        </w:rPr>
        <w:t>根据《</w:t>
      </w:r>
      <w:r>
        <w:rPr>
          <w:rFonts w:hint="eastAsia"/>
          <w:color w:val="auto"/>
        </w:rPr>
        <w:t>四川省用水定额</w:t>
      </w:r>
      <w:r>
        <w:rPr>
          <w:color w:val="auto"/>
        </w:rPr>
        <w:t>》（</w:t>
      </w:r>
      <w:r>
        <w:rPr>
          <w:rFonts w:hint="eastAsia"/>
          <w:color w:val="auto"/>
          <w:lang w:val="en-US" w:eastAsia="zh-CN"/>
        </w:rPr>
        <w:t>2021年</w:t>
      </w:r>
      <w:r>
        <w:rPr>
          <w:color w:val="auto"/>
        </w:rPr>
        <w:t>），项目拟种植的各农作物需水量情况见表5.2-2。</w:t>
      </w:r>
    </w:p>
    <w:p>
      <w:pPr>
        <w:pStyle w:val="166"/>
        <w:spacing w:before="120" w:beforeLines="0"/>
        <w:rPr>
          <w:color w:val="auto"/>
        </w:rPr>
      </w:pPr>
      <w:r>
        <w:rPr>
          <w:color w:val="auto"/>
        </w:rPr>
        <w:t>表5.2-2</w:t>
      </w:r>
      <w:r>
        <w:rPr>
          <w:rFonts w:hint="eastAsia"/>
          <w:color w:val="auto"/>
          <w:lang w:val="en-US" w:eastAsia="zh-CN"/>
        </w:rPr>
        <w:t xml:space="preserve"> </w:t>
      </w:r>
      <w:r>
        <w:rPr>
          <w:color w:val="auto"/>
        </w:rPr>
        <w:t>项目拟种植农作物需水量情况</w:t>
      </w:r>
    </w:p>
    <w:tbl>
      <w:tblPr>
        <w:tblStyle w:val="51"/>
        <w:tblW w:w="5000" w:type="pct"/>
        <w:jc w:val="center"/>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2543"/>
        <w:gridCol w:w="1961"/>
        <w:gridCol w:w="2102"/>
        <w:gridCol w:w="2181"/>
      </w:tblGrid>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dxa"/>
          <w:wAfter w:w="0" w:type="dxa"/>
          <w:trHeight w:val="340" w:hRule="atLeast"/>
          <w:jc w:val="center"/>
        </w:trPr>
        <w:tc>
          <w:tcPr>
            <w:tcW w:w="1447" w:type="pct"/>
            <w:vMerge w:val="restart"/>
            <w:noWrap w:val="0"/>
            <w:vAlign w:val="center"/>
          </w:tcPr>
          <w:p>
            <w:pPr>
              <w:pStyle w:val="332"/>
              <w:kinsoku w:val="0"/>
              <w:overflowPunct w:val="0"/>
              <w:snapToGrid w:val="0"/>
              <w:jc w:val="center"/>
              <w:rPr>
                <w:color w:val="auto"/>
                <w:sz w:val="20"/>
                <w:szCs w:val="20"/>
              </w:rPr>
            </w:pPr>
            <w:r>
              <w:rPr>
                <w:b/>
                <w:bCs/>
                <w:color w:val="auto"/>
                <w:sz w:val="20"/>
                <w:szCs w:val="20"/>
              </w:rPr>
              <w:t>项目</w:t>
            </w:r>
          </w:p>
        </w:tc>
        <w:tc>
          <w:tcPr>
            <w:tcW w:w="3553" w:type="pct"/>
            <w:gridSpan w:val="3"/>
            <w:noWrap w:val="0"/>
            <w:vAlign w:val="center"/>
          </w:tcPr>
          <w:p>
            <w:pPr>
              <w:pStyle w:val="332"/>
              <w:kinsoku w:val="0"/>
              <w:overflowPunct w:val="0"/>
              <w:snapToGrid w:val="0"/>
              <w:jc w:val="center"/>
              <w:rPr>
                <w:color w:val="auto"/>
                <w:sz w:val="20"/>
                <w:szCs w:val="20"/>
              </w:rPr>
            </w:pPr>
            <w:r>
              <w:rPr>
                <w:b/>
                <w:bCs/>
                <w:color w:val="auto"/>
                <w:sz w:val="20"/>
                <w:szCs w:val="20"/>
              </w:rPr>
              <w:t>种植结构</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dxa"/>
          <w:wAfter w:w="0" w:type="dxa"/>
          <w:trHeight w:val="340" w:hRule="atLeast"/>
          <w:jc w:val="center"/>
        </w:trPr>
        <w:tc>
          <w:tcPr>
            <w:tcW w:w="1447" w:type="pct"/>
            <w:vMerge w:val="continue"/>
            <w:noWrap w:val="0"/>
            <w:vAlign w:val="center"/>
          </w:tcPr>
          <w:p>
            <w:pPr>
              <w:pStyle w:val="332"/>
              <w:kinsoku w:val="0"/>
              <w:overflowPunct w:val="0"/>
              <w:snapToGrid w:val="0"/>
              <w:jc w:val="center"/>
              <w:rPr>
                <w:color w:val="auto"/>
                <w:sz w:val="20"/>
                <w:szCs w:val="20"/>
              </w:rPr>
            </w:pPr>
          </w:p>
        </w:tc>
        <w:tc>
          <w:tcPr>
            <w:tcW w:w="1116" w:type="pct"/>
            <w:noWrap w:val="0"/>
            <w:vAlign w:val="center"/>
          </w:tcPr>
          <w:p>
            <w:pPr>
              <w:pStyle w:val="332"/>
              <w:kinsoku w:val="0"/>
              <w:overflowPunct w:val="0"/>
              <w:snapToGrid w:val="0"/>
              <w:jc w:val="center"/>
              <w:rPr>
                <w:rFonts w:hint="eastAsia"/>
                <w:b/>
                <w:bCs/>
                <w:color w:val="auto"/>
                <w:sz w:val="20"/>
                <w:szCs w:val="20"/>
              </w:rPr>
            </w:pPr>
            <w:r>
              <w:rPr>
                <w:rFonts w:hint="eastAsia"/>
                <w:b/>
                <w:bCs/>
                <w:color w:val="auto"/>
                <w:sz w:val="20"/>
                <w:szCs w:val="20"/>
              </w:rPr>
              <w:t>油菜</w:t>
            </w:r>
          </w:p>
        </w:tc>
        <w:tc>
          <w:tcPr>
            <w:tcW w:w="1196" w:type="pct"/>
            <w:noWrap w:val="0"/>
            <w:vAlign w:val="center"/>
          </w:tcPr>
          <w:p>
            <w:pPr>
              <w:pStyle w:val="332"/>
              <w:kinsoku w:val="0"/>
              <w:overflowPunct w:val="0"/>
              <w:snapToGrid w:val="0"/>
              <w:jc w:val="center"/>
              <w:rPr>
                <w:rFonts w:hint="eastAsia"/>
                <w:b/>
                <w:bCs/>
                <w:color w:val="auto"/>
                <w:sz w:val="20"/>
                <w:szCs w:val="20"/>
              </w:rPr>
            </w:pPr>
            <w:r>
              <w:rPr>
                <w:rFonts w:hint="eastAsia"/>
                <w:b/>
                <w:bCs/>
                <w:color w:val="auto"/>
                <w:sz w:val="20"/>
                <w:szCs w:val="20"/>
              </w:rPr>
              <w:t>水稻</w:t>
            </w:r>
          </w:p>
        </w:tc>
        <w:tc>
          <w:tcPr>
            <w:tcW w:w="1241" w:type="pct"/>
            <w:noWrap w:val="0"/>
            <w:vAlign w:val="center"/>
          </w:tcPr>
          <w:p>
            <w:pPr>
              <w:pStyle w:val="332"/>
              <w:kinsoku w:val="0"/>
              <w:overflowPunct w:val="0"/>
              <w:snapToGrid w:val="0"/>
              <w:jc w:val="center"/>
              <w:rPr>
                <w:rFonts w:hint="eastAsia"/>
                <w:b/>
                <w:bCs/>
                <w:color w:val="auto"/>
                <w:sz w:val="20"/>
                <w:szCs w:val="20"/>
              </w:rPr>
            </w:pPr>
            <w:r>
              <w:rPr>
                <w:rFonts w:hint="eastAsia"/>
                <w:b/>
                <w:bCs/>
                <w:color w:val="auto"/>
                <w:sz w:val="20"/>
                <w:szCs w:val="20"/>
              </w:rPr>
              <w:t>柚子</w:t>
            </w:r>
          </w:p>
        </w:tc>
      </w:tr>
      <w:tr>
        <w:tblPrEx>
          <w:tblBorders>
            <w:top w:val="single" w:color="auto" w:sz="12" w:space="0"/>
            <w:left w:val="none" w:color="auto" w:sz="0" w:space="0"/>
            <w:bottom w:val="single" w:color="auto" w:sz="12" w:space="0"/>
            <w:right w:val="none" w:color="auto" w:sz="0" w:space="0"/>
            <w:insideH w:val="single" w:color="000000" w:sz="2" w:space="0"/>
            <w:insideV w:val="single" w:color="000000" w:sz="2" w:space="0"/>
          </w:tblBorders>
          <w:tblCellMar>
            <w:top w:w="0" w:type="dxa"/>
            <w:left w:w="0" w:type="dxa"/>
            <w:bottom w:w="0" w:type="dxa"/>
            <w:right w:w="0" w:type="dxa"/>
          </w:tblCellMar>
        </w:tblPrEx>
        <w:trPr>
          <w:wBefore w:w="0" w:type="dxa"/>
          <w:wAfter w:w="0" w:type="dxa"/>
          <w:trHeight w:val="340" w:hRule="atLeast"/>
          <w:jc w:val="center"/>
        </w:trPr>
        <w:tc>
          <w:tcPr>
            <w:tcW w:w="1447" w:type="pct"/>
            <w:noWrap w:val="0"/>
            <w:vAlign w:val="center"/>
          </w:tcPr>
          <w:p>
            <w:pPr>
              <w:pStyle w:val="332"/>
              <w:kinsoku w:val="0"/>
              <w:overflowPunct w:val="0"/>
              <w:snapToGrid w:val="0"/>
              <w:jc w:val="center"/>
              <w:rPr>
                <w:color w:val="auto"/>
                <w:sz w:val="20"/>
                <w:szCs w:val="20"/>
              </w:rPr>
            </w:pPr>
            <w:r>
              <w:rPr>
                <w:color w:val="auto"/>
                <w:sz w:val="20"/>
                <w:szCs w:val="20"/>
              </w:rPr>
              <w:t>年需水参数</w:t>
            </w:r>
            <w:r>
              <w:rPr>
                <w:color w:val="auto"/>
                <w:spacing w:val="-55"/>
                <w:sz w:val="20"/>
                <w:szCs w:val="20"/>
              </w:rPr>
              <w:t xml:space="preserve"> </w:t>
            </w:r>
            <w:r>
              <w:rPr>
                <w:color w:val="auto"/>
                <w:sz w:val="20"/>
                <w:szCs w:val="20"/>
              </w:rPr>
              <w:t>m</w:t>
            </w:r>
            <w:r>
              <w:rPr>
                <w:color w:val="auto"/>
                <w:sz w:val="20"/>
                <w:szCs w:val="20"/>
                <w:vertAlign w:val="superscript"/>
              </w:rPr>
              <w:t>3</w:t>
            </w:r>
            <w:r>
              <w:rPr>
                <w:color w:val="auto"/>
                <w:sz w:val="20"/>
                <w:szCs w:val="20"/>
              </w:rPr>
              <w:t>/亩</w:t>
            </w:r>
          </w:p>
        </w:tc>
        <w:tc>
          <w:tcPr>
            <w:tcW w:w="1116" w:type="pct"/>
            <w:noWrap w:val="0"/>
            <w:vAlign w:val="center"/>
          </w:tcPr>
          <w:p>
            <w:pPr>
              <w:pStyle w:val="332"/>
              <w:kinsoku w:val="0"/>
              <w:overflowPunct w:val="0"/>
              <w:snapToGrid w:val="0"/>
              <w:jc w:val="center"/>
              <w:rPr>
                <w:rFonts w:hint="eastAsia"/>
                <w:color w:val="auto"/>
                <w:sz w:val="20"/>
                <w:szCs w:val="20"/>
              </w:rPr>
            </w:pPr>
            <w:r>
              <w:rPr>
                <w:rFonts w:hint="eastAsia"/>
                <w:color w:val="auto"/>
                <w:sz w:val="20"/>
                <w:szCs w:val="20"/>
              </w:rPr>
              <w:t>60</w:t>
            </w:r>
          </w:p>
        </w:tc>
        <w:tc>
          <w:tcPr>
            <w:tcW w:w="1196" w:type="pct"/>
            <w:noWrap w:val="0"/>
            <w:vAlign w:val="center"/>
          </w:tcPr>
          <w:p>
            <w:pPr>
              <w:pStyle w:val="332"/>
              <w:kinsoku w:val="0"/>
              <w:overflowPunct w:val="0"/>
              <w:snapToGrid w:val="0"/>
              <w:jc w:val="center"/>
              <w:rPr>
                <w:rFonts w:hint="eastAsia"/>
                <w:color w:val="auto"/>
                <w:sz w:val="20"/>
                <w:szCs w:val="20"/>
              </w:rPr>
            </w:pPr>
            <w:r>
              <w:rPr>
                <w:rFonts w:hint="eastAsia"/>
                <w:color w:val="auto"/>
                <w:sz w:val="20"/>
                <w:szCs w:val="20"/>
              </w:rPr>
              <w:t>310</w:t>
            </w:r>
          </w:p>
        </w:tc>
        <w:tc>
          <w:tcPr>
            <w:tcW w:w="1241" w:type="pct"/>
            <w:noWrap w:val="0"/>
            <w:vAlign w:val="center"/>
          </w:tcPr>
          <w:p>
            <w:pPr>
              <w:pStyle w:val="332"/>
              <w:kinsoku w:val="0"/>
              <w:overflowPunct w:val="0"/>
              <w:snapToGrid w:val="0"/>
              <w:jc w:val="center"/>
              <w:rPr>
                <w:rFonts w:hint="eastAsia"/>
                <w:color w:val="auto"/>
                <w:sz w:val="20"/>
                <w:szCs w:val="20"/>
              </w:rPr>
            </w:pPr>
            <w:r>
              <w:rPr>
                <w:rFonts w:hint="eastAsia"/>
                <w:color w:val="auto"/>
                <w:sz w:val="20"/>
                <w:szCs w:val="20"/>
              </w:rPr>
              <w:t>55</w:t>
            </w:r>
          </w:p>
        </w:tc>
      </w:tr>
    </w:tbl>
    <w:p>
      <w:pPr>
        <w:adjustRightInd w:val="0"/>
        <w:snapToGrid w:val="0"/>
        <w:spacing w:before="120" w:beforeLines="50"/>
        <w:ind w:firstLine="480"/>
        <w:rPr>
          <w:color w:val="auto"/>
        </w:rPr>
      </w:pPr>
      <w:r>
        <w:rPr>
          <w:color w:val="auto"/>
        </w:rPr>
        <w:t>根据表5.2-1、5.2-2，本项目消纳区土地各季节需水量情况如下：</w:t>
      </w:r>
    </w:p>
    <w:p>
      <w:pPr>
        <w:keepNext w:val="0"/>
        <w:keepLines w:val="0"/>
        <w:pageBreakBefore w:val="0"/>
        <w:wordWrap/>
        <w:topLinePunct w:val="0"/>
        <w:bidi w:val="0"/>
        <w:adjustRightInd w:val="0"/>
        <w:snapToGrid w:val="0"/>
        <w:spacing w:line="360" w:lineRule="auto"/>
        <w:ind w:firstLine="480"/>
        <w:textAlignment w:val="auto"/>
        <w:rPr>
          <w:color w:val="auto"/>
          <w:kern w:val="0"/>
          <w:sz w:val="24"/>
          <w:szCs w:val="24"/>
        </w:rPr>
      </w:pPr>
      <w:r>
        <w:rPr>
          <w:rFonts w:hint="eastAsia"/>
          <w:color w:val="auto"/>
          <w:kern w:val="0"/>
          <w:sz w:val="24"/>
          <w:szCs w:val="24"/>
        </w:rPr>
        <w:t>油菜年需水量：</w:t>
      </w:r>
      <w:r>
        <w:rPr>
          <w:color w:val="auto"/>
          <w:kern w:val="0"/>
          <w:sz w:val="24"/>
          <w:szCs w:val="24"/>
        </w:rPr>
        <w:t>2</w:t>
      </w:r>
      <w:r>
        <w:rPr>
          <w:rFonts w:hint="eastAsia"/>
          <w:color w:val="auto"/>
          <w:kern w:val="0"/>
          <w:sz w:val="24"/>
          <w:szCs w:val="24"/>
          <w:lang w:val="en-US" w:eastAsia="zh-CN"/>
        </w:rPr>
        <w:t>700</w:t>
      </w:r>
      <w:r>
        <w:rPr>
          <w:rFonts w:hint="eastAsia"/>
          <w:color w:val="auto"/>
          <w:kern w:val="0"/>
          <w:sz w:val="24"/>
          <w:szCs w:val="24"/>
        </w:rPr>
        <w:t>亩×</w:t>
      </w:r>
      <w:r>
        <w:rPr>
          <w:color w:val="auto"/>
          <w:kern w:val="0"/>
          <w:sz w:val="24"/>
          <w:szCs w:val="24"/>
        </w:rPr>
        <w:t>60m</w:t>
      </w:r>
      <w:r>
        <w:rPr>
          <w:color w:val="auto"/>
          <w:kern w:val="0"/>
          <w:sz w:val="24"/>
          <w:szCs w:val="24"/>
          <w:vertAlign w:val="superscript"/>
        </w:rPr>
        <w:t>3</w:t>
      </w:r>
      <w:r>
        <w:rPr>
          <w:color w:val="auto"/>
          <w:kern w:val="0"/>
          <w:sz w:val="24"/>
          <w:szCs w:val="24"/>
        </w:rPr>
        <w:t>/</w:t>
      </w:r>
      <w:r>
        <w:rPr>
          <w:rFonts w:hint="eastAsia"/>
          <w:color w:val="auto"/>
          <w:kern w:val="0"/>
          <w:sz w:val="24"/>
          <w:szCs w:val="24"/>
        </w:rPr>
        <w:t>亩</w:t>
      </w:r>
      <w:r>
        <w:rPr>
          <w:color w:val="auto"/>
          <w:kern w:val="0"/>
          <w:sz w:val="24"/>
          <w:szCs w:val="24"/>
        </w:rPr>
        <w:t>=1</w:t>
      </w:r>
      <w:r>
        <w:rPr>
          <w:rFonts w:hint="eastAsia"/>
          <w:color w:val="auto"/>
          <w:kern w:val="0"/>
          <w:sz w:val="24"/>
          <w:szCs w:val="24"/>
          <w:lang w:val="en-US" w:eastAsia="zh-CN"/>
        </w:rPr>
        <w:t>62</w:t>
      </w:r>
      <w:r>
        <w:rPr>
          <w:rFonts w:hint="eastAsia"/>
          <w:color w:val="auto"/>
          <w:kern w:val="0"/>
          <w:sz w:val="24"/>
          <w:szCs w:val="24"/>
        </w:rPr>
        <w:t>000</w:t>
      </w:r>
      <w:r>
        <w:rPr>
          <w:color w:val="auto"/>
          <w:kern w:val="0"/>
          <w:sz w:val="24"/>
          <w:szCs w:val="24"/>
        </w:rPr>
        <w:t>m</w:t>
      </w:r>
      <w:r>
        <w:rPr>
          <w:color w:val="auto"/>
          <w:kern w:val="0"/>
          <w:sz w:val="24"/>
          <w:szCs w:val="24"/>
          <w:vertAlign w:val="superscript"/>
        </w:rPr>
        <w:t>3</w:t>
      </w:r>
      <w:r>
        <w:rPr>
          <w:color w:val="auto"/>
          <w:kern w:val="0"/>
          <w:sz w:val="24"/>
          <w:szCs w:val="24"/>
        </w:rPr>
        <w:t>/a</w:t>
      </w:r>
      <w:r>
        <w:rPr>
          <w:rFonts w:hint="eastAsia"/>
          <w:color w:val="auto"/>
          <w:kern w:val="0"/>
          <w:sz w:val="24"/>
          <w:szCs w:val="24"/>
        </w:rPr>
        <w:t>；</w:t>
      </w:r>
    </w:p>
    <w:p>
      <w:pPr>
        <w:adjustRightInd w:val="0"/>
        <w:snapToGrid w:val="0"/>
        <w:ind w:firstLine="480"/>
        <w:rPr>
          <w:color w:val="auto"/>
          <w:kern w:val="0"/>
          <w:sz w:val="24"/>
          <w:szCs w:val="24"/>
        </w:rPr>
      </w:pPr>
      <w:r>
        <w:rPr>
          <w:rFonts w:hint="eastAsia"/>
          <w:color w:val="auto"/>
          <w:kern w:val="0"/>
          <w:sz w:val="24"/>
          <w:szCs w:val="24"/>
        </w:rPr>
        <w:t>水稻年需水量：</w:t>
      </w:r>
      <w:r>
        <w:rPr>
          <w:color w:val="auto"/>
          <w:kern w:val="0"/>
          <w:sz w:val="24"/>
          <w:szCs w:val="24"/>
        </w:rPr>
        <w:t>2</w:t>
      </w:r>
      <w:r>
        <w:rPr>
          <w:rFonts w:hint="eastAsia"/>
          <w:color w:val="auto"/>
          <w:kern w:val="0"/>
          <w:sz w:val="24"/>
          <w:szCs w:val="24"/>
          <w:lang w:val="en-US" w:eastAsia="zh-CN"/>
        </w:rPr>
        <w:t>700</w:t>
      </w:r>
      <w:r>
        <w:rPr>
          <w:rFonts w:hint="eastAsia"/>
          <w:color w:val="auto"/>
          <w:kern w:val="0"/>
          <w:sz w:val="24"/>
          <w:szCs w:val="24"/>
        </w:rPr>
        <w:t>亩×310</w:t>
      </w:r>
      <w:r>
        <w:rPr>
          <w:color w:val="auto"/>
          <w:kern w:val="0"/>
          <w:sz w:val="24"/>
          <w:szCs w:val="24"/>
        </w:rPr>
        <w:t>m</w:t>
      </w:r>
      <w:r>
        <w:rPr>
          <w:color w:val="auto"/>
          <w:kern w:val="0"/>
          <w:sz w:val="24"/>
          <w:szCs w:val="24"/>
          <w:vertAlign w:val="superscript"/>
        </w:rPr>
        <w:t>3</w:t>
      </w:r>
      <w:r>
        <w:rPr>
          <w:color w:val="auto"/>
          <w:kern w:val="0"/>
          <w:sz w:val="24"/>
          <w:szCs w:val="24"/>
        </w:rPr>
        <w:t>/</w:t>
      </w:r>
      <w:r>
        <w:rPr>
          <w:rFonts w:hint="eastAsia"/>
          <w:color w:val="auto"/>
          <w:kern w:val="0"/>
          <w:sz w:val="24"/>
          <w:szCs w:val="24"/>
        </w:rPr>
        <w:t>亩</w:t>
      </w:r>
      <w:r>
        <w:rPr>
          <w:color w:val="auto"/>
          <w:kern w:val="0"/>
          <w:sz w:val="24"/>
          <w:szCs w:val="24"/>
        </w:rPr>
        <w:t>=</w:t>
      </w:r>
      <w:r>
        <w:rPr>
          <w:rFonts w:hint="eastAsia"/>
          <w:color w:val="auto"/>
          <w:kern w:val="0"/>
          <w:sz w:val="24"/>
          <w:szCs w:val="24"/>
        </w:rPr>
        <w:t>837000‬</w:t>
      </w:r>
      <w:r>
        <w:rPr>
          <w:color w:val="auto"/>
          <w:kern w:val="0"/>
          <w:sz w:val="24"/>
          <w:szCs w:val="24"/>
        </w:rPr>
        <w:t>m</w:t>
      </w:r>
      <w:r>
        <w:rPr>
          <w:color w:val="auto"/>
          <w:kern w:val="0"/>
          <w:sz w:val="24"/>
          <w:szCs w:val="24"/>
          <w:vertAlign w:val="superscript"/>
        </w:rPr>
        <w:t>3</w:t>
      </w:r>
      <w:r>
        <w:rPr>
          <w:color w:val="auto"/>
          <w:kern w:val="0"/>
          <w:sz w:val="24"/>
          <w:szCs w:val="24"/>
        </w:rPr>
        <w:t>/a</w:t>
      </w:r>
      <w:r>
        <w:rPr>
          <w:rFonts w:hint="eastAsia"/>
          <w:color w:val="auto"/>
          <w:kern w:val="0"/>
          <w:sz w:val="24"/>
          <w:szCs w:val="24"/>
        </w:rPr>
        <w:t>；</w:t>
      </w:r>
    </w:p>
    <w:p>
      <w:pPr>
        <w:adjustRightInd w:val="0"/>
        <w:snapToGrid w:val="0"/>
        <w:ind w:firstLine="480"/>
        <w:rPr>
          <w:color w:val="auto"/>
          <w:highlight w:val="yellow"/>
        </w:rPr>
      </w:pPr>
      <w:r>
        <w:rPr>
          <w:rFonts w:hint="eastAsia"/>
          <w:color w:val="auto"/>
          <w:kern w:val="0"/>
        </w:rPr>
        <w:t>因此，本项目消纳区年需水量为999000</w:t>
      </w:r>
      <w:r>
        <w:rPr>
          <w:color w:val="auto"/>
          <w:kern w:val="0"/>
        </w:rPr>
        <w:t>m</w:t>
      </w:r>
      <w:r>
        <w:rPr>
          <w:color w:val="auto"/>
          <w:kern w:val="0"/>
          <w:vertAlign w:val="superscript"/>
        </w:rPr>
        <w:t>3</w:t>
      </w:r>
      <w:r>
        <w:rPr>
          <w:color w:val="auto"/>
          <w:kern w:val="0"/>
        </w:rPr>
        <w:t>/a</w:t>
      </w:r>
      <w:r>
        <w:rPr>
          <w:rFonts w:hint="eastAsia"/>
          <w:color w:val="auto"/>
          <w:kern w:val="0"/>
        </w:rPr>
        <w:t>。</w:t>
      </w:r>
    </w:p>
    <w:p>
      <w:pPr>
        <w:adjustRightInd w:val="0"/>
        <w:snapToGrid w:val="0"/>
        <w:ind w:firstLine="480"/>
        <w:rPr>
          <w:rFonts w:ascii="宋体" w:hAnsi="宋体" w:cs="宋体"/>
          <w:color w:val="auto"/>
        </w:rPr>
      </w:pPr>
      <w:r>
        <w:rPr>
          <w:color w:val="auto"/>
        </w:rPr>
        <w:t>综上所述，本项目消纳区年需水量</w:t>
      </w:r>
      <w:r>
        <w:rPr>
          <w:rFonts w:hint="eastAsia"/>
          <w:color w:val="auto"/>
        </w:rPr>
        <w:t>999000</w:t>
      </w:r>
      <w:r>
        <w:rPr>
          <w:color w:val="auto"/>
        </w:rPr>
        <w:t>m</w:t>
      </w:r>
      <w:r>
        <w:rPr>
          <w:color w:val="auto"/>
          <w:vertAlign w:val="superscript"/>
        </w:rPr>
        <w:t>3</w:t>
      </w:r>
      <w:r>
        <w:rPr>
          <w:color w:val="auto"/>
        </w:rPr>
        <w:t>/a＞</w:t>
      </w:r>
      <w:r>
        <w:rPr>
          <w:rFonts w:hint="eastAsia"/>
          <w:color w:val="auto"/>
          <w:lang w:eastAsia="zh-CN"/>
        </w:rPr>
        <w:t>10827.58</w:t>
      </w:r>
      <w:r>
        <w:rPr>
          <w:color w:val="auto"/>
        </w:rPr>
        <w:t>m</w:t>
      </w:r>
      <w:r>
        <w:rPr>
          <w:color w:val="auto"/>
          <w:vertAlign w:val="superscript"/>
        </w:rPr>
        <w:t>3</w:t>
      </w:r>
      <w:r>
        <w:rPr>
          <w:color w:val="auto"/>
        </w:rPr>
        <w:t>/a（项目废水量）。因此，本项目养殖废水能完全被消纳。</w:t>
      </w:r>
    </w:p>
    <w:p>
      <w:pPr>
        <w:adjustRightInd w:val="0"/>
        <w:snapToGrid w:val="0"/>
        <w:ind w:firstLine="480"/>
        <w:rPr>
          <w:color w:val="auto"/>
        </w:rPr>
      </w:pPr>
      <w:r>
        <w:rPr>
          <w:rFonts w:hint="eastAsia" w:ascii="宋体" w:hAnsi="宋体" w:cs="宋体"/>
          <w:color w:val="auto"/>
        </w:rPr>
        <w:t>④</w:t>
      </w:r>
      <w:r>
        <w:rPr>
          <w:color w:val="auto"/>
        </w:rPr>
        <w:t>养殖废物种养结合的土地优势</w:t>
      </w:r>
    </w:p>
    <w:p>
      <w:pPr>
        <w:adjustRightInd w:val="0"/>
        <w:snapToGrid w:val="0"/>
        <w:ind w:firstLine="480"/>
        <w:rPr>
          <w:color w:val="auto"/>
        </w:rPr>
      </w:pPr>
      <w:r>
        <w:rPr>
          <w:color w:val="auto"/>
        </w:rPr>
        <w:t>养殖废水及猪粪便中含有大量的植物生长过程中的营养元素，合理地将粪便还耕地，不仅可以节约环保投资，而且增加了土壤的肥力，提高农产品的产量。本项目周围有耕地、农田，可以充分将养殖业与种植业结合，实现产业结构的优化。由于生猪饲养过程中，会产生大量的粪污，且有机物浓度较高，若粪便直接排入土壤，当有机物的排放浓度超过土壤本身的自净能力，将会造成严重的土壤污染，影响农作物的生长，还容易引起地下水污染。因此先对养殖废水进行发酵处理，将其有机物的浓度、细菌总数降低，再用于土壤施肥。</w:t>
      </w:r>
    </w:p>
    <w:p>
      <w:pPr>
        <w:adjustRightInd w:val="0"/>
        <w:snapToGrid w:val="0"/>
        <w:ind w:firstLine="480"/>
        <w:rPr>
          <w:color w:val="auto"/>
        </w:rPr>
      </w:pPr>
      <w:r>
        <w:rPr>
          <w:color w:val="auto"/>
        </w:rPr>
        <w:t>随着面源污染的不断扩大，国内外对畜禽养殖业的发展做出相关规定。我国根据国外经验，在《畜禽养殖业污染防治技术政策》（环发【2010】151号）中提出了畜禽养殖污染防治应遵循的技术原则：种、养结合，发展生态农业，充分考虑农田土壤消纳能力和区域环境容量要求，确保畜禽养殖废弃物有效还田利用，防止二次污染。</w:t>
      </w:r>
    </w:p>
    <w:p>
      <w:pPr>
        <w:adjustRightInd w:val="0"/>
        <w:snapToGrid w:val="0"/>
        <w:ind w:firstLine="480"/>
        <w:rPr>
          <w:color w:val="auto"/>
        </w:rPr>
      </w:pPr>
      <w:r>
        <w:rPr>
          <w:rFonts w:hint="eastAsia" w:ascii="宋体" w:hAnsi="宋体" w:cs="宋体"/>
          <w:color w:val="auto"/>
        </w:rPr>
        <w:t>⑤</w:t>
      </w:r>
      <w:r>
        <w:rPr>
          <w:color w:val="auto"/>
        </w:rPr>
        <w:t>土壤负荷与种养平衡分析</w:t>
      </w:r>
    </w:p>
    <w:p>
      <w:pPr>
        <w:ind w:firstLine="480"/>
        <w:rPr>
          <w:color w:val="auto"/>
          <w:kern w:val="0"/>
          <w:szCs w:val="21"/>
        </w:rPr>
      </w:pPr>
      <w:r>
        <w:rPr>
          <w:color w:val="auto"/>
          <w:kern w:val="0"/>
          <w:szCs w:val="21"/>
        </w:rPr>
        <w:t>本项目</w:t>
      </w:r>
      <w:r>
        <w:rPr>
          <w:rFonts w:hint="eastAsia"/>
          <w:color w:val="auto"/>
          <w:kern w:val="0"/>
          <w:szCs w:val="21"/>
          <w:lang w:eastAsia="zh-CN"/>
        </w:rPr>
        <w:t>养猪场</w:t>
      </w:r>
      <w:r>
        <w:rPr>
          <w:color w:val="auto"/>
          <w:kern w:val="0"/>
          <w:szCs w:val="21"/>
        </w:rPr>
        <w:t>废水经处理后全部用于还田，根据农业部办公厅关于印发《畜禽粪污土地承载力测算技术指南》的通知（农办牧【2018】1号）“1个猪当量的氮排泄量为11kg，磷排泄量为1.65kg”，本项目</w:t>
      </w:r>
      <w:r>
        <w:rPr>
          <w:rFonts w:hint="eastAsia"/>
          <w:color w:val="auto"/>
          <w:kern w:val="0"/>
          <w:szCs w:val="21"/>
          <w:lang w:eastAsia="zh-CN"/>
        </w:rPr>
        <w:t>养猪场</w:t>
      </w:r>
      <w:r>
        <w:rPr>
          <w:color w:val="auto"/>
          <w:kern w:val="0"/>
          <w:szCs w:val="21"/>
        </w:rPr>
        <w:t>是以固体粪便堆肥、污水氧化塘贮存或厌氧发酵后农田利用为主，则本项目粪污收集过程中，氮留存值为62%，磷留存值为72%</w:t>
      </w:r>
      <w:r>
        <w:rPr>
          <w:rFonts w:hint="eastAsia"/>
          <w:color w:val="auto"/>
          <w:kern w:val="0"/>
          <w:szCs w:val="21"/>
        </w:rPr>
        <w:t>。</w:t>
      </w:r>
      <w:r>
        <w:rPr>
          <w:color w:val="auto"/>
          <w:kern w:val="0"/>
          <w:szCs w:val="21"/>
        </w:rPr>
        <w:t>本项目</w:t>
      </w:r>
      <w:r>
        <w:rPr>
          <w:rFonts w:hint="eastAsia"/>
          <w:color w:val="auto"/>
          <w:lang w:eastAsia="zh-CN"/>
        </w:rPr>
        <w:t>养猪场</w:t>
      </w:r>
      <w:r>
        <w:rPr>
          <w:rFonts w:hint="eastAsia"/>
          <w:color w:val="auto"/>
        </w:rPr>
        <w:t>生猪</w:t>
      </w:r>
      <w:r>
        <w:rPr>
          <w:color w:val="auto"/>
        </w:rPr>
        <w:t>最大年存栏量为7</w:t>
      </w:r>
      <w:r>
        <w:rPr>
          <w:rFonts w:hint="eastAsia"/>
          <w:color w:val="auto"/>
          <w:lang w:val="en-US" w:eastAsia="zh-CN"/>
        </w:rPr>
        <w:t>000</w:t>
      </w:r>
      <w:r>
        <w:rPr>
          <w:color w:val="auto"/>
        </w:rPr>
        <w:t>头</w:t>
      </w:r>
      <w:r>
        <w:rPr>
          <w:rFonts w:hint="eastAsia"/>
          <w:color w:val="auto"/>
        </w:rPr>
        <w:t>。</w:t>
      </w:r>
      <w:r>
        <w:rPr>
          <w:rFonts w:hint="eastAsia"/>
          <w:color w:val="auto"/>
          <w:kern w:val="0"/>
          <w:szCs w:val="21"/>
        </w:rPr>
        <w:t>因此，</w:t>
      </w:r>
      <w:r>
        <w:rPr>
          <w:color w:val="auto"/>
          <w:kern w:val="0"/>
          <w:szCs w:val="21"/>
        </w:rPr>
        <w:t>本项目粪污中N、P供给量分别为</w:t>
      </w:r>
      <w:r>
        <w:rPr>
          <w:rFonts w:hint="eastAsia"/>
          <w:color w:val="auto"/>
          <w:kern w:val="0"/>
          <w:szCs w:val="21"/>
        </w:rPr>
        <w:t>47.74t/a、8.316t/a</w:t>
      </w:r>
      <w:r>
        <w:rPr>
          <w:color w:val="auto"/>
          <w:kern w:val="0"/>
          <w:szCs w:val="21"/>
        </w:rPr>
        <w:t>。</w:t>
      </w:r>
    </w:p>
    <w:p>
      <w:pPr>
        <w:ind w:firstLine="480"/>
        <w:rPr>
          <w:color w:val="auto"/>
          <w:kern w:val="0"/>
          <w:szCs w:val="21"/>
        </w:rPr>
      </w:pPr>
      <w:r>
        <w:rPr>
          <w:color w:val="auto"/>
        </w:rPr>
        <w:t>消纳区耕地约2</w:t>
      </w:r>
      <w:r>
        <w:rPr>
          <w:rFonts w:hint="eastAsia"/>
          <w:color w:val="auto"/>
          <w:lang w:val="en-US" w:eastAsia="zh-CN"/>
        </w:rPr>
        <w:t>7</w:t>
      </w:r>
      <w:r>
        <w:rPr>
          <w:color w:val="auto"/>
        </w:rPr>
        <w:t>00亩，农作物种植油菜</w:t>
      </w:r>
      <w:r>
        <w:rPr>
          <w:rFonts w:hint="eastAsia"/>
          <w:color w:val="auto"/>
        </w:rPr>
        <w:t>+</w:t>
      </w:r>
      <w:r>
        <w:rPr>
          <w:color w:val="auto"/>
        </w:rPr>
        <w:t>水稻，根据季节变化，交替种植。</w:t>
      </w:r>
      <w:r>
        <w:rPr>
          <w:rFonts w:hint="eastAsia"/>
          <w:color w:val="auto"/>
        </w:rPr>
        <w:t>根据走访当地农户及农业部门，当地</w:t>
      </w:r>
      <w:r>
        <w:rPr>
          <w:color w:val="auto"/>
          <w:kern w:val="0"/>
          <w:szCs w:val="21"/>
        </w:rPr>
        <w:t>水稻每亩</w:t>
      </w:r>
      <w:r>
        <w:rPr>
          <w:rFonts w:hint="eastAsia"/>
          <w:color w:val="auto"/>
          <w:kern w:val="0"/>
          <w:szCs w:val="21"/>
        </w:rPr>
        <w:t>平均</w:t>
      </w:r>
      <w:r>
        <w:rPr>
          <w:color w:val="auto"/>
          <w:kern w:val="0"/>
          <w:szCs w:val="21"/>
        </w:rPr>
        <w:t>产量约</w:t>
      </w:r>
      <w:r>
        <w:rPr>
          <w:rFonts w:hint="eastAsia"/>
          <w:color w:val="auto"/>
          <w:kern w:val="0"/>
          <w:szCs w:val="21"/>
        </w:rPr>
        <w:t>7</w:t>
      </w:r>
      <w:r>
        <w:rPr>
          <w:color w:val="auto"/>
          <w:kern w:val="0"/>
          <w:szCs w:val="21"/>
        </w:rPr>
        <w:t>00kg，油菜每亩</w:t>
      </w:r>
      <w:r>
        <w:rPr>
          <w:rFonts w:hint="eastAsia"/>
          <w:color w:val="auto"/>
          <w:kern w:val="0"/>
          <w:szCs w:val="21"/>
        </w:rPr>
        <w:t>平均</w:t>
      </w:r>
      <w:r>
        <w:rPr>
          <w:color w:val="auto"/>
          <w:kern w:val="0"/>
          <w:szCs w:val="21"/>
        </w:rPr>
        <w:t>产量约300kg。根据农业部办公厅关于印发《畜禽粪污土地承载力测算技术指南》的通知（农办牧【2018】1号）中附表1不同植物形成100kg产量需要吸收氮磷量推荐值，本项目涉及作物的氮磷量吸收值见下表：</w:t>
      </w:r>
    </w:p>
    <w:p>
      <w:pPr>
        <w:spacing w:before="120" w:line="240" w:lineRule="exact"/>
        <w:ind w:firstLine="480" w:firstLineChars="0"/>
        <w:jc w:val="center"/>
        <w:rPr>
          <w:b/>
          <w:color w:val="auto"/>
          <w:sz w:val="21"/>
        </w:rPr>
      </w:pPr>
      <w:r>
        <w:rPr>
          <w:b/>
          <w:color w:val="auto"/>
          <w:sz w:val="21"/>
        </w:rPr>
        <w:t>表5.2-3</w:t>
      </w:r>
      <w:r>
        <w:rPr>
          <w:rFonts w:hint="eastAsia"/>
          <w:b/>
          <w:color w:val="auto"/>
          <w:sz w:val="21"/>
          <w:lang w:val="en-US" w:eastAsia="zh-CN"/>
        </w:rPr>
        <w:t xml:space="preserve"> </w:t>
      </w:r>
      <w:r>
        <w:rPr>
          <w:b/>
          <w:color w:val="auto"/>
          <w:sz w:val="21"/>
        </w:rPr>
        <w:t>本项目不同作物形成100kg产量需要吸收氮磷量</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3250"/>
        <w:gridCol w:w="2709"/>
        <w:gridCol w:w="270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50" w:type="dxa"/>
            <w:noWrap w:val="0"/>
            <w:vAlign w:val="top"/>
          </w:tcPr>
          <w:p>
            <w:pPr>
              <w:kinsoku w:val="0"/>
              <w:overflowPunct w:val="0"/>
              <w:autoSpaceDE w:val="0"/>
              <w:autoSpaceDN w:val="0"/>
              <w:adjustRightInd w:val="0"/>
              <w:spacing w:line="240" w:lineRule="auto"/>
              <w:ind w:firstLine="0" w:firstLineChars="0"/>
              <w:jc w:val="center"/>
              <w:rPr>
                <w:b/>
                <w:bCs/>
                <w:color w:val="auto"/>
                <w:kern w:val="0"/>
                <w:sz w:val="21"/>
                <w:szCs w:val="21"/>
              </w:rPr>
            </w:pPr>
            <w:r>
              <w:rPr>
                <w:b/>
                <w:bCs/>
                <w:color w:val="auto"/>
                <w:kern w:val="0"/>
                <w:sz w:val="21"/>
                <w:szCs w:val="21"/>
              </w:rPr>
              <w:t>作物种类</w:t>
            </w:r>
          </w:p>
        </w:tc>
        <w:tc>
          <w:tcPr>
            <w:tcW w:w="2709" w:type="dxa"/>
            <w:noWrap w:val="0"/>
            <w:vAlign w:val="top"/>
          </w:tcPr>
          <w:p>
            <w:pPr>
              <w:kinsoku w:val="0"/>
              <w:overflowPunct w:val="0"/>
              <w:autoSpaceDE w:val="0"/>
              <w:autoSpaceDN w:val="0"/>
              <w:adjustRightInd w:val="0"/>
              <w:spacing w:line="240" w:lineRule="auto"/>
              <w:ind w:firstLine="0" w:firstLineChars="0"/>
              <w:jc w:val="center"/>
              <w:rPr>
                <w:b/>
                <w:bCs/>
                <w:color w:val="auto"/>
                <w:kern w:val="0"/>
                <w:sz w:val="21"/>
                <w:szCs w:val="21"/>
              </w:rPr>
            </w:pPr>
            <w:r>
              <w:rPr>
                <w:b/>
                <w:bCs/>
                <w:color w:val="auto"/>
                <w:kern w:val="0"/>
                <w:sz w:val="21"/>
                <w:szCs w:val="21"/>
              </w:rPr>
              <w:t>氮/N（kg）</w:t>
            </w:r>
          </w:p>
        </w:tc>
        <w:tc>
          <w:tcPr>
            <w:tcW w:w="2708" w:type="dxa"/>
            <w:noWrap w:val="0"/>
            <w:vAlign w:val="top"/>
          </w:tcPr>
          <w:p>
            <w:pPr>
              <w:kinsoku w:val="0"/>
              <w:overflowPunct w:val="0"/>
              <w:autoSpaceDE w:val="0"/>
              <w:autoSpaceDN w:val="0"/>
              <w:adjustRightInd w:val="0"/>
              <w:spacing w:line="240" w:lineRule="auto"/>
              <w:ind w:firstLine="0" w:firstLineChars="0"/>
              <w:jc w:val="center"/>
              <w:rPr>
                <w:b/>
                <w:bCs/>
                <w:color w:val="auto"/>
                <w:kern w:val="0"/>
                <w:sz w:val="21"/>
                <w:szCs w:val="21"/>
              </w:rPr>
            </w:pPr>
            <w:r>
              <w:rPr>
                <w:b/>
                <w:bCs/>
                <w:color w:val="auto"/>
                <w:kern w:val="0"/>
                <w:sz w:val="21"/>
                <w:szCs w:val="21"/>
              </w:rPr>
              <w:t>磷/P（kg）</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50" w:type="dxa"/>
            <w:noWrap w:val="0"/>
            <w:vAlign w:val="center"/>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油菜</w:t>
            </w:r>
          </w:p>
        </w:tc>
        <w:tc>
          <w:tcPr>
            <w:tcW w:w="2709" w:type="dxa"/>
            <w:noWrap w:val="0"/>
            <w:vAlign w:val="top"/>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7.19</w:t>
            </w:r>
          </w:p>
        </w:tc>
        <w:tc>
          <w:tcPr>
            <w:tcW w:w="2708" w:type="dxa"/>
            <w:noWrap w:val="0"/>
            <w:vAlign w:val="top"/>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0.887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250" w:type="dxa"/>
            <w:noWrap w:val="0"/>
            <w:vAlign w:val="center"/>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水稻</w:t>
            </w:r>
          </w:p>
        </w:tc>
        <w:tc>
          <w:tcPr>
            <w:tcW w:w="2709" w:type="dxa"/>
            <w:noWrap w:val="0"/>
            <w:vAlign w:val="top"/>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2.2</w:t>
            </w:r>
          </w:p>
        </w:tc>
        <w:tc>
          <w:tcPr>
            <w:tcW w:w="2708" w:type="dxa"/>
            <w:noWrap w:val="0"/>
            <w:vAlign w:val="top"/>
          </w:tcPr>
          <w:p>
            <w:pPr>
              <w:kinsoku w:val="0"/>
              <w:overflowPunct w:val="0"/>
              <w:autoSpaceDE w:val="0"/>
              <w:autoSpaceDN w:val="0"/>
              <w:adjustRightInd w:val="0"/>
              <w:spacing w:line="240" w:lineRule="auto"/>
              <w:ind w:firstLine="0" w:firstLineChars="0"/>
              <w:jc w:val="center"/>
              <w:rPr>
                <w:color w:val="auto"/>
                <w:kern w:val="0"/>
                <w:sz w:val="21"/>
                <w:szCs w:val="21"/>
              </w:rPr>
            </w:pPr>
            <w:r>
              <w:rPr>
                <w:color w:val="auto"/>
                <w:kern w:val="0"/>
                <w:sz w:val="21"/>
                <w:szCs w:val="21"/>
              </w:rPr>
              <w:t>0.8</w:t>
            </w:r>
          </w:p>
        </w:tc>
      </w:tr>
    </w:tbl>
    <w:p>
      <w:pPr>
        <w:spacing w:before="120" w:line="240" w:lineRule="exact"/>
        <w:ind w:firstLine="480" w:firstLineChars="0"/>
        <w:jc w:val="center"/>
        <w:rPr>
          <w:b/>
          <w:color w:val="auto"/>
          <w:sz w:val="21"/>
        </w:rPr>
      </w:pPr>
      <w:r>
        <w:rPr>
          <w:b/>
          <w:color w:val="auto"/>
          <w:sz w:val="21"/>
        </w:rPr>
        <w:t>表5.2-4</w:t>
      </w:r>
      <w:r>
        <w:rPr>
          <w:rFonts w:hint="eastAsia"/>
          <w:b/>
          <w:color w:val="auto"/>
          <w:sz w:val="21"/>
          <w:lang w:val="en-US" w:eastAsia="zh-CN"/>
        </w:rPr>
        <w:t xml:space="preserve"> </w:t>
      </w:r>
      <w:r>
        <w:rPr>
          <w:b/>
          <w:color w:val="auto"/>
          <w:sz w:val="21"/>
        </w:rPr>
        <w:t>本项目配套的种植作物需要吸收的氮磷量</w:t>
      </w:r>
    </w:p>
    <w:tbl>
      <w:tblPr>
        <w:tblStyle w:val="5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747"/>
        <w:gridCol w:w="1954"/>
        <w:gridCol w:w="1980"/>
        <w:gridCol w:w="213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作物种类</w:t>
            </w:r>
          </w:p>
        </w:tc>
        <w:tc>
          <w:tcPr>
            <w:tcW w:w="110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油菜</w:t>
            </w:r>
          </w:p>
        </w:tc>
        <w:tc>
          <w:tcPr>
            <w:tcW w:w="1123"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水稻</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合计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面积（亩）</w:t>
            </w:r>
          </w:p>
        </w:tc>
        <w:tc>
          <w:tcPr>
            <w:tcW w:w="2231" w:type="pct"/>
            <w:gridSpan w:val="2"/>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lang w:val="en-US" w:eastAsia="zh-CN"/>
              </w:rPr>
              <w:t>27</w:t>
            </w:r>
            <w:r>
              <w:rPr>
                <w:color w:val="auto"/>
                <w:kern w:val="0"/>
                <w:sz w:val="20"/>
                <w:szCs w:val="20"/>
              </w:rPr>
              <w:t>00</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lang w:val="en-US" w:eastAsia="zh-CN"/>
              </w:rPr>
              <w:t>27</w:t>
            </w:r>
            <w:r>
              <w:rPr>
                <w:color w:val="auto"/>
                <w:kern w:val="0"/>
                <w:sz w:val="20"/>
                <w:szCs w:val="20"/>
              </w:rPr>
              <w:t>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6"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每亩产量kg/亩</w:t>
            </w:r>
          </w:p>
        </w:tc>
        <w:tc>
          <w:tcPr>
            <w:tcW w:w="110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300</w:t>
            </w:r>
          </w:p>
        </w:tc>
        <w:tc>
          <w:tcPr>
            <w:tcW w:w="1123"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7</w:t>
            </w:r>
            <w:r>
              <w:rPr>
                <w:color w:val="auto"/>
                <w:kern w:val="0"/>
                <w:sz w:val="20"/>
                <w:szCs w:val="20"/>
              </w:rPr>
              <w:t>00</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作物总产量(t)</w:t>
            </w:r>
          </w:p>
        </w:tc>
        <w:tc>
          <w:tcPr>
            <w:tcW w:w="110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rFonts w:hint="default" w:eastAsia="宋体"/>
                <w:color w:val="auto"/>
                <w:kern w:val="0"/>
                <w:sz w:val="20"/>
                <w:szCs w:val="20"/>
                <w:lang w:val="en-US" w:eastAsia="zh-CN"/>
              </w:rPr>
            </w:pPr>
            <w:r>
              <w:rPr>
                <w:rFonts w:hint="eastAsia"/>
                <w:color w:val="auto"/>
                <w:kern w:val="0"/>
                <w:sz w:val="20"/>
                <w:szCs w:val="20"/>
                <w:lang w:val="en-US" w:eastAsia="zh-CN"/>
              </w:rPr>
              <w:t>810</w:t>
            </w:r>
          </w:p>
        </w:tc>
        <w:tc>
          <w:tcPr>
            <w:tcW w:w="1123"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1890</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N养分需求量(t)</w:t>
            </w:r>
          </w:p>
        </w:tc>
        <w:tc>
          <w:tcPr>
            <w:tcW w:w="110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eastAsia="等线"/>
                <w:color w:val="auto"/>
                <w:sz w:val="20"/>
                <w:szCs w:val="20"/>
              </w:rPr>
              <w:t>58.239</w:t>
            </w:r>
          </w:p>
        </w:tc>
        <w:tc>
          <w:tcPr>
            <w:tcW w:w="1123"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eastAsia="等线"/>
                <w:color w:val="auto"/>
                <w:sz w:val="20"/>
                <w:szCs w:val="20"/>
              </w:rPr>
              <w:t>41.58</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eastAsia="等线"/>
                <w:color w:val="auto"/>
                <w:sz w:val="20"/>
                <w:szCs w:val="20"/>
              </w:rPr>
              <w:t>99.819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55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color w:val="auto"/>
                <w:kern w:val="0"/>
                <w:sz w:val="20"/>
                <w:szCs w:val="20"/>
              </w:rPr>
              <w:t>P养分需求量(t)</w:t>
            </w:r>
          </w:p>
        </w:tc>
        <w:tc>
          <w:tcPr>
            <w:tcW w:w="1108"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eastAsia="等线"/>
                <w:color w:val="auto"/>
                <w:sz w:val="20"/>
                <w:szCs w:val="20"/>
              </w:rPr>
              <w:t>7.1847</w:t>
            </w:r>
          </w:p>
        </w:tc>
        <w:tc>
          <w:tcPr>
            <w:tcW w:w="1123"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rFonts w:hint="eastAsia" w:eastAsia="等线"/>
                <w:color w:val="auto"/>
                <w:kern w:val="0"/>
                <w:sz w:val="20"/>
                <w:szCs w:val="20"/>
                <w:lang w:val="en-US" w:eastAsia="zh-CN"/>
              </w:rPr>
            </w:pPr>
            <w:r>
              <w:rPr>
                <w:rFonts w:hint="eastAsia" w:eastAsia="等线"/>
                <w:color w:val="auto"/>
                <w:sz w:val="20"/>
                <w:szCs w:val="20"/>
              </w:rPr>
              <w:t>15.12</w:t>
            </w:r>
          </w:p>
        </w:tc>
        <w:tc>
          <w:tcPr>
            <w:tcW w:w="1211" w:type="pct"/>
            <w:noWrap w:val="0"/>
            <w:tcMar>
              <w:top w:w="15" w:type="dxa"/>
              <w:left w:w="15" w:type="dxa"/>
              <w:right w:w="15"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eastAsia="等线"/>
                <w:color w:val="auto"/>
                <w:sz w:val="20"/>
                <w:szCs w:val="20"/>
              </w:rPr>
              <w:t>22.3047</w:t>
            </w:r>
            <w:r>
              <w:rPr>
                <w:rFonts w:eastAsia="等线"/>
                <w:color w:val="auto"/>
                <w:sz w:val="20"/>
                <w:szCs w:val="20"/>
              </w:rPr>
              <w:t xml:space="preserve"> </w:t>
            </w:r>
          </w:p>
        </w:tc>
      </w:tr>
    </w:tbl>
    <w:p>
      <w:pPr>
        <w:spacing w:before="120" w:line="240" w:lineRule="exact"/>
        <w:ind w:firstLine="480" w:firstLineChars="0"/>
        <w:jc w:val="center"/>
        <w:rPr>
          <w:b/>
          <w:color w:val="auto"/>
          <w:sz w:val="21"/>
        </w:rPr>
      </w:pPr>
      <w:r>
        <w:rPr>
          <w:b/>
          <w:color w:val="auto"/>
          <w:sz w:val="21"/>
        </w:rPr>
        <w:t>表5.2-5</w:t>
      </w:r>
      <w:r>
        <w:rPr>
          <w:rFonts w:hint="eastAsia"/>
          <w:b/>
          <w:color w:val="auto"/>
          <w:sz w:val="21"/>
          <w:lang w:val="en-US" w:eastAsia="zh-CN"/>
        </w:rPr>
        <w:t xml:space="preserve"> </w:t>
      </w:r>
      <w:r>
        <w:rPr>
          <w:b/>
          <w:color w:val="auto"/>
          <w:sz w:val="21"/>
        </w:rPr>
        <w:t>土地N粪肥养分需求量计算一览表</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080"/>
        <w:gridCol w:w="919"/>
        <w:gridCol w:w="1041"/>
        <w:gridCol w:w="1491"/>
        <w:gridCol w:w="1088"/>
        <w:gridCol w:w="1098"/>
        <w:gridCol w:w="1178"/>
        <w:gridCol w:w="84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38" w:hRule="atLeast"/>
          <w:jc w:val="center"/>
        </w:trPr>
        <w:tc>
          <w:tcPr>
            <w:tcW w:w="108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作物</w:t>
            </w:r>
          </w:p>
        </w:tc>
        <w:tc>
          <w:tcPr>
            <w:tcW w:w="919"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面积（亩）</w:t>
            </w:r>
          </w:p>
        </w:tc>
        <w:tc>
          <w:tcPr>
            <w:tcW w:w="104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每亩</w:t>
            </w:r>
            <w:r>
              <w:rPr>
                <w:rFonts w:hint="eastAsia"/>
                <w:b/>
                <w:bCs/>
                <w:color w:val="auto"/>
                <w:kern w:val="0"/>
                <w:sz w:val="20"/>
                <w:szCs w:val="20"/>
              </w:rPr>
              <w:t>平均</w:t>
            </w:r>
            <w:r>
              <w:rPr>
                <w:b/>
                <w:bCs/>
                <w:color w:val="auto"/>
                <w:kern w:val="0"/>
                <w:sz w:val="20"/>
                <w:szCs w:val="20"/>
              </w:rPr>
              <w:t>产量（kg）</w:t>
            </w:r>
          </w:p>
        </w:tc>
        <w:tc>
          <w:tcPr>
            <w:tcW w:w="149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N（形成100kg产量需要吸收氮量）</w:t>
            </w:r>
          </w:p>
        </w:tc>
        <w:tc>
          <w:tcPr>
            <w:tcW w:w="108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施肥供给养分占比（%）</w:t>
            </w:r>
          </w:p>
        </w:tc>
        <w:tc>
          <w:tcPr>
            <w:tcW w:w="109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粪肥占施肥比例（%）</w:t>
            </w:r>
          </w:p>
        </w:tc>
        <w:tc>
          <w:tcPr>
            <w:tcW w:w="117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粪肥当季利用率（%）</w:t>
            </w:r>
          </w:p>
        </w:tc>
        <w:tc>
          <w:tcPr>
            <w:tcW w:w="84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N粪肥需求量（t）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2" w:hRule="atLeast"/>
          <w:jc w:val="center"/>
        </w:trPr>
        <w:tc>
          <w:tcPr>
            <w:tcW w:w="108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油菜</w:t>
            </w:r>
          </w:p>
        </w:tc>
        <w:tc>
          <w:tcPr>
            <w:tcW w:w="919"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104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300</w:t>
            </w:r>
          </w:p>
        </w:tc>
        <w:tc>
          <w:tcPr>
            <w:tcW w:w="149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7.19</w:t>
            </w:r>
          </w:p>
        </w:tc>
        <w:tc>
          <w:tcPr>
            <w:tcW w:w="108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45</w:t>
            </w:r>
          </w:p>
        </w:tc>
        <w:tc>
          <w:tcPr>
            <w:tcW w:w="109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50</w:t>
            </w:r>
          </w:p>
        </w:tc>
        <w:tc>
          <w:tcPr>
            <w:tcW w:w="117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25</w:t>
            </w:r>
          </w:p>
        </w:tc>
        <w:tc>
          <w:tcPr>
            <w:tcW w:w="848" w:type="dxa"/>
            <w:vMerge w:val="restart"/>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89.837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2" w:hRule="atLeast"/>
          <w:jc w:val="center"/>
        </w:trPr>
        <w:tc>
          <w:tcPr>
            <w:tcW w:w="108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水稻</w:t>
            </w:r>
          </w:p>
        </w:tc>
        <w:tc>
          <w:tcPr>
            <w:tcW w:w="919"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104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700</w:t>
            </w:r>
          </w:p>
        </w:tc>
        <w:tc>
          <w:tcPr>
            <w:tcW w:w="1491"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2.2</w:t>
            </w:r>
          </w:p>
        </w:tc>
        <w:tc>
          <w:tcPr>
            <w:tcW w:w="108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45</w:t>
            </w:r>
          </w:p>
        </w:tc>
        <w:tc>
          <w:tcPr>
            <w:tcW w:w="109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50</w:t>
            </w:r>
          </w:p>
        </w:tc>
        <w:tc>
          <w:tcPr>
            <w:tcW w:w="117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25</w:t>
            </w:r>
          </w:p>
        </w:tc>
        <w:tc>
          <w:tcPr>
            <w:tcW w:w="848" w:type="dxa"/>
            <w:vMerge w:val="continue"/>
            <w:noWrap w:val="0"/>
            <w:tcMar>
              <w:top w:w="10" w:type="dxa"/>
              <w:left w:w="10" w:type="dxa"/>
              <w:right w:w="10" w:type="dxa"/>
            </w:tcMar>
            <w:vAlign w:val="center"/>
          </w:tcPr>
          <w:p>
            <w:pPr>
              <w:keepNext w:val="0"/>
              <w:keepLines w:val="0"/>
              <w:pageBreakBefore w:val="0"/>
              <w:widowControl w:val="0"/>
              <w:wordWrap/>
              <w:topLinePunct w:val="0"/>
              <w:bidi w:val="0"/>
              <w:snapToGrid/>
              <w:spacing w:line="0" w:lineRule="atLeast"/>
              <w:ind w:firstLine="400"/>
              <w:jc w:val="center"/>
              <w:textAlignment w:val="auto"/>
              <w:rPr>
                <w:color w:val="auto"/>
                <w:sz w:val="20"/>
                <w:szCs w:val="20"/>
              </w:rPr>
            </w:pPr>
          </w:p>
        </w:tc>
      </w:tr>
    </w:tbl>
    <w:p>
      <w:pPr>
        <w:spacing w:before="120" w:line="240" w:lineRule="exact"/>
        <w:ind w:firstLine="480" w:firstLineChars="0"/>
        <w:jc w:val="center"/>
        <w:rPr>
          <w:b/>
          <w:color w:val="auto"/>
          <w:sz w:val="21"/>
        </w:rPr>
      </w:pPr>
      <w:r>
        <w:rPr>
          <w:b/>
          <w:color w:val="auto"/>
          <w:sz w:val="21"/>
        </w:rPr>
        <w:t>表5.2-6</w:t>
      </w:r>
      <w:r>
        <w:rPr>
          <w:rFonts w:hint="eastAsia"/>
          <w:b/>
          <w:color w:val="auto"/>
          <w:sz w:val="21"/>
          <w:lang w:val="en-US" w:eastAsia="zh-CN"/>
        </w:rPr>
        <w:t xml:space="preserve"> </w:t>
      </w:r>
      <w:r>
        <w:rPr>
          <w:b/>
          <w:color w:val="auto"/>
          <w:sz w:val="21"/>
        </w:rPr>
        <w:t>土地P粪肥养分需求量计算一览表</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06"/>
        <w:gridCol w:w="900"/>
        <w:gridCol w:w="1035"/>
        <w:gridCol w:w="1500"/>
        <w:gridCol w:w="1065"/>
        <w:gridCol w:w="1095"/>
        <w:gridCol w:w="1155"/>
        <w:gridCol w:w="87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06"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作物</w:t>
            </w:r>
          </w:p>
        </w:tc>
        <w:tc>
          <w:tcPr>
            <w:tcW w:w="9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面积（亩）</w:t>
            </w:r>
          </w:p>
        </w:tc>
        <w:tc>
          <w:tcPr>
            <w:tcW w:w="103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每亩</w:t>
            </w:r>
            <w:r>
              <w:rPr>
                <w:rFonts w:hint="eastAsia"/>
                <w:b/>
                <w:bCs/>
                <w:color w:val="auto"/>
                <w:kern w:val="0"/>
                <w:sz w:val="20"/>
                <w:szCs w:val="20"/>
              </w:rPr>
              <w:t>平均</w:t>
            </w:r>
            <w:r>
              <w:rPr>
                <w:b/>
                <w:bCs/>
                <w:color w:val="auto"/>
                <w:kern w:val="0"/>
                <w:sz w:val="20"/>
                <w:szCs w:val="20"/>
              </w:rPr>
              <w:t>产量（kg）</w:t>
            </w:r>
          </w:p>
        </w:tc>
        <w:tc>
          <w:tcPr>
            <w:tcW w:w="15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p（形成100kg产量需要吸收磷量）</w:t>
            </w:r>
          </w:p>
        </w:tc>
        <w:tc>
          <w:tcPr>
            <w:tcW w:w="106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施肥供给养分占比（%）</w:t>
            </w:r>
          </w:p>
        </w:tc>
        <w:tc>
          <w:tcPr>
            <w:tcW w:w="109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粪肥占施肥比例（%）</w:t>
            </w:r>
          </w:p>
        </w:tc>
        <w:tc>
          <w:tcPr>
            <w:tcW w:w="115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粪肥当季利用率（%）</w:t>
            </w:r>
          </w:p>
        </w:tc>
        <w:tc>
          <w:tcPr>
            <w:tcW w:w="878"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b/>
                <w:bCs/>
                <w:color w:val="auto"/>
                <w:kern w:val="0"/>
                <w:sz w:val="20"/>
                <w:szCs w:val="20"/>
              </w:rPr>
            </w:pPr>
            <w:r>
              <w:rPr>
                <w:b/>
                <w:bCs/>
                <w:color w:val="auto"/>
                <w:kern w:val="0"/>
                <w:sz w:val="20"/>
                <w:szCs w:val="20"/>
              </w:rPr>
              <w:t>p粪肥需求量（t）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06"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油菜</w:t>
            </w:r>
          </w:p>
        </w:tc>
        <w:tc>
          <w:tcPr>
            <w:tcW w:w="9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103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300</w:t>
            </w:r>
          </w:p>
        </w:tc>
        <w:tc>
          <w:tcPr>
            <w:tcW w:w="15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0.887</w:t>
            </w:r>
          </w:p>
        </w:tc>
        <w:tc>
          <w:tcPr>
            <w:tcW w:w="106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45</w:t>
            </w:r>
          </w:p>
        </w:tc>
        <w:tc>
          <w:tcPr>
            <w:tcW w:w="109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50</w:t>
            </w:r>
          </w:p>
        </w:tc>
        <w:tc>
          <w:tcPr>
            <w:tcW w:w="115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30</w:t>
            </w:r>
          </w:p>
        </w:tc>
        <w:tc>
          <w:tcPr>
            <w:tcW w:w="878" w:type="dxa"/>
            <w:vMerge w:val="restart"/>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rFonts w:hint="eastAsia" w:eastAsia="宋体"/>
                <w:color w:val="auto"/>
                <w:kern w:val="0"/>
                <w:sz w:val="20"/>
                <w:szCs w:val="20"/>
                <w:lang w:eastAsia="zh-CN"/>
              </w:rPr>
            </w:pPr>
            <w:r>
              <w:rPr>
                <w:rFonts w:hint="eastAsia"/>
                <w:color w:val="auto"/>
                <w:kern w:val="0"/>
                <w:sz w:val="20"/>
                <w:szCs w:val="20"/>
              </w:rPr>
              <w:t>16.72</w:t>
            </w:r>
            <w:r>
              <w:rPr>
                <w:rFonts w:hint="eastAsia"/>
                <w:color w:val="auto"/>
                <w:kern w:val="0"/>
                <w:sz w:val="20"/>
                <w:szCs w:val="20"/>
                <w:lang w:val="en-US" w:eastAsia="zh-CN"/>
              </w:rPr>
              <w:t>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06"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水稻</w:t>
            </w:r>
          </w:p>
        </w:tc>
        <w:tc>
          <w:tcPr>
            <w:tcW w:w="9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2</w:t>
            </w:r>
            <w:r>
              <w:rPr>
                <w:rFonts w:hint="eastAsia"/>
                <w:color w:val="auto"/>
                <w:kern w:val="0"/>
                <w:sz w:val="20"/>
                <w:szCs w:val="20"/>
                <w:lang w:val="en-US" w:eastAsia="zh-CN"/>
              </w:rPr>
              <w:t>7</w:t>
            </w:r>
            <w:r>
              <w:rPr>
                <w:color w:val="auto"/>
                <w:kern w:val="0"/>
                <w:sz w:val="20"/>
                <w:szCs w:val="20"/>
              </w:rPr>
              <w:t>00</w:t>
            </w:r>
          </w:p>
        </w:tc>
        <w:tc>
          <w:tcPr>
            <w:tcW w:w="103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700</w:t>
            </w:r>
          </w:p>
        </w:tc>
        <w:tc>
          <w:tcPr>
            <w:tcW w:w="1500"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0.8</w:t>
            </w:r>
          </w:p>
        </w:tc>
        <w:tc>
          <w:tcPr>
            <w:tcW w:w="106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45</w:t>
            </w:r>
          </w:p>
        </w:tc>
        <w:tc>
          <w:tcPr>
            <w:tcW w:w="109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50</w:t>
            </w:r>
          </w:p>
        </w:tc>
        <w:tc>
          <w:tcPr>
            <w:tcW w:w="1155" w:type="dxa"/>
            <w:noWrap w:val="0"/>
            <w:tcMar>
              <w:top w:w="10" w:type="dxa"/>
              <w:left w:w="10" w:type="dxa"/>
              <w:right w:w="10" w:type="dxa"/>
            </w:tcMar>
            <w:vAlign w:val="center"/>
          </w:tcPr>
          <w:p>
            <w:pPr>
              <w:keepNext w:val="0"/>
              <w:keepLines w:val="0"/>
              <w:pageBreakBefore w:val="0"/>
              <w:widowControl w:val="0"/>
              <w:kinsoku w:val="0"/>
              <w:wordWrap/>
              <w:overflowPunct w:val="0"/>
              <w:topLinePunct w:val="0"/>
              <w:autoSpaceDE w:val="0"/>
              <w:autoSpaceDN w:val="0"/>
              <w:bidi w:val="0"/>
              <w:adjustRightInd w:val="0"/>
              <w:snapToGrid/>
              <w:spacing w:line="0" w:lineRule="atLeast"/>
              <w:ind w:firstLine="0" w:firstLineChars="0"/>
              <w:jc w:val="center"/>
              <w:textAlignment w:val="auto"/>
              <w:rPr>
                <w:color w:val="auto"/>
                <w:kern w:val="0"/>
                <w:sz w:val="20"/>
                <w:szCs w:val="20"/>
              </w:rPr>
            </w:pPr>
            <w:r>
              <w:rPr>
                <w:rFonts w:hint="eastAsia"/>
                <w:color w:val="auto"/>
                <w:kern w:val="0"/>
                <w:sz w:val="20"/>
                <w:szCs w:val="20"/>
              </w:rPr>
              <w:t>30</w:t>
            </w:r>
          </w:p>
        </w:tc>
        <w:tc>
          <w:tcPr>
            <w:tcW w:w="878" w:type="dxa"/>
            <w:vMerge w:val="continue"/>
            <w:noWrap w:val="0"/>
            <w:tcMar>
              <w:top w:w="10" w:type="dxa"/>
              <w:left w:w="10" w:type="dxa"/>
              <w:right w:w="10" w:type="dxa"/>
            </w:tcMar>
            <w:vAlign w:val="center"/>
          </w:tcPr>
          <w:p>
            <w:pPr>
              <w:keepNext w:val="0"/>
              <w:keepLines w:val="0"/>
              <w:pageBreakBefore w:val="0"/>
              <w:widowControl w:val="0"/>
              <w:wordWrap/>
              <w:topLinePunct w:val="0"/>
              <w:bidi w:val="0"/>
              <w:snapToGrid/>
              <w:spacing w:line="0" w:lineRule="atLeast"/>
              <w:ind w:firstLine="400"/>
              <w:jc w:val="center"/>
              <w:textAlignment w:val="auto"/>
              <w:rPr>
                <w:color w:val="auto"/>
                <w:sz w:val="20"/>
                <w:szCs w:val="20"/>
              </w:rPr>
            </w:pPr>
          </w:p>
        </w:tc>
      </w:tr>
    </w:tbl>
    <w:p>
      <w:pPr>
        <w:adjustRightInd w:val="0"/>
        <w:snapToGrid w:val="0"/>
        <w:ind w:firstLine="480"/>
        <w:rPr>
          <w:color w:val="auto"/>
        </w:rPr>
      </w:pPr>
      <w:r>
        <w:rPr>
          <w:color w:val="auto"/>
        </w:rPr>
        <w:t>因此，根据已签订的消纳文件，本项目已配套消纳土地面积为2</w:t>
      </w:r>
      <w:r>
        <w:rPr>
          <w:rFonts w:hint="eastAsia"/>
          <w:color w:val="auto"/>
          <w:lang w:val="en-US" w:eastAsia="zh-CN"/>
        </w:rPr>
        <w:t>7</w:t>
      </w:r>
      <w:r>
        <w:rPr>
          <w:color w:val="auto"/>
        </w:rPr>
        <w:t>00亩对应所需的N养分需求量为</w:t>
      </w:r>
      <w:r>
        <w:rPr>
          <w:rFonts w:hint="eastAsia"/>
          <w:color w:val="auto"/>
        </w:rPr>
        <w:t>99.819</w:t>
      </w:r>
      <w:r>
        <w:rPr>
          <w:color w:val="auto"/>
        </w:rPr>
        <w:t>t</w:t>
      </w:r>
      <w:r>
        <w:rPr>
          <w:rFonts w:hint="eastAsia"/>
          <w:color w:val="auto"/>
        </w:rPr>
        <w:t>/a</w:t>
      </w:r>
      <w:r>
        <w:rPr>
          <w:color w:val="auto"/>
        </w:rPr>
        <w:t>、P养分需求量为</w:t>
      </w:r>
      <w:r>
        <w:rPr>
          <w:rFonts w:hint="eastAsia"/>
          <w:color w:val="auto"/>
        </w:rPr>
        <w:t>22.3047</w:t>
      </w:r>
      <w:r>
        <w:rPr>
          <w:color w:val="auto"/>
        </w:rPr>
        <w:t xml:space="preserve"> t</w:t>
      </w:r>
      <w:r>
        <w:rPr>
          <w:rFonts w:hint="eastAsia"/>
          <w:color w:val="auto"/>
        </w:rPr>
        <w:t>/a</w:t>
      </w:r>
      <w:r>
        <w:rPr>
          <w:color w:val="auto"/>
        </w:rPr>
        <w:t>；根据计算，本项目配套土地N粪肥需求量为</w:t>
      </w:r>
      <w:r>
        <w:rPr>
          <w:rFonts w:hint="eastAsia"/>
          <w:color w:val="auto"/>
        </w:rPr>
        <w:t>89.837</w:t>
      </w:r>
      <w:r>
        <w:rPr>
          <w:color w:val="auto"/>
        </w:rPr>
        <w:t>t（＞N供给量</w:t>
      </w:r>
      <w:r>
        <w:rPr>
          <w:rFonts w:hint="eastAsia"/>
          <w:color w:val="auto"/>
        </w:rPr>
        <w:t>47.74</w:t>
      </w:r>
      <w:r>
        <w:rPr>
          <w:color w:val="auto"/>
        </w:rPr>
        <w:t>t/a），P粪肥需求量为</w:t>
      </w:r>
      <w:r>
        <w:rPr>
          <w:rFonts w:hint="eastAsia"/>
          <w:color w:val="auto"/>
        </w:rPr>
        <w:t>16.727</w:t>
      </w:r>
      <w:r>
        <w:rPr>
          <w:color w:val="auto"/>
        </w:rPr>
        <w:t>t（＞P供给量8.</w:t>
      </w:r>
      <w:r>
        <w:rPr>
          <w:rFonts w:hint="eastAsia"/>
          <w:color w:val="auto"/>
          <w:lang w:val="en-US" w:eastAsia="zh-CN"/>
        </w:rPr>
        <w:t>316</w:t>
      </w:r>
      <w:r>
        <w:rPr>
          <w:color w:val="auto"/>
        </w:rPr>
        <w:t>t/a）。因此本项目消纳地面积满足消纳要求。在合理种植和施肥的基础上，项目粪污的处理和土壤肥力、作物生长之间是趋于平衡的，不会超过土壤负荷。</w:t>
      </w:r>
    </w:p>
    <w:p>
      <w:pPr>
        <w:adjustRightInd w:val="0"/>
        <w:snapToGrid w:val="0"/>
        <w:ind w:firstLine="480"/>
        <w:rPr>
          <w:color w:val="auto"/>
          <w:kern w:val="0"/>
        </w:rPr>
      </w:pPr>
      <w:r>
        <w:rPr>
          <w:color w:val="auto"/>
        </w:rPr>
        <w:t>综上所述，本项目产生的废水能完全被土壤消纳，本项目养殖规模符合国家种养结合的养殖原则，不会产生二次污染。</w:t>
      </w:r>
    </w:p>
    <w:p>
      <w:pPr>
        <w:adjustRightInd w:val="0"/>
        <w:snapToGrid w:val="0"/>
        <w:ind w:firstLine="480"/>
        <w:rPr>
          <w:color w:val="auto"/>
        </w:rPr>
      </w:pPr>
      <w:r>
        <w:rPr>
          <w:rFonts w:hint="eastAsia"/>
          <w:color w:val="auto"/>
        </w:rPr>
        <w:t>（</w:t>
      </w:r>
      <w:r>
        <w:rPr>
          <w:color w:val="auto"/>
        </w:rPr>
        <w:t>6</w:t>
      </w:r>
      <w:r>
        <w:rPr>
          <w:rFonts w:hint="eastAsia"/>
          <w:color w:val="auto"/>
        </w:rPr>
        <w:t>）还田方式合理性分析</w:t>
      </w:r>
    </w:p>
    <w:p>
      <w:pPr>
        <w:autoSpaceDE w:val="0"/>
        <w:autoSpaceDN w:val="0"/>
        <w:adjustRightInd w:val="0"/>
        <w:snapToGrid w:val="0"/>
        <w:ind w:firstLine="470" w:firstLineChars="196"/>
        <w:rPr>
          <w:rFonts w:hint="eastAsia"/>
          <w:b/>
          <w:bCs/>
          <w:color w:val="auto"/>
        </w:rPr>
      </w:pPr>
      <w:r>
        <w:rPr>
          <w:rFonts w:hint="eastAsia"/>
          <w:bCs/>
          <w:color w:val="auto"/>
        </w:rPr>
        <w:t>本项目粪便水在黑膜沼气池经过厌氧发酵后，沼液输送至</w:t>
      </w:r>
      <w:r>
        <w:rPr>
          <w:rFonts w:hint="eastAsia"/>
          <w:bCs/>
          <w:color w:val="auto"/>
          <w:lang w:eastAsia="zh-CN"/>
        </w:rPr>
        <w:t>沼液暂存池</w:t>
      </w:r>
      <w:r>
        <w:rPr>
          <w:rFonts w:hint="eastAsia"/>
          <w:bCs/>
          <w:color w:val="auto"/>
        </w:rPr>
        <w:t>，非施肥季节沼液储存在</w:t>
      </w:r>
      <w:r>
        <w:rPr>
          <w:rFonts w:hint="eastAsia"/>
          <w:bCs/>
          <w:color w:val="auto"/>
          <w:lang w:eastAsia="zh-CN"/>
        </w:rPr>
        <w:t>沼液暂存池</w:t>
      </w:r>
      <w:r>
        <w:rPr>
          <w:rFonts w:hint="eastAsia"/>
          <w:bCs/>
          <w:color w:val="auto"/>
        </w:rPr>
        <w:t>，在农田施肥季节用于农田施肥，沼液输送方式为铺设输送管网至农田地头，管道为地埋</w:t>
      </w:r>
      <w:r>
        <w:rPr>
          <w:bCs/>
          <w:color w:val="auto"/>
        </w:rPr>
        <w:t>PE</w:t>
      </w:r>
      <w:r>
        <w:rPr>
          <w:rFonts w:hint="eastAsia"/>
          <w:bCs/>
          <w:color w:val="auto"/>
        </w:rPr>
        <w:t>管道，主干管直径为</w:t>
      </w:r>
      <w:r>
        <w:rPr>
          <w:bCs/>
          <w:color w:val="auto"/>
        </w:rPr>
        <w:t>100</w:t>
      </w:r>
      <w:r>
        <w:rPr>
          <w:rFonts w:hint="eastAsia"/>
          <w:bCs/>
          <w:color w:val="auto"/>
        </w:rPr>
        <w:t>mm，支管直径分别为</w:t>
      </w:r>
      <w:r>
        <w:rPr>
          <w:bCs/>
          <w:color w:val="auto"/>
        </w:rPr>
        <w:t>50</w:t>
      </w:r>
      <w:r>
        <w:rPr>
          <w:rFonts w:hint="eastAsia"/>
          <w:bCs/>
          <w:color w:val="auto"/>
        </w:rPr>
        <w:t>mm，在支管的末端设置有阀门，方便农户自主选择使用。公司根据农民土地位置设计并负责铺设沼液输送管网等综合利用配套设施，在每个浇灌口设有阀门，每两个浇灌口间隔50-60m。农肥利用季节农民根据自身需要进行使用。</w:t>
      </w:r>
    </w:p>
    <w:p>
      <w:pPr>
        <w:ind w:firstLine="480"/>
        <w:rPr>
          <w:rFonts w:hint="eastAsia"/>
          <w:bCs/>
          <w:color w:val="auto"/>
        </w:rPr>
      </w:pPr>
      <w:r>
        <w:rPr>
          <w:rFonts w:hint="eastAsia"/>
          <w:bCs/>
          <w:color w:val="auto"/>
        </w:rPr>
        <w:t>在用肥淡季，考虑养分吸收和降雨等特殊情况暂存，会出现短期不用施肥情况（不超过</w:t>
      </w:r>
      <w:r>
        <w:rPr>
          <w:bCs/>
          <w:color w:val="auto"/>
        </w:rPr>
        <w:t>3</w:t>
      </w:r>
      <w:r>
        <w:rPr>
          <w:rFonts w:hint="eastAsia"/>
          <w:bCs/>
          <w:color w:val="auto"/>
        </w:rPr>
        <w:t>个月）。本项目未能利用的液体粪污可以暂存在</w:t>
      </w:r>
      <w:r>
        <w:rPr>
          <w:rFonts w:hint="eastAsia"/>
          <w:bCs/>
          <w:color w:val="auto"/>
          <w:lang w:val="en-US" w:eastAsia="zh-CN"/>
        </w:rPr>
        <w:t>厂区</w:t>
      </w:r>
      <w:r>
        <w:rPr>
          <w:rFonts w:hint="eastAsia"/>
          <w:bCs/>
          <w:color w:val="auto"/>
          <w:lang w:eastAsia="zh-CN"/>
        </w:rPr>
        <w:t>沼液暂存池（</w:t>
      </w:r>
      <w:r>
        <w:rPr>
          <w:rFonts w:hint="eastAsia"/>
          <w:bCs/>
          <w:color w:val="auto"/>
          <w:lang w:val="en-US" w:eastAsia="zh-CN"/>
        </w:rPr>
        <w:t>1个，6500m</w:t>
      </w:r>
      <w:r>
        <w:rPr>
          <w:rFonts w:hint="eastAsia"/>
          <w:bCs/>
          <w:color w:val="auto"/>
          <w:vertAlign w:val="superscript"/>
          <w:lang w:val="en-US" w:eastAsia="zh-CN"/>
        </w:rPr>
        <w:t>3</w:t>
      </w:r>
      <w:r>
        <w:rPr>
          <w:rFonts w:hint="eastAsia"/>
          <w:bCs/>
          <w:color w:val="auto"/>
          <w:lang w:eastAsia="zh-CN"/>
        </w:rPr>
        <w:t>）</w:t>
      </w:r>
      <w:r>
        <w:rPr>
          <w:rFonts w:hint="eastAsia"/>
          <w:bCs/>
          <w:color w:val="auto"/>
        </w:rPr>
        <w:t>内或田间</w:t>
      </w:r>
      <w:r>
        <w:rPr>
          <w:rFonts w:hint="eastAsia"/>
          <w:bCs/>
          <w:color w:val="auto"/>
          <w:lang w:eastAsia="zh-CN"/>
        </w:rPr>
        <w:t>暂存池</w:t>
      </w:r>
      <w:r>
        <w:rPr>
          <w:rFonts w:hint="eastAsia"/>
          <w:bCs/>
          <w:color w:val="auto"/>
        </w:rPr>
        <w:t>内（</w:t>
      </w:r>
      <w:r>
        <w:rPr>
          <w:bCs/>
          <w:color w:val="auto"/>
        </w:rPr>
        <w:t>10</w:t>
      </w:r>
      <w:r>
        <w:rPr>
          <w:rFonts w:hint="eastAsia"/>
          <w:bCs/>
          <w:color w:val="auto"/>
        </w:rPr>
        <w:t>个，</w:t>
      </w:r>
      <w:r>
        <w:rPr>
          <w:rFonts w:hint="eastAsia"/>
          <w:bCs/>
          <w:color w:val="auto"/>
          <w:lang w:val="en-US" w:eastAsia="zh-CN"/>
        </w:rPr>
        <w:t>1</w:t>
      </w:r>
      <w:r>
        <w:rPr>
          <w:rFonts w:hint="eastAsia"/>
          <w:bCs/>
          <w:color w:val="auto"/>
          <w:lang w:val="en-US" w:eastAsia="zh-CN"/>
        </w:rPr>
        <w:t>50</w:t>
      </w:r>
      <w:r>
        <w:rPr>
          <w:rFonts w:hint="eastAsia"/>
          <w:bCs/>
          <w:color w:val="auto"/>
        </w:rPr>
        <w:t>m</w:t>
      </w:r>
      <w:r>
        <w:rPr>
          <w:rFonts w:hint="eastAsia"/>
          <w:bCs/>
          <w:color w:val="auto"/>
          <w:vertAlign w:val="superscript"/>
        </w:rPr>
        <w:t>3</w:t>
      </w:r>
      <w:r>
        <w:rPr>
          <w:bCs/>
          <w:color w:val="auto"/>
        </w:rPr>
        <w:t>/</w:t>
      </w:r>
      <w:r>
        <w:rPr>
          <w:rFonts w:hint="eastAsia"/>
          <w:bCs/>
          <w:color w:val="auto"/>
        </w:rPr>
        <w:t>个），待用肥旺季再次进行利用。本项目厂区设置了1个沼液暂存池容积约</w:t>
      </w:r>
      <w:r>
        <w:rPr>
          <w:rFonts w:hint="eastAsia"/>
          <w:bCs/>
          <w:color w:val="auto"/>
          <w:lang w:val="en-US" w:eastAsia="zh-CN"/>
        </w:rPr>
        <w:t>6</w:t>
      </w:r>
      <w:r>
        <w:rPr>
          <w:rFonts w:hint="eastAsia"/>
          <w:bCs/>
          <w:color w:val="auto"/>
          <w:lang w:val="en-US" w:eastAsia="zh-CN"/>
        </w:rPr>
        <w:t>500</w:t>
      </w:r>
      <w:r>
        <w:rPr>
          <w:rFonts w:hint="eastAsia"/>
          <w:bCs/>
          <w:color w:val="auto"/>
        </w:rPr>
        <w:t>m</w:t>
      </w:r>
      <w:r>
        <w:rPr>
          <w:rFonts w:hint="eastAsia"/>
          <w:bCs/>
          <w:color w:val="auto"/>
          <w:vertAlign w:val="superscript"/>
        </w:rPr>
        <w:t>3</w:t>
      </w:r>
      <w:r>
        <w:rPr>
          <w:rFonts w:hint="eastAsia"/>
          <w:bCs/>
          <w:color w:val="auto"/>
        </w:rPr>
        <w:t>（</w:t>
      </w:r>
      <w:r>
        <w:rPr>
          <w:rFonts w:hint="eastAsia"/>
          <w:bCs/>
          <w:color w:val="auto"/>
          <w:lang w:val="en-US" w:eastAsia="zh-CN"/>
        </w:rPr>
        <w:t>长*宽*高=65m*25m*4m</w:t>
      </w:r>
      <w:r>
        <w:rPr>
          <w:rFonts w:hint="eastAsia"/>
          <w:bCs/>
          <w:color w:val="auto"/>
        </w:rPr>
        <w:t>）</w:t>
      </w:r>
      <w:r>
        <w:rPr>
          <w:rFonts w:hint="eastAsia"/>
          <w:bCs/>
          <w:color w:val="auto"/>
        </w:rPr>
        <w:t>，</w:t>
      </w:r>
      <w:r>
        <w:rPr>
          <w:rFonts w:hint="eastAsia"/>
          <w:color w:val="auto"/>
        </w:rPr>
        <w:t>预留0.9m高的空间</w:t>
      </w:r>
      <w:r>
        <w:rPr>
          <w:rFonts w:hint="eastAsia"/>
          <w:color w:val="auto"/>
          <w:lang w:eastAsia="zh-CN"/>
        </w:rPr>
        <w:t>，</w:t>
      </w:r>
      <w:r>
        <w:rPr>
          <w:rFonts w:hint="eastAsia"/>
          <w:bCs/>
          <w:color w:val="auto"/>
        </w:rPr>
        <w:t>可以满足拟建项目</w:t>
      </w:r>
      <w:r>
        <w:rPr>
          <w:rFonts w:hint="eastAsia"/>
          <w:bCs/>
          <w:color w:val="auto"/>
          <w:lang w:val="en-US" w:eastAsia="zh-CN"/>
        </w:rPr>
        <w:t>不低于1</w:t>
      </w:r>
      <w:r>
        <w:rPr>
          <w:rFonts w:hint="eastAsia"/>
          <w:bCs/>
          <w:color w:val="auto"/>
          <w:lang w:val="en-US" w:eastAsia="zh-CN"/>
        </w:rPr>
        <w:t>67</w:t>
      </w:r>
      <w:r>
        <w:rPr>
          <w:rFonts w:hint="eastAsia"/>
          <w:bCs/>
          <w:color w:val="auto"/>
        </w:rPr>
        <w:t>天的沼液储存量。在施肥前，确定粪肥的最佳施用量时，对土壤肥力和粪肥肥效（氮磷钾等元素）进行测试评价，使符合当地环境容量的要求。经分析，周围可供施肥的农田完全可以消纳本项目产生的废水（沼液），且满足《畜禽养殖业污染治理工程技术规范》（HJ 497-2009）中要有一定的土地轮作面积的要求。</w:t>
      </w:r>
    </w:p>
    <w:p>
      <w:pPr>
        <w:ind w:firstLine="480"/>
        <w:rPr>
          <w:color w:val="auto"/>
        </w:rPr>
      </w:pPr>
      <w:r>
        <w:rPr>
          <w:rFonts w:hint="eastAsia"/>
          <w:color w:val="auto"/>
        </w:rPr>
        <w:t>综上所述，项目设置的污水消纳配套设施能满足本项目养殖规模需求，项目还田方式合理有效。</w:t>
      </w:r>
    </w:p>
    <w:p>
      <w:pPr>
        <w:ind w:firstLine="480"/>
        <w:rPr>
          <w:rFonts w:hint="eastAsia"/>
          <w:color w:val="auto"/>
        </w:rPr>
      </w:pPr>
      <w:r>
        <w:rPr>
          <w:rFonts w:hint="eastAsia"/>
          <w:color w:val="auto"/>
        </w:rPr>
        <w:t>项目污水消纳配套设施情况见表5.2-</w:t>
      </w:r>
      <w:r>
        <w:rPr>
          <w:color w:val="auto"/>
        </w:rPr>
        <w:t>7</w:t>
      </w:r>
      <w:r>
        <w:rPr>
          <w:rFonts w:hint="eastAsia"/>
          <w:color w:val="auto"/>
        </w:rPr>
        <w:t>。</w:t>
      </w:r>
    </w:p>
    <w:p>
      <w:pPr>
        <w:pStyle w:val="166"/>
        <w:spacing w:before="120" w:beforeLines="0" w:line="240" w:lineRule="auto"/>
        <w:rPr>
          <w:color w:val="auto"/>
        </w:rPr>
      </w:pPr>
      <w:r>
        <w:rPr>
          <w:rFonts w:hint="eastAsia"/>
          <w:color w:val="auto"/>
        </w:rPr>
        <w:t>表</w:t>
      </w:r>
      <w:r>
        <w:rPr>
          <w:color w:val="auto"/>
        </w:rPr>
        <w:t>5.2-7</w:t>
      </w:r>
      <w:r>
        <w:rPr>
          <w:rFonts w:hint="eastAsia"/>
          <w:color w:val="auto"/>
          <w:lang w:val="en-US" w:eastAsia="zh-CN"/>
        </w:rPr>
        <w:t xml:space="preserve"> </w:t>
      </w:r>
      <w:r>
        <w:rPr>
          <w:rFonts w:hint="eastAsia"/>
          <w:color w:val="auto"/>
        </w:rPr>
        <w:t>项目污水消纳配套设施情况一览表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70"/>
        <w:gridCol w:w="2341"/>
        <w:gridCol w:w="1439"/>
        <w:gridCol w:w="2075"/>
        <w:gridCol w:w="1462"/>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3811" w:type="dxa"/>
            <w:gridSpan w:val="2"/>
            <w:noWrap w:val="0"/>
            <w:vAlign w:val="center"/>
          </w:tcPr>
          <w:p>
            <w:pPr>
              <w:pStyle w:val="332"/>
              <w:kinsoku w:val="0"/>
              <w:overflowPunct w:val="0"/>
              <w:jc w:val="center"/>
              <w:rPr>
                <w:b/>
                <w:bCs/>
                <w:color w:val="auto"/>
              </w:rPr>
            </w:pPr>
            <w:r>
              <w:rPr>
                <w:b/>
                <w:bCs/>
                <w:color w:val="auto"/>
                <w:sz w:val="21"/>
                <w:szCs w:val="21"/>
              </w:rPr>
              <w:t>设备名称</w:t>
            </w:r>
          </w:p>
        </w:tc>
        <w:tc>
          <w:tcPr>
            <w:tcW w:w="1439" w:type="dxa"/>
            <w:noWrap w:val="0"/>
            <w:vAlign w:val="center"/>
          </w:tcPr>
          <w:p>
            <w:pPr>
              <w:pStyle w:val="332"/>
              <w:kinsoku w:val="0"/>
              <w:overflowPunct w:val="0"/>
              <w:jc w:val="center"/>
              <w:rPr>
                <w:b/>
                <w:bCs/>
                <w:color w:val="auto"/>
              </w:rPr>
            </w:pPr>
            <w:r>
              <w:rPr>
                <w:b/>
                <w:bCs/>
                <w:color w:val="auto"/>
                <w:sz w:val="21"/>
                <w:szCs w:val="21"/>
              </w:rPr>
              <w:t>数量</w:t>
            </w:r>
          </w:p>
        </w:tc>
        <w:tc>
          <w:tcPr>
            <w:tcW w:w="2075" w:type="dxa"/>
            <w:noWrap w:val="0"/>
            <w:vAlign w:val="center"/>
          </w:tcPr>
          <w:p>
            <w:pPr>
              <w:pStyle w:val="332"/>
              <w:kinsoku w:val="0"/>
              <w:overflowPunct w:val="0"/>
              <w:jc w:val="center"/>
              <w:rPr>
                <w:b/>
                <w:bCs/>
                <w:color w:val="auto"/>
              </w:rPr>
            </w:pPr>
            <w:r>
              <w:rPr>
                <w:b/>
                <w:bCs/>
                <w:color w:val="auto"/>
                <w:sz w:val="21"/>
                <w:szCs w:val="21"/>
              </w:rPr>
              <w:t>容积</w:t>
            </w:r>
          </w:p>
        </w:tc>
        <w:tc>
          <w:tcPr>
            <w:tcW w:w="1462" w:type="dxa"/>
            <w:noWrap w:val="0"/>
            <w:vAlign w:val="center"/>
          </w:tcPr>
          <w:p>
            <w:pPr>
              <w:pStyle w:val="332"/>
              <w:kinsoku w:val="0"/>
              <w:overflowPunct w:val="0"/>
              <w:jc w:val="center"/>
              <w:rPr>
                <w:b/>
                <w:bCs/>
                <w:color w:val="auto"/>
              </w:rPr>
            </w:pPr>
            <w:r>
              <w:rPr>
                <w:b/>
                <w:bCs/>
                <w:color w:val="auto"/>
                <w:sz w:val="21"/>
                <w:szCs w:val="21"/>
              </w:rPr>
              <w:t>合计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70" w:type="dxa"/>
            <w:vMerge w:val="restart"/>
            <w:noWrap w:val="0"/>
            <w:vAlign w:val="center"/>
          </w:tcPr>
          <w:p>
            <w:pPr>
              <w:pStyle w:val="332"/>
              <w:kinsoku w:val="0"/>
              <w:overflowPunct w:val="0"/>
              <w:jc w:val="center"/>
              <w:rPr>
                <w:color w:val="auto"/>
              </w:rPr>
            </w:pPr>
            <w:r>
              <w:rPr>
                <w:color w:val="auto"/>
                <w:sz w:val="21"/>
                <w:szCs w:val="21"/>
              </w:rPr>
              <w:t>暂存池</w:t>
            </w:r>
          </w:p>
        </w:tc>
        <w:tc>
          <w:tcPr>
            <w:tcW w:w="2341" w:type="dxa"/>
            <w:noWrap w:val="0"/>
            <w:vAlign w:val="center"/>
          </w:tcPr>
          <w:p>
            <w:pPr>
              <w:pStyle w:val="332"/>
              <w:kinsoku w:val="0"/>
              <w:overflowPunct w:val="0"/>
              <w:jc w:val="center"/>
              <w:rPr>
                <w:color w:val="auto"/>
              </w:rPr>
            </w:pPr>
            <w:r>
              <w:rPr>
                <w:color w:val="auto"/>
                <w:sz w:val="21"/>
                <w:szCs w:val="21"/>
              </w:rPr>
              <w:t>厂区</w:t>
            </w:r>
            <w:r>
              <w:rPr>
                <w:rFonts w:hint="eastAsia"/>
                <w:color w:val="auto"/>
                <w:sz w:val="21"/>
                <w:szCs w:val="21"/>
                <w:lang w:eastAsia="zh-CN"/>
              </w:rPr>
              <w:t>沼液暂存池</w:t>
            </w:r>
          </w:p>
        </w:tc>
        <w:tc>
          <w:tcPr>
            <w:tcW w:w="1439" w:type="dxa"/>
            <w:noWrap w:val="0"/>
            <w:vAlign w:val="center"/>
          </w:tcPr>
          <w:p>
            <w:pPr>
              <w:pStyle w:val="332"/>
              <w:kinsoku w:val="0"/>
              <w:overflowPunct w:val="0"/>
              <w:jc w:val="center"/>
              <w:rPr>
                <w:color w:val="auto"/>
              </w:rPr>
            </w:pPr>
            <w:r>
              <w:rPr>
                <w:color w:val="auto"/>
                <w:w w:val="99"/>
                <w:sz w:val="21"/>
                <w:szCs w:val="21"/>
              </w:rPr>
              <w:t>1</w:t>
            </w:r>
          </w:p>
        </w:tc>
        <w:tc>
          <w:tcPr>
            <w:tcW w:w="2075" w:type="dxa"/>
            <w:noWrap w:val="0"/>
            <w:vAlign w:val="center"/>
          </w:tcPr>
          <w:p>
            <w:pPr>
              <w:pStyle w:val="332"/>
              <w:kinsoku w:val="0"/>
              <w:overflowPunct w:val="0"/>
              <w:jc w:val="center"/>
              <w:rPr>
                <w:color w:val="auto"/>
              </w:rPr>
            </w:pPr>
            <w:r>
              <w:rPr>
                <w:rFonts w:hint="eastAsia"/>
                <w:color w:val="auto"/>
                <w:sz w:val="21"/>
                <w:szCs w:val="21"/>
                <w:lang w:val="en-US" w:eastAsia="zh-CN"/>
              </w:rPr>
              <w:t>6500</w:t>
            </w:r>
            <w:r>
              <w:rPr>
                <w:color w:val="auto"/>
                <w:sz w:val="21"/>
                <w:szCs w:val="21"/>
              </w:rPr>
              <w:t>m</w:t>
            </w:r>
            <w:r>
              <w:rPr>
                <w:color w:val="auto"/>
                <w:position w:val="7"/>
                <w:sz w:val="13"/>
                <w:szCs w:val="13"/>
              </w:rPr>
              <w:t>3</w:t>
            </w:r>
          </w:p>
        </w:tc>
        <w:tc>
          <w:tcPr>
            <w:tcW w:w="1462" w:type="dxa"/>
            <w:vMerge w:val="restart"/>
            <w:noWrap w:val="0"/>
            <w:vAlign w:val="center"/>
          </w:tcPr>
          <w:p>
            <w:pPr>
              <w:pStyle w:val="332"/>
              <w:kinsoku w:val="0"/>
              <w:overflowPunct w:val="0"/>
              <w:jc w:val="center"/>
              <w:rPr>
                <w:color w:val="auto"/>
              </w:rPr>
            </w:pPr>
            <w:r>
              <w:rPr>
                <w:color w:val="auto"/>
                <w:sz w:val="21"/>
                <w:szCs w:val="21"/>
              </w:rPr>
              <w:t>8</w:t>
            </w:r>
            <w:r>
              <w:rPr>
                <w:rFonts w:hint="eastAsia"/>
                <w:color w:val="auto"/>
                <w:sz w:val="21"/>
                <w:szCs w:val="21"/>
                <w:lang w:val="en-US" w:eastAsia="zh-CN"/>
              </w:rPr>
              <w:t>0</w:t>
            </w:r>
            <w:r>
              <w:rPr>
                <w:color w:val="auto"/>
                <w:sz w:val="21"/>
                <w:szCs w:val="21"/>
              </w:rPr>
              <w:t>00m</w:t>
            </w:r>
            <w:r>
              <w:rPr>
                <w:color w:val="auto"/>
                <w:position w:val="7"/>
                <w:sz w:val="13"/>
                <w:szCs w:val="13"/>
              </w:rPr>
              <w:t>3</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70" w:type="dxa"/>
            <w:vMerge w:val="continue"/>
            <w:noWrap w:val="0"/>
            <w:vAlign w:val="center"/>
          </w:tcPr>
          <w:p>
            <w:pPr>
              <w:pStyle w:val="332"/>
              <w:kinsoku w:val="0"/>
              <w:overflowPunct w:val="0"/>
              <w:ind w:left="103"/>
              <w:jc w:val="center"/>
              <w:rPr>
                <w:color w:val="auto"/>
              </w:rPr>
            </w:pPr>
          </w:p>
        </w:tc>
        <w:tc>
          <w:tcPr>
            <w:tcW w:w="2341" w:type="dxa"/>
            <w:noWrap w:val="0"/>
            <w:vAlign w:val="center"/>
          </w:tcPr>
          <w:p>
            <w:pPr>
              <w:pStyle w:val="332"/>
              <w:kinsoku w:val="0"/>
              <w:overflowPunct w:val="0"/>
              <w:jc w:val="center"/>
              <w:rPr>
                <w:color w:val="auto"/>
              </w:rPr>
            </w:pPr>
            <w:r>
              <w:rPr>
                <w:color w:val="auto"/>
                <w:sz w:val="21"/>
                <w:szCs w:val="21"/>
              </w:rPr>
              <w:t>田间暂存池</w:t>
            </w:r>
          </w:p>
        </w:tc>
        <w:tc>
          <w:tcPr>
            <w:tcW w:w="1439" w:type="dxa"/>
            <w:noWrap w:val="0"/>
            <w:vAlign w:val="center"/>
          </w:tcPr>
          <w:p>
            <w:pPr>
              <w:pStyle w:val="332"/>
              <w:kinsoku w:val="0"/>
              <w:overflowPunct w:val="0"/>
              <w:jc w:val="center"/>
              <w:rPr>
                <w:rFonts w:hint="eastAsia" w:eastAsia="宋体"/>
                <w:color w:val="auto"/>
                <w:lang w:eastAsia="zh-CN"/>
              </w:rPr>
            </w:pPr>
            <w:r>
              <w:rPr>
                <w:color w:val="auto"/>
                <w:sz w:val="21"/>
                <w:szCs w:val="21"/>
              </w:rPr>
              <w:t>1</w:t>
            </w:r>
            <w:r>
              <w:rPr>
                <w:rFonts w:hint="eastAsia"/>
                <w:color w:val="auto"/>
                <w:sz w:val="21"/>
                <w:szCs w:val="21"/>
                <w:lang w:val="en-US" w:eastAsia="zh-CN"/>
              </w:rPr>
              <w:t>0</w:t>
            </w:r>
          </w:p>
        </w:tc>
        <w:tc>
          <w:tcPr>
            <w:tcW w:w="2075" w:type="dxa"/>
            <w:noWrap w:val="0"/>
            <w:vAlign w:val="center"/>
          </w:tcPr>
          <w:p>
            <w:pPr>
              <w:pStyle w:val="332"/>
              <w:kinsoku w:val="0"/>
              <w:overflowPunct w:val="0"/>
              <w:ind w:left="103"/>
              <w:jc w:val="center"/>
              <w:rPr>
                <w:color w:val="auto"/>
              </w:rPr>
            </w:pPr>
            <w:r>
              <w:rPr>
                <w:color w:val="auto"/>
                <w:sz w:val="21"/>
                <w:szCs w:val="21"/>
              </w:rPr>
              <w:t>150m</w:t>
            </w:r>
            <w:r>
              <w:rPr>
                <w:color w:val="auto"/>
                <w:position w:val="7"/>
                <w:sz w:val="13"/>
                <w:szCs w:val="13"/>
              </w:rPr>
              <w:t>3</w:t>
            </w:r>
            <w:r>
              <w:rPr>
                <w:color w:val="auto"/>
                <w:sz w:val="21"/>
                <w:szCs w:val="21"/>
              </w:rPr>
              <w:t>/个（1</w:t>
            </w:r>
            <w:r>
              <w:rPr>
                <w:rFonts w:hint="eastAsia"/>
                <w:color w:val="auto"/>
                <w:sz w:val="21"/>
                <w:szCs w:val="21"/>
                <w:lang w:val="en-US" w:eastAsia="zh-CN"/>
              </w:rPr>
              <w:t>5</w:t>
            </w:r>
            <w:r>
              <w:rPr>
                <w:color w:val="auto"/>
                <w:sz w:val="21"/>
                <w:szCs w:val="21"/>
              </w:rPr>
              <w:t>00m</w:t>
            </w:r>
            <w:r>
              <w:rPr>
                <w:color w:val="auto"/>
                <w:position w:val="7"/>
                <w:sz w:val="13"/>
                <w:szCs w:val="13"/>
              </w:rPr>
              <w:t>3</w:t>
            </w:r>
            <w:r>
              <w:rPr>
                <w:color w:val="auto"/>
                <w:sz w:val="21"/>
                <w:szCs w:val="21"/>
              </w:rPr>
              <w:t>）</w:t>
            </w:r>
          </w:p>
        </w:tc>
        <w:tc>
          <w:tcPr>
            <w:tcW w:w="1462" w:type="dxa"/>
            <w:vMerge w:val="continue"/>
            <w:noWrap w:val="0"/>
            <w:vAlign w:val="center"/>
          </w:tcPr>
          <w:p>
            <w:pPr>
              <w:pStyle w:val="332"/>
              <w:kinsoku w:val="0"/>
              <w:overflowPunct w:val="0"/>
              <w:ind w:left="103"/>
              <w:jc w:val="center"/>
              <w:rPr>
                <w:color w:val="auto"/>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70" w:type="dxa"/>
            <w:vMerge w:val="restart"/>
            <w:noWrap w:val="0"/>
            <w:vAlign w:val="center"/>
          </w:tcPr>
          <w:p>
            <w:pPr>
              <w:pStyle w:val="332"/>
              <w:kinsoku w:val="0"/>
              <w:overflowPunct w:val="0"/>
              <w:jc w:val="center"/>
              <w:rPr>
                <w:color w:val="auto"/>
              </w:rPr>
            </w:pPr>
            <w:r>
              <w:rPr>
                <w:color w:val="auto"/>
                <w:sz w:val="21"/>
                <w:szCs w:val="21"/>
              </w:rPr>
              <w:t>PE</w:t>
            </w:r>
            <w:r>
              <w:rPr>
                <w:color w:val="auto"/>
                <w:spacing w:val="-3"/>
                <w:sz w:val="21"/>
                <w:szCs w:val="21"/>
              </w:rPr>
              <w:t xml:space="preserve"> </w:t>
            </w:r>
            <w:r>
              <w:rPr>
                <w:color w:val="auto"/>
                <w:sz w:val="21"/>
                <w:szCs w:val="21"/>
              </w:rPr>
              <w:t>管</w:t>
            </w:r>
          </w:p>
        </w:tc>
        <w:tc>
          <w:tcPr>
            <w:tcW w:w="2341" w:type="dxa"/>
            <w:noWrap w:val="0"/>
            <w:vAlign w:val="center"/>
          </w:tcPr>
          <w:p>
            <w:pPr>
              <w:pStyle w:val="332"/>
              <w:kinsoku w:val="0"/>
              <w:overflowPunct w:val="0"/>
              <w:jc w:val="center"/>
              <w:rPr>
                <w:color w:val="auto"/>
              </w:rPr>
            </w:pPr>
            <w:r>
              <w:rPr>
                <w:color w:val="auto"/>
                <w:sz w:val="21"/>
                <w:szCs w:val="21"/>
              </w:rPr>
              <w:t>Φ100PE</w:t>
            </w:r>
            <w:r>
              <w:rPr>
                <w:color w:val="auto"/>
                <w:spacing w:val="-11"/>
                <w:sz w:val="21"/>
                <w:szCs w:val="21"/>
              </w:rPr>
              <w:t xml:space="preserve"> </w:t>
            </w:r>
            <w:r>
              <w:rPr>
                <w:color w:val="auto"/>
                <w:sz w:val="21"/>
                <w:szCs w:val="21"/>
              </w:rPr>
              <w:t>管</w:t>
            </w:r>
          </w:p>
        </w:tc>
        <w:tc>
          <w:tcPr>
            <w:tcW w:w="1439" w:type="dxa"/>
            <w:noWrap w:val="0"/>
            <w:vAlign w:val="center"/>
          </w:tcPr>
          <w:p>
            <w:pPr>
              <w:pStyle w:val="332"/>
              <w:kinsoku w:val="0"/>
              <w:overflowPunct w:val="0"/>
              <w:jc w:val="center"/>
              <w:rPr>
                <w:color w:val="auto"/>
              </w:rPr>
            </w:pPr>
            <w:r>
              <w:rPr>
                <w:color w:val="auto"/>
                <w:w w:val="99"/>
                <w:sz w:val="21"/>
                <w:szCs w:val="21"/>
              </w:rPr>
              <w:t>/</w:t>
            </w:r>
          </w:p>
        </w:tc>
        <w:tc>
          <w:tcPr>
            <w:tcW w:w="2075" w:type="dxa"/>
            <w:noWrap w:val="0"/>
            <w:vAlign w:val="center"/>
          </w:tcPr>
          <w:p>
            <w:pPr>
              <w:pStyle w:val="332"/>
              <w:kinsoku w:val="0"/>
              <w:overflowPunct w:val="0"/>
              <w:jc w:val="center"/>
              <w:rPr>
                <w:color w:val="auto"/>
              </w:rPr>
            </w:pPr>
            <w:r>
              <w:rPr>
                <w:rFonts w:hint="eastAsia"/>
                <w:color w:val="auto"/>
                <w:sz w:val="21"/>
                <w:szCs w:val="21"/>
                <w:lang w:val="en-US" w:eastAsia="zh-CN"/>
              </w:rPr>
              <w:t>30</w:t>
            </w:r>
            <w:r>
              <w:rPr>
                <w:color w:val="auto"/>
                <w:sz w:val="21"/>
                <w:szCs w:val="21"/>
              </w:rPr>
              <w:t>00m</w:t>
            </w:r>
          </w:p>
        </w:tc>
        <w:tc>
          <w:tcPr>
            <w:tcW w:w="1462" w:type="dxa"/>
            <w:vMerge w:val="restart"/>
            <w:noWrap w:val="0"/>
            <w:vAlign w:val="center"/>
          </w:tcPr>
          <w:p>
            <w:pPr>
              <w:pStyle w:val="332"/>
              <w:kinsoku w:val="0"/>
              <w:overflowPunct w:val="0"/>
              <w:jc w:val="center"/>
              <w:rPr>
                <w:color w:val="auto"/>
              </w:rPr>
            </w:pPr>
            <w:r>
              <w:rPr>
                <w:rFonts w:hint="eastAsia"/>
                <w:color w:val="auto"/>
                <w:sz w:val="21"/>
                <w:szCs w:val="21"/>
                <w:lang w:val="en-US" w:eastAsia="zh-CN"/>
              </w:rPr>
              <w:t>65</w:t>
            </w:r>
            <w:r>
              <w:rPr>
                <w:color w:val="auto"/>
                <w:sz w:val="21"/>
                <w:szCs w:val="21"/>
              </w:rPr>
              <w:t>00m</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70" w:type="dxa"/>
            <w:vMerge w:val="continue"/>
            <w:noWrap w:val="0"/>
            <w:vAlign w:val="center"/>
          </w:tcPr>
          <w:p>
            <w:pPr>
              <w:pStyle w:val="332"/>
              <w:kinsoku w:val="0"/>
              <w:overflowPunct w:val="0"/>
              <w:ind w:left="102"/>
              <w:jc w:val="center"/>
              <w:rPr>
                <w:color w:val="auto"/>
              </w:rPr>
            </w:pPr>
          </w:p>
        </w:tc>
        <w:tc>
          <w:tcPr>
            <w:tcW w:w="2341" w:type="dxa"/>
            <w:noWrap w:val="0"/>
            <w:vAlign w:val="center"/>
          </w:tcPr>
          <w:p>
            <w:pPr>
              <w:pStyle w:val="332"/>
              <w:kinsoku w:val="0"/>
              <w:overflowPunct w:val="0"/>
              <w:jc w:val="center"/>
              <w:rPr>
                <w:color w:val="auto"/>
              </w:rPr>
            </w:pPr>
            <w:r>
              <w:rPr>
                <w:color w:val="auto"/>
                <w:sz w:val="21"/>
                <w:szCs w:val="21"/>
              </w:rPr>
              <w:t>Φ50PE</w:t>
            </w:r>
            <w:r>
              <w:rPr>
                <w:color w:val="auto"/>
                <w:spacing w:val="-2"/>
                <w:sz w:val="21"/>
                <w:szCs w:val="21"/>
              </w:rPr>
              <w:t xml:space="preserve"> </w:t>
            </w:r>
            <w:r>
              <w:rPr>
                <w:color w:val="auto"/>
                <w:sz w:val="21"/>
                <w:szCs w:val="21"/>
              </w:rPr>
              <w:t>管</w:t>
            </w:r>
          </w:p>
        </w:tc>
        <w:tc>
          <w:tcPr>
            <w:tcW w:w="1439" w:type="dxa"/>
            <w:noWrap w:val="0"/>
            <w:vAlign w:val="center"/>
          </w:tcPr>
          <w:p>
            <w:pPr>
              <w:pStyle w:val="332"/>
              <w:kinsoku w:val="0"/>
              <w:overflowPunct w:val="0"/>
              <w:jc w:val="center"/>
              <w:rPr>
                <w:color w:val="auto"/>
              </w:rPr>
            </w:pPr>
            <w:r>
              <w:rPr>
                <w:color w:val="auto"/>
                <w:w w:val="99"/>
                <w:sz w:val="21"/>
                <w:szCs w:val="21"/>
              </w:rPr>
              <w:t>/</w:t>
            </w:r>
          </w:p>
        </w:tc>
        <w:tc>
          <w:tcPr>
            <w:tcW w:w="2075" w:type="dxa"/>
            <w:noWrap w:val="0"/>
            <w:vAlign w:val="center"/>
          </w:tcPr>
          <w:p>
            <w:pPr>
              <w:pStyle w:val="332"/>
              <w:kinsoku w:val="0"/>
              <w:overflowPunct w:val="0"/>
              <w:jc w:val="center"/>
              <w:rPr>
                <w:color w:val="auto"/>
              </w:rPr>
            </w:pPr>
            <w:r>
              <w:rPr>
                <w:rFonts w:hint="eastAsia"/>
                <w:color w:val="auto"/>
                <w:sz w:val="21"/>
                <w:szCs w:val="21"/>
                <w:lang w:val="en-US" w:eastAsia="zh-CN"/>
              </w:rPr>
              <w:t>35</w:t>
            </w:r>
            <w:r>
              <w:rPr>
                <w:color w:val="auto"/>
                <w:sz w:val="21"/>
                <w:szCs w:val="21"/>
              </w:rPr>
              <w:t>00m</w:t>
            </w:r>
          </w:p>
        </w:tc>
        <w:tc>
          <w:tcPr>
            <w:tcW w:w="1462" w:type="dxa"/>
            <w:vMerge w:val="continue"/>
            <w:noWrap w:val="0"/>
            <w:vAlign w:val="center"/>
          </w:tcPr>
          <w:p>
            <w:pPr>
              <w:pStyle w:val="332"/>
              <w:kinsoku w:val="0"/>
              <w:overflowPunct w:val="0"/>
              <w:ind w:left="103"/>
              <w:jc w:val="center"/>
              <w:rPr>
                <w:color w:val="auto"/>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70" w:type="dxa"/>
            <w:noWrap w:val="0"/>
            <w:vAlign w:val="center"/>
          </w:tcPr>
          <w:p>
            <w:pPr>
              <w:pStyle w:val="332"/>
              <w:kinsoku w:val="0"/>
              <w:overflowPunct w:val="0"/>
              <w:jc w:val="center"/>
              <w:rPr>
                <w:color w:val="auto"/>
              </w:rPr>
            </w:pPr>
            <w:r>
              <w:rPr>
                <w:color w:val="auto"/>
                <w:sz w:val="21"/>
                <w:szCs w:val="21"/>
              </w:rPr>
              <w:t>管件配套设施</w:t>
            </w:r>
          </w:p>
        </w:tc>
        <w:tc>
          <w:tcPr>
            <w:tcW w:w="2341" w:type="dxa"/>
            <w:noWrap w:val="0"/>
            <w:vAlign w:val="center"/>
          </w:tcPr>
          <w:p>
            <w:pPr>
              <w:pStyle w:val="332"/>
              <w:kinsoku w:val="0"/>
              <w:overflowPunct w:val="0"/>
              <w:jc w:val="center"/>
              <w:rPr>
                <w:color w:val="auto"/>
              </w:rPr>
            </w:pPr>
            <w:r>
              <w:rPr>
                <w:color w:val="auto"/>
                <w:sz w:val="21"/>
                <w:szCs w:val="21"/>
              </w:rPr>
              <w:t>阀门等</w:t>
            </w:r>
          </w:p>
        </w:tc>
        <w:tc>
          <w:tcPr>
            <w:tcW w:w="1439" w:type="dxa"/>
            <w:noWrap w:val="0"/>
            <w:vAlign w:val="center"/>
          </w:tcPr>
          <w:p>
            <w:pPr>
              <w:pStyle w:val="332"/>
              <w:kinsoku w:val="0"/>
              <w:overflowPunct w:val="0"/>
              <w:jc w:val="center"/>
              <w:rPr>
                <w:color w:val="auto"/>
              </w:rPr>
            </w:pPr>
            <w:r>
              <w:rPr>
                <w:color w:val="auto"/>
                <w:sz w:val="21"/>
                <w:szCs w:val="21"/>
              </w:rPr>
              <w:t>100套</w:t>
            </w:r>
          </w:p>
        </w:tc>
        <w:tc>
          <w:tcPr>
            <w:tcW w:w="2075" w:type="dxa"/>
            <w:noWrap w:val="0"/>
            <w:vAlign w:val="center"/>
          </w:tcPr>
          <w:p>
            <w:pPr>
              <w:pStyle w:val="332"/>
              <w:kinsoku w:val="0"/>
              <w:overflowPunct w:val="0"/>
              <w:jc w:val="center"/>
              <w:rPr>
                <w:color w:val="auto"/>
              </w:rPr>
            </w:pPr>
            <w:r>
              <w:rPr>
                <w:color w:val="auto"/>
                <w:sz w:val="21"/>
                <w:szCs w:val="21"/>
              </w:rPr>
              <w:t>/</w:t>
            </w:r>
          </w:p>
        </w:tc>
        <w:tc>
          <w:tcPr>
            <w:tcW w:w="1462" w:type="dxa"/>
            <w:noWrap w:val="0"/>
            <w:vAlign w:val="center"/>
          </w:tcPr>
          <w:p>
            <w:pPr>
              <w:pStyle w:val="332"/>
              <w:kinsoku w:val="0"/>
              <w:overflowPunct w:val="0"/>
              <w:jc w:val="center"/>
              <w:rPr>
                <w:color w:val="auto"/>
              </w:rPr>
            </w:pPr>
            <w:r>
              <w:rPr>
                <w:color w:val="auto"/>
                <w:sz w:val="21"/>
                <w:szCs w:val="21"/>
              </w:rPr>
              <w:t>100套</w:t>
            </w:r>
          </w:p>
        </w:tc>
      </w:tr>
    </w:tbl>
    <w:p>
      <w:pPr>
        <w:spacing w:before="120" w:beforeLines="50"/>
        <w:ind w:firstLine="480"/>
        <w:rPr>
          <w:rFonts w:hint="eastAsia"/>
          <w:bCs/>
          <w:color w:val="auto"/>
        </w:rPr>
      </w:pPr>
      <w:r>
        <w:rPr>
          <w:rFonts w:hint="eastAsia"/>
          <w:bCs/>
          <w:color w:val="auto"/>
        </w:rPr>
        <w:t>（5）农田施肥对周围水体的影响</w:t>
      </w:r>
    </w:p>
    <w:p>
      <w:pPr>
        <w:ind w:firstLine="480"/>
        <w:rPr>
          <w:color w:val="auto"/>
        </w:rPr>
      </w:pPr>
      <w:r>
        <w:rPr>
          <w:rFonts w:hint="eastAsia"/>
          <w:bCs/>
          <w:color w:val="auto"/>
        </w:rPr>
        <w:t>本项目厌氧发酵处理后的沼液通过</w:t>
      </w:r>
      <w:r>
        <w:rPr>
          <w:bCs/>
          <w:color w:val="auto"/>
        </w:rPr>
        <w:t>PE</w:t>
      </w:r>
      <w:r>
        <w:rPr>
          <w:rFonts w:hint="eastAsia"/>
          <w:bCs/>
          <w:color w:val="auto"/>
        </w:rPr>
        <w:t>管道输送至农田进行施肥，本项目周边区域主要为农田，无大型河流及饮用水源保护区及生态红线保护区域，沼液施肥采取有效防护措施控制在农田范围内，不会排放进入附近地表水体，不会对周围水体水质产生不利影响。</w:t>
      </w:r>
    </w:p>
    <w:p>
      <w:pPr>
        <w:pStyle w:val="9"/>
        <w:spacing w:before="120" w:beforeLines="50"/>
        <w:rPr>
          <w:rFonts w:hint="eastAsia"/>
          <w:color w:val="auto"/>
        </w:rPr>
      </w:pPr>
      <w:r>
        <w:rPr>
          <w:rFonts w:hint="eastAsia"/>
          <w:color w:val="auto"/>
        </w:rPr>
        <w:t>地表水环境影响分析结论</w:t>
      </w:r>
    </w:p>
    <w:p>
      <w:pPr>
        <w:ind w:firstLine="480"/>
        <w:rPr>
          <w:color w:val="auto"/>
        </w:rPr>
      </w:pPr>
      <w:r>
        <w:rPr>
          <w:rFonts w:hint="eastAsia"/>
          <w:color w:val="auto"/>
        </w:rPr>
        <w:t>本项目配套的消纳土地完全能够满足本项目废水消纳需求，污水消纳配套设施能满足本项目养殖规模需求，故本项目废水还田可行，不会对当地地表水造成明显不利影响，因此本项目对地表水环境影响是可接受的。本项目地表水环境影响评价自查表见附表。</w:t>
      </w:r>
    </w:p>
    <w:p>
      <w:pPr>
        <w:pStyle w:val="8"/>
        <w:tabs>
          <w:tab w:val="clear" w:pos="0"/>
        </w:tabs>
        <w:rPr>
          <w:rFonts w:eastAsia="黑体"/>
          <w:color w:val="auto"/>
          <w:sz w:val="28"/>
          <w:szCs w:val="28"/>
        </w:rPr>
      </w:pPr>
      <w:r>
        <w:rPr>
          <w:rFonts w:eastAsia="黑体"/>
          <w:color w:val="auto"/>
          <w:sz w:val="28"/>
          <w:szCs w:val="28"/>
        </w:rPr>
        <w:t>地下水环境影响</w:t>
      </w:r>
      <w:r>
        <w:rPr>
          <w:rFonts w:hint="eastAsia" w:eastAsia="黑体"/>
          <w:color w:val="auto"/>
          <w:sz w:val="28"/>
          <w:szCs w:val="28"/>
        </w:rPr>
        <w:t>分析</w:t>
      </w:r>
    </w:p>
    <w:p>
      <w:pPr>
        <w:pStyle w:val="9"/>
        <w:rPr>
          <w:rFonts w:hint="eastAsia"/>
          <w:color w:val="auto"/>
          <w:lang w:val="en-US" w:eastAsia="zh-CN"/>
        </w:rPr>
      </w:pPr>
      <w:bookmarkStart w:id="205" w:name="_Hlk504313849"/>
      <w:r>
        <w:rPr>
          <w:rFonts w:hint="eastAsia"/>
          <w:color w:val="auto"/>
          <w:lang w:val="en-US" w:eastAsia="zh-CN"/>
        </w:rPr>
        <w:t>评价等级及评价范围</w:t>
      </w:r>
    </w:p>
    <w:p>
      <w:pPr>
        <w:pStyle w:val="265"/>
        <w:rPr>
          <w:rFonts w:hint="eastAsia"/>
          <w:b/>
          <w:bCs/>
          <w:color w:val="auto"/>
          <w:lang w:eastAsia="zh-CN"/>
        </w:rPr>
      </w:pPr>
      <w:r>
        <w:rPr>
          <w:rFonts w:hint="eastAsia" w:cs="Times New Roman"/>
          <w:b/>
          <w:bCs/>
          <w:iCs/>
          <w:color w:val="auto"/>
          <w:kern w:val="0"/>
          <w:sz w:val="24"/>
          <w:lang w:val="en-US" w:eastAsia="zh-CN"/>
        </w:rPr>
        <w:t>1、评价等级</w:t>
      </w:r>
    </w:p>
    <w:p>
      <w:pPr>
        <w:pStyle w:val="265"/>
        <w:rPr>
          <w:rFonts w:hint="eastAsia"/>
          <w:color w:val="auto"/>
          <w:lang w:eastAsia="zh-CN"/>
        </w:rPr>
      </w:pPr>
      <w:r>
        <w:rPr>
          <w:rFonts w:hint="eastAsia"/>
          <w:color w:val="auto"/>
          <w:lang w:eastAsia="zh-CN"/>
        </w:rPr>
        <w:t>本项目为养殖场项目，按《环境影响评价技术导则  地下水环境》（HJ610-2016）的相关规定，本项目属于附录A（地下水环境影响评价行业分类表）中“B农、林、牧、渔、海洋——14、畜禽养殖场、养殖小区——报告书”类别，因此本项目属于Ⅲ类，需开展地下水环境影响评价。</w:t>
      </w:r>
    </w:p>
    <w:p>
      <w:pPr>
        <w:spacing w:line="360" w:lineRule="auto"/>
        <w:jc w:val="left"/>
        <w:rPr>
          <w:rFonts w:hint="eastAsia" w:cs="Times New Roman"/>
          <w:b/>
          <w:bCs/>
          <w:iCs/>
          <w:color w:val="auto"/>
          <w:kern w:val="0"/>
          <w:sz w:val="24"/>
          <w:lang w:val="en-US" w:eastAsia="zh-CN"/>
        </w:rPr>
      </w:pPr>
      <w:r>
        <w:rPr>
          <w:rFonts w:hint="eastAsia" w:cs="Times New Roman"/>
          <w:b/>
          <w:bCs/>
          <w:iCs/>
          <w:color w:val="auto"/>
          <w:kern w:val="0"/>
          <w:sz w:val="24"/>
          <w:lang w:val="en-US" w:eastAsia="zh-CN"/>
        </w:rPr>
        <w:t>2、评价范围</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根据《地下水环境影响评价技术导则—地下水环境》（HJ610-2016），地下水环境现状调查评价范围应包括建设项目相关的地下水环境保护目标，以能说明地下水环境现状，反映调查评价区地下水基本渗流特征，满足地下水环境影响预测和评价为基本原则。</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建设项目地下水环境现状调查评价范围的确定可采用公式计算法、查表法及自定义法确定。</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（1）公式计算法</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当建设项目所在地水文地质条件相对简单，且所掌握的资料能够满足公式计算法的要求时，应采用公式计算法确定：</w:t>
      </w:r>
    </w:p>
    <w:p>
      <w:pPr>
        <w:spacing w:line="360" w:lineRule="auto"/>
        <w:jc w:val="center"/>
        <w:rPr>
          <w:rFonts w:hint="eastAsia" w:cs="Times New Roman"/>
          <w:iCs/>
          <w:color w:val="auto"/>
          <w:kern w:val="0"/>
          <w:sz w:val="24"/>
          <w:lang w:val="en-US" w:eastAsia="zh-CN"/>
        </w:rPr>
      </w:pPr>
      <w:r>
        <w:rPr>
          <w:rFonts w:hint="eastAsia" w:cs="Times New Roman"/>
          <w:iCs/>
          <w:color w:val="auto"/>
          <w:kern w:val="0"/>
          <w:position w:val="-12"/>
          <w:sz w:val="24"/>
          <w:lang w:val="en-US" w:eastAsia="zh-CN"/>
        </w:rPr>
        <w:object>
          <v:shape id="_x0000_i1114" o:spt="75" type="#_x0000_t75" style="height:18pt;width:96.95pt;" o:ole="t" filled="f" o:preferrelative="t" stroked="f" coordsize="21600,21600">
            <v:path/>
            <v:fill on="f" focussize="0,0"/>
            <v:stroke on="f"/>
            <v:imagedata r:id="rId66" o:title=""/>
            <o:lock v:ext="edit" aspectratio="t"/>
            <w10:wrap type="none"/>
            <w10:anchorlock/>
          </v:shape>
          <o:OLEObject Type="Embed" ProgID="Equation.KSEE3" ShapeID="_x0000_i1114" DrawAspect="Content" ObjectID="_1468075735" r:id="rId65">
            <o:LockedField>false</o:LockedField>
          </o:OLEObject>
        </w:object>
      </w:r>
    </w:p>
    <w:p>
      <w:pPr>
        <w:spacing w:line="360" w:lineRule="auto"/>
        <w:ind w:left="0" w:leftChars="0" w:firstLine="0" w:firstLineChars="0"/>
        <w:jc w:val="left"/>
        <w:rPr>
          <w:rFonts w:hint="default" w:ascii="Times New Roman" w:hAnsi="Times New Roman" w:eastAsia="宋体" w:cs="Times New Roman"/>
          <w:iCs/>
          <w:color w:val="auto"/>
          <w:kern w:val="0"/>
          <w:sz w:val="24"/>
          <w:lang w:val="en-US" w:eastAsia="zh-CN"/>
        </w:rPr>
      </w:pPr>
      <w:r>
        <w:rPr>
          <w:rFonts w:hint="eastAsia" w:ascii="Times New Roman" w:hAnsi="Times New Roman" w:eastAsia="宋体" w:cs="Times New Roman"/>
          <w:iCs/>
          <w:color w:val="auto"/>
          <w:kern w:val="0"/>
          <w:sz w:val="24"/>
          <w:lang w:val="en-US" w:eastAsia="zh-CN"/>
        </w:rPr>
        <w:t>式中：</w:t>
      </w:r>
      <w:r>
        <w:rPr>
          <w:rFonts w:hint="default" w:ascii="Times New Roman" w:hAnsi="Times New Roman" w:eastAsia="宋体" w:cs="Times New Roman"/>
          <w:iCs/>
          <w:color w:val="auto"/>
          <w:kern w:val="0"/>
          <w:sz w:val="24"/>
          <w:lang w:val="en-US" w:eastAsia="zh-CN"/>
        </w:rPr>
        <w:t>L——下游迁移距离，m；</w:t>
      </w:r>
    </w:p>
    <w:p>
      <w:pPr>
        <w:spacing w:line="360" w:lineRule="auto"/>
        <w:jc w:val="left"/>
        <w:rPr>
          <w:rFonts w:hint="default" w:ascii="Times New Roman" w:hAnsi="Times New Roman" w:eastAsia="宋体" w:cs="Times New Roman"/>
          <w:iCs/>
          <w:color w:val="auto"/>
          <w:kern w:val="0"/>
          <w:sz w:val="24"/>
          <w:lang w:val="en-US" w:eastAsia="zh-CN"/>
        </w:rPr>
      </w:pPr>
      <w:r>
        <w:rPr>
          <w:rFonts w:hint="default" w:ascii="Times New Roman" w:hAnsi="Times New Roman" w:eastAsia="宋体" w:cs="Times New Roman"/>
          <w:iCs/>
          <w:color w:val="auto"/>
          <w:kern w:val="0"/>
          <w:sz w:val="24"/>
          <w:lang w:val="en-US" w:eastAsia="zh-CN"/>
        </w:rPr>
        <w:t xml:space="preserve">  α——变化系数，α≥1，一般取2；</w:t>
      </w:r>
    </w:p>
    <w:p>
      <w:pPr>
        <w:spacing w:line="360" w:lineRule="auto"/>
        <w:jc w:val="left"/>
        <w:rPr>
          <w:rFonts w:hint="default" w:ascii="Times New Roman" w:hAnsi="Times New Roman" w:eastAsia="宋体" w:cs="Times New Roman"/>
          <w:iCs/>
          <w:color w:val="auto"/>
          <w:kern w:val="0"/>
          <w:sz w:val="24"/>
          <w:lang w:val="en-US" w:eastAsia="zh-CN"/>
        </w:rPr>
      </w:pPr>
      <w:r>
        <w:rPr>
          <w:rFonts w:hint="default" w:ascii="Times New Roman" w:hAnsi="Times New Roman" w:eastAsia="宋体" w:cs="Times New Roman"/>
          <w:iCs/>
          <w:color w:val="auto"/>
          <w:kern w:val="0"/>
          <w:sz w:val="24"/>
          <w:lang w:val="en-US" w:eastAsia="zh-CN"/>
        </w:rPr>
        <w:t xml:space="preserve">  K——渗透系数，m/d；本次评价取1m/d；</w:t>
      </w:r>
    </w:p>
    <w:p>
      <w:pPr>
        <w:spacing w:line="360" w:lineRule="auto"/>
        <w:jc w:val="left"/>
        <w:rPr>
          <w:rFonts w:hint="default" w:ascii="Times New Roman" w:hAnsi="Times New Roman" w:eastAsia="宋体" w:cs="Times New Roman"/>
          <w:iCs/>
          <w:color w:val="auto"/>
          <w:kern w:val="0"/>
          <w:sz w:val="24"/>
          <w:lang w:val="en-US" w:eastAsia="zh-CN"/>
        </w:rPr>
      </w:pPr>
      <w:r>
        <w:rPr>
          <w:rFonts w:hint="default" w:ascii="Times New Roman" w:hAnsi="Times New Roman" w:eastAsia="宋体" w:cs="Times New Roman"/>
          <w:iCs/>
          <w:color w:val="auto"/>
          <w:kern w:val="0"/>
          <w:sz w:val="24"/>
          <w:lang w:val="en-US" w:eastAsia="zh-CN"/>
        </w:rPr>
        <w:t xml:space="preserve">  I——水力坡度，无量纲，本次评价取</w:t>
      </w:r>
      <w:r>
        <w:rPr>
          <w:rFonts w:hint="default" w:ascii="Times New Roman" w:hAnsi="Times New Roman" w:eastAsia="宋体" w:cs="Times New Roman"/>
          <w:color w:val="auto"/>
          <w:sz w:val="24"/>
          <w:szCs w:val="24"/>
        </w:rPr>
        <w:t>1.65‰</w:t>
      </w:r>
      <w:r>
        <w:rPr>
          <w:rFonts w:hint="default" w:ascii="Times New Roman" w:hAnsi="Times New Roman" w:eastAsia="宋体" w:cs="Times New Roman"/>
          <w:iCs/>
          <w:color w:val="auto"/>
          <w:kern w:val="0"/>
          <w:sz w:val="24"/>
          <w:lang w:val="en-US" w:eastAsia="zh-CN"/>
        </w:rPr>
        <w:t>；</w:t>
      </w:r>
    </w:p>
    <w:p>
      <w:pPr>
        <w:spacing w:line="360" w:lineRule="auto"/>
        <w:jc w:val="left"/>
        <w:rPr>
          <w:rFonts w:hint="default" w:ascii="Times New Roman" w:hAnsi="Times New Roman" w:eastAsia="宋体" w:cs="Times New Roman"/>
          <w:iCs/>
          <w:color w:val="auto"/>
          <w:kern w:val="0"/>
          <w:sz w:val="24"/>
          <w:lang w:val="en-US" w:eastAsia="zh-CN"/>
        </w:rPr>
      </w:pPr>
      <w:r>
        <w:rPr>
          <w:rFonts w:hint="default" w:ascii="Times New Roman" w:hAnsi="Times New Roman" w:eastAsia="宋体" w:cs="Times New Roman"/>
          <w:iCs/>
          <w:color w:val="auto"/>
          <w:kern w:val="0"/>
          <w:sz w:val="24"/>
          <w:lang w:val="en-US" w:eastAsia="zh-CN"/>
        </w:rPr>
        <w:t xml:space="preserve">  T——质点迁移天数，取值不小于5000d</w:t>
      </w:r>
      <w:r>
        <w:rPr>
          <w:rFonts w:hint="eastAsia" w:cs="Times New Roman"/>
          <w:iCs/>
          <w:color w:val="auto"/>
          <w:kern w:val="0"/>
          <w:sz w:val="24"/>
          <w:lang w:val="en-US" w:eastAsia="zh-CN"/>
        </w:rPr>
        <w:t>，本项目取7300d（20年）</w:t>
      </w:r>
      <w:r>
        <w:rPr>
          <w:rFonts w:hint="default" w:ascii="Times New Roman" w:hAnsi="Times New Roman" w:eastAsia="宋体" w:cs="Times New Roman"/>
          <w:iCs/>
          <w:color w:val="auto"/>
          <w:kern w:val="0"/>
          <w:sz w:val="24"/>
          <w:lang w:val="en-US" w:eastAsia="zh-CN"/>
        </w:rPr>
        <w:t>；</w:t>
      </w:r>
    </w:p>
    <w:p>
      <w:pPr>
        <w:spacing w:line="360" w:lineRule="auto"/>
        <w:jc w:val="left"/>
        <w:rPr>
          <w:rFonts w:hint="eastAsia" w:ascii="Times New Roman" w:hAnsi="Times New Roman" w:eastAsia="宋体" w:cs="Times New Roman"/>
          <w:iCs/>
          <w:color w:val="auto"/>
          <w:kern w:val="0"/>
          <w:sz w:val="24"/>
          <w:lang w:val="en-US" w:eastAsia="zh-CN"/>
        </w:rPr>
      </w:pPr>
      <w:r>
        <w:rPr>
          <w:rFonts w:hint="default" w:ascii="Times New Roman" w:hAnsi="Times New Roman" w:eastAsia="宋体" w:cs="Times New Roman"/>
          <w:iCs/>
          <w:color w:val="auto"/>
          <w:kern w:val="0"/>
          <w:sz w:val="24"/>
          <w:lang w:val="en-US" w:eastAsia="zh-CN"/>
        </w:rPr>
        <w:t xml:space="preserve">  n</w:t>
      </w:r>
      <w:r>
        <w:rPr>
          <w:rFonts w:hint="default" w:ascii="Times New Roman" w:hAnsi="Times New Roman" w:eastAsia="宋体" w:cs="Times New Roman"/>
          <w:iCs/>
          <w:color w:val="auto"/>
          <w:kern w:val="0"/>
          <w:sz w:val="24"/>
          <w:vertAlign w:val="subscript"/>
          <w:lang w:val="en-US" w:eastAsia="zh-CN"/>
        </w:rPr>
        <w:t>e</w:t>
      </w:r>
      <w:r>
        <w:rPr>
          <w:rFonts w:hint="default" w:ascii="Times New Roman" w:hAnsi="Times New Roman" w:eastAsia="宋体" w:cs="Times New Roman"/>
          <w:iCs/>
          <w:color w:val="auto"/>
          <w:kern w:val="0"/>
          <w:sz w:val="24"/>
          <w:lang w:val="en-US" w:eastAsia="zh-CN"/>
        </w:rPr>
        <w:t>——</w:t>
      </w:r>
      <w:r>
        <w:rPr>
          <w:rFonts w:hint="eastAsia" w:ascii="Times New Roman" w:hAnsi="Times New Roman" w:eastAsia="宋体" w:cs="Times New Roman"/>
          <w:iCs/>
          <w:color w:val="auto"/>
          <w:kern w:val="0"/>
          <w:sz w:val="24"/>
          <w:lang w:val="en-US" w:eastAsia="zh-CN"/>
        </w:rPr>
        <w:t>有效孔隙度，无量纲，按《水文地质手册》的经验值给出厂区潜水含水层的平均有效孔隙度为</w:t>
      </w:r>
      <w:r>
        <w:rPr>
          <w:rFonts w:hint="eastAsia" w:cs="Times New Roman"/>
          <w:iCs/>
          <w:color w:val="auto"/>
          <w:kern w:val="0"/>
          <w:sz w:val="24"/>
          <w:lang w:val="en-US" w:eastAsia="zh-CN"/>
        </w:rPr>
        <w:t>0.54</w:t>
      </w:r>
      <w:r>
        <w:rPr>
          <w:rFonts w:hint="eastAsia" w:ascii="Times New Roman" w:hAnsi="Times New Roman" w:eastAsia="宋体" w:cs="Times New Roman"/>
          <w:iCs/>
          <w:color w:val="auto"/>
          <w:kern w:val="0"/>
          <w:sz w:val="24"/>
          <w:lang w:val="en-US" w:eastAsia="zh-CN"/>
        </w:rPr>
        <w:t>。</w:t>
      </w:r>
    </w:p>
    <w:p>
      <w:pPr>
        <w:spacing w:line="360" w:lineRule="auto"/>
        <w:jc w:val="left"/>
        <w:rPr>
          <w:rFonts w:hint="default" w:ascii="Times New Roman" w:hAnsi="Times New Roman" w:cs="Times New Roman"/>
          <w:iCs/>
          <w:color w:val="auto"/>
          <w:kern w:val="0"/>
          <w:sz w:val="24"/>
          <w:lang w:val="en-US" w:eastAsia="zh-CN"/>
        </w:rPr>
      </w:pPr>
      <w:r>
        <w:rPr>
          <w:rFonts w:hint="default" w:ascii="Times New Roman" w:hAnsi="Times New Roman" w:eastAsia="宋体" w:cs="Times New Roman"/>
          <w:color w:val="auto"/>
          <w:sz w:val="24"/>
          <w:szCs w:val="24"/>
        </w:rPr>
        <w:t>根据公式，计算得到下游迁移距离L为</w:t>
      </w:r>
      <w:r>
        <w:rPr>
          <w:rFonts w:hint="eastAsia" w:cs="Times New Roman"/>
          <w:color w:val="auto"/>
          <w:sz w:val="24"/>
          <w:szCs w:val="24"/>
          <w:lang w:val="en-US" w:eastAsia="zh-CN"/>
        </w:rPr>
        <w:t>44.6</w:t>
      </w:r>
      <w:r>
        <w:rPr>
          <w:rFonts w:hint="default" w:ascii="Times New Roman" w:hAnsi="Times New Roman" w:eastAsia="宋体" w:cs="Times New Roman"/>
          <w:color w:val="auto"/>
          <w:sz w:val="24"/>
          <w:szCs w:val="24"/>
        </w:rPr>
        <w:t>m。</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（2）查表法</w:t>
      </w:r>
    </w:p>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当不满足公式计算法的要求时，可采用查表法确定，详见下表。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color w:val="auto"/>
          <w:lang w:val="en-US" w:eastAsia="zh-CN"/>
        </w:rPr>
      </w:pPr>
      <w:r>
        <w:rPr>
          <w:rFonts w:hint="eastAsia" w:ascii="Times New Roman" w:hAnsi="Times New Roman" w:eastAsia="宋体" w:cs="Times New Roman"/>
          <w:b/>
          <w:bCs w:val="0"/>
          <w:color w:val="auto"/>
          <w:kern w:val="2"/>
          <w:sz w:val="21"/>
          <w:szCs w:val="24"/>
          <w:lang w:val="en-US" w:eastAsia="zh-CN" w:bidi="ar-SA"/>
        </w:rPr>
        <w:t>表5.2-8 地下水环境现状调查评价范围参照表</w:t>
      </w:r>
    </w:p>
    <w:tbl>
      <w:tblPr>
        <w:tblStyle w:val="52"/>
        <w:tblW w:w="928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3645"/>
        <w:gridCol w:w="40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7"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评价等级</w:t>
            </w:r>
          </w:p>
        </w:tc>
        <w:tc>
          <w:tcPr>
            <w:tcW w:w="364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调查评价面积（km</w:t>
            </w:r>
            <w:r>
              <w:rPr>
                <w:rFonts w:hint="eastAsia"/>
                <w:b w:val="0"/>
                <w:bCs/>
                <w:color w:val="auto"/>
                <w:sz w:val="21"/>
                <w:szCs w:val="21"/>
                <w:vertAlign w:val="superscript"/>
                <w:lang w:val="en-US" w:eastAsia="zh-CN"/>
              </w:rPr>
              <w:t>2</w:t>
            </w:r>
            <w:r>
              <w:rPr>
                <w:rFonts w:hint="eastAsia"/>
                <w:b w:val="0"/>
                <w:bCs/>
                <w:color w:val="auto"/>
                <w:sz w:val="21"/>
                <w:szCs w:val="21"/>
                <w:vertAlign w:val="baseline"/>
                <w:lang w:val="en-US" w:eastAsia="zh-CN"/>
              </w:rPr>
              <w:t>）</w:t>
            </w:r>
          </w:p>
        </w:tc>
        <w:tc>
          <w:tcPr>
            <w:tcW w:w="409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47"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一级</w:t>
            </w:r>
          </w:p>
        </w:tc>
        <w:tc>
          <w:tcPr>
            <w:tcW w:w="364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r>
              <w:rPr>
                <w:rFonts w:hint="eastAsia"/>
                <w:b w:val="0"/>
                <w:bCs/>
                <w:color w:val="auto"/>
                <w:sz w:val="21"/>
                <w:szCs w:val="21"/>
                <w:vertAlign w:val="baseline"/>
                <w:lang w:val="en-US" w:eastAsia="zh-CN"/>
              </w:rPr>
              <w:t>20</w:t>
            </w:r>
          </w:p>
        </w:tc>
        <w:tc>
          <w:tcPr>
            <w:tcW w:w="4096" w:type="dxa"/>
            <w:vMerge w:val="restar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应包括重要的地下水环境保护目标，必要时适当扩大范围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47"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二级</w:t>
            </w:r>
          </w:p>
        </w:tc>
        <w:tc>
          <w:tcPr>
            <w:tcW w:w="364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6-20</w:t>
            </w:r>
          </w:p>
        </w:tc>
        <w:tc>
          <w:tcPr>
            <w:tcW w:w="4096" w:type="dxa"/>
            <w:vMerge w:val="continue"/>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47"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eastAsia"/>
                <w:b w:val="0"/>
                <w:bCs/>
                <w:color w:val="auto"/>
                <w:sz w:val="21"/>
                <w:szCs w:val="21"/>
                <w:vertAlign w:val="baseline"/>
                <w:lang w:val="en-US" w:eastAsia="zh-CN"/>
              </w:rPr>
              <w:t>三级</w:t>
            </w:r>
          </w:p>
        </w:tc>
        <w:tc>
          <w:tcPr>
            <w:tcW w:w="364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r>
              <w:rPr>
                <w:rFonts w:hint="eastAsia"/>
                <w:b w:val="0"/>
                <w:bCs/>
                <w:color w:val="auto"/>
                <w:sz w:val="21"/>
                <w:szCs w:val="21"/>
                <w:vertAlign w:val="baseline"/>
                <w:lang w:val="en-US" w:eastAsia="zh-CN"/>
              </w:rPr>
              <w:t>6</w:t>
            </w:r>
          </w:p>
        </w:tc>
        <w:tc>
          <w:tcPr>
            <w:tcW w:w="4096" w:type="dxa"/>
            <w:vMerge w:val="continue"/>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b w:val="0"/>
                <w:bCs/>
                <w:color w:val="auto"/>
                <w:sz w:val="21"/>
                <w:szCs w:val="21"/>
                <w:vertAlign w:val="baseline"/>
                <w:lang w:val="en-US" w:eastAsia="zh-CN"/>
              </w:rPr>
            </w:pPr>
          </w:p>
        </w:tc>
      </w:tr>
    </w:tbl>
    <w:p>
      <w:pPr>
        <w:spacing w:line="360" w:lineRule="auto"/>
        <w:jc w:val="left"/>
        <w:rPr>
          <w:rFonts w:hint="eastAsia" w:cs="Times New Roman"/>
          <w:iCs/>
          <w:color w:val="auto"/>
          <w:kern w:val="0"/>
          <w:sz w:val="24"/>
          <w:lang w:val="en-US" w:eastAsia="zh-CN"/>
        </w:rPr>
      </w:pPr>
      <w:r>
        <w:rPr>
          <w:rFonts w:hint="eastAsia" w:cs="Times New Roman"/>
          <w:iCs/>
          <w:color w:val="auto"/>
          <w:kern w:val="0"/>
          <w:sz w:val="24"/>
          <w:lang w:val="en-US" w:eastAsia="zh-CN"/>
        </w:rPr>
        <w:t>（3）自定义法</w:t>
      </w:r>
    </w:p>
    <w:p>
      <w:pPr>
        <w:pStyle w:val="265"/>
        <w:rPr>
          <w:rFonts w:hint="eastAsia"/>
          <w:color w:val="auto"/>
          <w:lang w:eastAsia="zh-CN"/>
        </w:rPr>
      </w:pPr>
      <w:r>
        <w:rPr>
          <w:rFonts w:hint="eastAsia" w:cs="Times New Roman"/>
          <w:iCs/>
          <w:color w:val="auto"/>
          <w:kern w:val="0"/>
          <w:sz w:val="24"/>
          <w:lang w:val="en-US" w:eastAsia="zh-CN"/>
        </w:rPr>
        <w:t>当计算或查表范围超出所处水文地质单元边界时，应以所处水文地质单元边界为宜，可根据建设项目所在区域水文地质条件确定。</w:t>
      </w:r>
    </w:p>
    <w:p>
      <w:pPr>
        <w:pStyle w:val="265"/>
        <w:rPr>
          <w:rFonts w:hint="eastAsia"/>
          <w:b/>
          <w:bCs/>
          <w:color w:val="auto"/>
          <w:lang w:eastAsia="zh-CN"/>
        </w:rPr>
      </w:pPr>
      <w:r>
        <w:rPr>
          <w:rFonts w:hint="eastAsia"/>
          <w:b/>
          <w:bCs/>
          <w:color w:val="auto"/>
          <w:lang w:eastAsia="zh-CN"/>
        </w:rPr>
        <w:t>3、地下水环境质量现状</w:t>
      </w:r>
    </w:p>
    <w:p>
      <w:pPr>
        <w:pStyle w:val="265"/>
        <w:rPr>
          <w:rFonts w:hint="eastAsia"/>
          <w:color w:val="auto"/>
          <w:lang w:eastAsia="zh-CN"/>
        </w:rPr>
      </w:pPr>
      <w:r>
        <w:rPr>
          <w:rFonts w:hint="default" w:eastAsia="宋体"/>
          <w:color w:val="auto"/>
          <w:lang w:val="en-US" w:eastAsia="zh-CN"/>
        </w:rPr>
        <w:t>本项目所在区域地下水</w:t>
      </w:r>
      <w:r>
        <w:rPr>
          <w:rFonts w:hint="eastAsia"/>
          <w:color w:val="auto"/>
          <w:lang w:val="en-US" w:eastAsia="zh-CN"/>
        </w:rPr>
        <w:t>各点位监测指标</w:t>
      </w:r>
      <w:r>
        <w:rPr>
          <w:rFonts w:hint="default" w:eastAsia="宋体"/>
          <w:color w:val="auto"/>
          <w:lang w:val="en-US" w:eastAsia="zh-CN"/>
        </w:rPr>
        <w:t>均能达到《地下水质量标准》（GB/T14848-1993）</w:t>
      </w:r>
      <w:r>
        <w:rPr>
          <w:rFonts w:hint="default" w:ascii="Times New Roman" w:hAnsi="Times New Roman" w:eastAsia="宋体" w:cs="Times New Roman"/>
          <w:color w:val="auto"/>
          <w:sz w:val="24"/>
          <w:szCs w:val="24"/>
          <w:shd w:val="clear" w:color="auto" w:fill="auto"/>
          <w:lang w:val="en-US" w:eastAsia="zh-CN"/>
        </w:rPr>
        <w:t>Ⅲ</w:t>
      </w:r>
      <w:r>
        <w:rPr>
          <w:rFonts w:hint="default" w:eastAsia="宋体"/>
          <w:color w:val="auto"/>
          <w:lang w:val="en-US" w:eastAsia="zh-CN"/>
        </w:rPr>
        <w:t>类水域标准的要求</w:t>
      </w:r>
      <w:r>
        <w:rPr>
          <w:rFonts w:hint="eastAsia" w:eastAsia="宋体"/>
          <w:color w:val="auto"/>
          <w:lang w:val="en-US" w:eastAsia="zh-CN"/>
        </w:rPr>
        <w:t>。</w:t>
      </w:r>
    </w:p>
    <w:p>
      <w:pPr>
        <w:pStyle w:val="265"/>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根据本项目特性，本次选取自定义法确定本项目地下水环境影响评价调查范围。</w:t>
      </w:r>
    </w:p>
    <w:p>
      <w:pPr>
        <w:pStyle w:val="265"/>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9"/>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本次</w:t>
      </w:r>
      <w:r>
        <w:rPr>
          <w:rFonts w:hint="eastAsia" w:cs="Times New Roman"/>
          <w:color w:val="auto"/>
          <w:lang w:val="en-US" w:eastAsia="zh-CN"/>
        </w:rPr>
        <w:t>取上游50m，下游50m，场地两侧25m</w:t>
      </w:r>
      <w:r>
        <w:rPr>
          <w:rFonts w:hint="eastAsia" w:ascii="Times New Roman" w:hAnsi="Times New Roman" w:eastAsia="宋体" w:cs="Times New Roman"/>
          <w:color w:val="auto"/>
          <w:lang w:val="en-US" w:eastAsia="zh-CN"/>
        </w:rPr>
        <w:t>为评价范围边界，以此共划定约122100m</w:t>
      </w:r>
      <w:r>
        <w:rPr>
          <w:rFonts w:hint="eastAsia"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的调查评价范围。</w:t>
      </w:r>
    </w:p>
    <w:p>
      <w:pPr>
        <w:pStyle w:val="9"/>
        <w:rPr>
          <w:rFonts w:hint="eastAsia"/>
          <w:color w:val="auto"/>
          <w:lang w:eastAsia="zh-CN"/>
        </w:rPr>
      </w:pPr>
      <w:r>
        <w:rPr>
          <w:rFonts w:hint="eastAsia"/>
          <w:color w:val="auto"/>
          <w:lang w:eastAsia="zh-CN"/>
        </w:rPr>
        <w:t xml:space="preserve"> 地下水污染源及污染途径</w:t>
      </w:r>
    </w:p>
    <w:p>
      <w:pPr>
        <w:spacing w:line="360" w:lineRule="auto"/>
        <w:ind w:firstLine="482" w:firstLineChars="200"/>
        <w:jc w:val="left"/>
        <w:rPr>
          <w:rFonts w:hint="eastAsia"/>
          <w:b/>
          <w:bCs/>
          <w:iCs/>
          <w:color w:val="auto"/>
          <w:kern w:val="0"/>
          <w:sz w:val="24"/>
          <w:lang w:val="en-US" w:eastAsia="zh-CN"/>
        </w:rPr>
      </w:pPr>
      <w:r>
        <w:rPr>
          <w:rFonts w:hint="eastAsia"/>
          <w:b/>
          <w:bCs/>
          <w:iCs/>
          <w:color w:val="auto"/>
          <w:kern w:val="0"/>
          <w:sz w:val="24"/>
          <w:lang w:val="en-US" w:eastAsia="zh-CN"/>
        </w:rPr>
        <w:t>1、地下水污染途径分类</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地下水污染途径是多种多样的， 大致可归为四类：</w:t>
      </w:r>
    </w:p>
    <w:p>
      <w:pPr>
        <w:numPr>
          <w:ilvl w:val="0"/>
          <w:numId w:val="14"/>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间歇入渗型。大气降水使污染物随水通过非饱水带，周期性的渗入含水层，主要是污染潜水，淋滤固体废物堆引起的污染，即属此类。</w:t>
      </w:r>
    </w:p>
    <w:p>
      <w:pPr>
        <w:numPr>
          <w:ilvl w:val="0"/>
          <w:numId w:val="14"/>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连续入渗型。污染物随水不断地渗入含水层，主要也是污染潜水，如废水聚集地段（如废水渠、废水池等）和受污染的地表水体连续渗漏造成地下水污染。</w:t>
      </w:r>
    </w:p>
    <w:p>
      <w:pPr>
        <w:numPr>
          <w:ilvl w:val="0"/>
          <w:numId w:val="14"/>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越流型。污染物是通过越流的方式从已受污染的含水层转移到未受污染的含水层。污染物或者是通过整个层间，或者是通过地层尖灭的天窗，或者是通过破损的井管，污染潜水和承压水。地下水的开采改变了越流方向，使已受污染的潜水进入未受污染的承压水，即属此类。</w:t>
      </w:r>
    </w:p>
    <w:p>
      <w:pPr>
        <w:numPr>
          <w:ilvl w:val="0"/>
          <w:numId w:val="14"/>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径流型。污染物通过地下径流进入含水层，污染潜水或承压水。污染物通过地下岩溶孔道进入含水层，即属此类。</w:t>
      </w:r>
    </w:p>
    <w:p>
      <w:pPr>
        <w:spacing w:line="360" w:lineRule="auto"/>
        <w:ind w:firstLine="482" w:firstLineChars="200"/>
        <w:jc w:val="left"/>
        <w:rPr>
          <w:rFonts w:hint="eastAsia"/>
          <w:b/>
          <w:bCs/>
          <w:iCs/>
          <w:color w:val="auto"/>
          <w:kern w:val="0"/>
          <w:sz w:val="24"/>
          <w:lang w:val="en-US" w:eastAsia="zh-CN"/>
        </w:rPr>
      </w:pPr>
      <w:r>
        <w:rPr>
          <w:rFonts w:hint="eastAsia"/>
          <w:b/>
          <w:bCs/>
          <w:iCs/>
          <w:color w:val="auto"/>
          <w:kern w:val="0"/>
          <w:sz w:val="24"/>
          <w:lang w:val="en-US" w:eastAsia="zh-CN"/>
        </w:rPr>
        <w:t>2、地下水污染途径确定</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根据导则的要求及以上关于污染途径的描述，对建设项目在不同工况下的地下水污染入侵途径进行分析。</w:t>
      </w:r>
    </w:p>
    <w:p>
      <w:pPr>
        <w:numPr>
          <w:ilvl w:val="0"/>
          <w:numId w:val="15"/>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正常状况地下水污染途径</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正常状况下，项目按照分区防渗、分区防治的原则，参照《石油化工工程防渗技术规范》（GB/T50934-2013）中相关规定对地下水污染源进行防渗防腐处理，从而使得地下水污染源得到有效防护，污染物不会外排，因此，正常状况下地下水污染源从源头上得到控制。从上述方面分析，可以看出在正常状况下，地面经防渗处理，污染物从源头和末端均得到控制，没有污染地下水的通道，污染物渗入污染地下水不会发生。</w:t>
      </w:r>
    </w:p>
    <w:p>
      <w:pPr>
        <w:numPr>
          <w:ilvl w:val="0"/>
          <w:numId w:val="15"/>
        </w:numPr>
        <w:spacing w:line="360" w:lineRule="auto"/>
        <w:ind w:left="0" w:leftChars="0" w:firstLine="400" w:firstLineChars="0"/>
        <w:jc w:val="left"/>
        <w:rPr>
          <w:rFonts w:hint="eastAsia"/>
          <w:iCs/>
          <w:color w:val="auto"/>
          <w:kern w:val="0"/>
          <w:sz w:val="24"/>
          <w:lang w:val="en-US" w:eastAsia="zh-CN"/>
        </w:rPr>
      </w:pPr>
      <w:r>
        <w:rPr>
          <w:rFonts w:hint="eastAsia"/>
          <w:iCs/>
          <w:color w:val="auto"/>
          <w:kern w:val="0"/>
          <w:sz w:val="24"/>
          <w:lang w:val="en-US" w:eastAsia="zh-CN"/>
        </w:rPr>
        <w:t xml:space="preserve">非正常状况下地下水污染途径  </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非正常状况是指建设项目的工艺设备或地下水环境保护措施因系统老化、腐蚀等原因不能正常运行或保护效果达不到设计要求时的运行状况。主要指在项目在生产运行期间生产废水处理设施和化粪池等污染源由于因系统老化、腐蚀等原因不能正常运行或保护效果达不到设计或防渗层失效时造成污染物质泄漏。</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建设项目各类地下水污染源，在出现防渗层的假设非正常状况时，在一定时间内，企业采取措施对污染渗漏点进行封补措施，切断污染源，已经渗漏的污染物穿过损坏或不合格的防渗层在重力作用下从地表逐步渗入含水层，在这种情况下对地下水的影响，可定义为持续渗漏型。</w:t>
      </w:r>
    </w:p>
    <w:p>
      <w:pPr>
        <w:numPr>
          <w:ilvl w:val="0"/>
          <w:numId w:val="15"/>
        </w:numPr>
        <w:spacing w:line="360" w:lineRule="auto"/>
        <w:ind w:left="0" w:leftChars="0" w:firstLine="400" w:firstLineChars="0"/>
        <w:jc w:val="left"/>
        <w:rPr>
          <w:rFonts w:hint="eastAsia"/>
          <w:iCs/>
          <w:color w:val="auto"/>
          <w:kern w:val="0"/>
          <w:sz w:val="24"/>
          <w:lang w:val="en-US" w:eastAsia="zh-CN"/>
        </w:rPr>
      </w:pPr>
      <w:r>
        <w:rPr>
          <w:rFonts w:hint="eastAsia"/>
          <w:iCs/>
          <w:color w:val="auto"/>
          <w:kern w:val="0"/>
          <w:sz w:val="24"/>
          <w:lang w:val="en-US" w:eastAsia="zh-CN"/>
        </w:rPr>
        <w:t>风险事故情况下地下水污染途径</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事故情况，主要是指在项目在生产运行期间出现突发性事件或事故，造成污染物泄漏，从而对地下水环境造成影响的情况。项目涉及到的物料除柴油、沼气易燃外，不涉及有毒有害特性的危险化学品。贮存场所和生产装置在出现事故情况下，出现污染物的泄漏，污染物通过损坏或不合格的防渗层、未防渗的地面等，泄漏的污染物在重力作用下从地表逐步渗入深层，并造成局部的地下水环境受到污染，泄漏的污染物随地下水的流动不断扩散，最后导致地下水污染范围不断扩大。事故状态下对地下水的污染途径可定义为瞬时渗漏型。</w:t>
      </w:r>
    </w:p>
    <w:p>
      <w:pPr>
        <w:pStyle w:val="9"/>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地下水环境影响预测及分析</w:t>
      </w:r>
    </w:p>
    <w:p>
      <w:pPr>
        <w:spacing w:line="360" w:lineRule="auto"/>
        <w:ind w:firstLine="482" w:firstLineChars="200"/>
        <w:jc w:val="left"/>
        <w:rPr>
          <w:rFonts w:hint="eastAsia"/>
          <w:b/>
          <w:bCs/>
          <w:iCs/>
          <w:color w:val="auto"/>
          <w:kern w:val="0"/>
          <w:sz w:val="24"/>
          <w:lang w:eastAsia="zh-CN"/>
        </w:rPr>
      </w:pPr>
      <w:r>
        <w:rPr>
          <w:rFonts w:hint="eastAsia"/>
          <w:b/>
          <w:bCs/>
          <w:iCs/>
          <w:color w:val="auto"/>
          <w:kern w:val="0"/>
          <w:sz w:val="24"/>
          <w:lang w:val="en-US" w:eastAsia="zh-CN"/>
        </w:rPr>
        <w:t>1、</w:t>
      </w:r>
      <w:r>
        <w:rPr>
          <w:rFonts w:hint="eastAsia"/>
          <w:b/>
          <w:bCs/>
          <w:iCs/>
          <w:color w:val="auto"/>
          <w:kern w:val="0"/>
          <w:sz w:val="24"/>
          <w:lang w:eastAsia="zh-CN"/>
        </w:rPr>
        <w:t>预测原则</w:t>
      </w:r>
    </w:p>
    <w:p>
      <w:pPr>
        <w:spacing w:line="360" w:lineRule="auto"/>
        <w:ind w:firstLine="480" w:firstLineChars="200"/>
        <w:jc w:val="left"/>
        <w:rPr>
          <w:rFonts w:hint="eastAsia"/>
          <w:iCs/>
          <w:color w:val="auto"/>
          <w:kern w:val="0"/>
          <w:sz w:val="24"/>
          <w:lang w:eastAsia="zh-CN"/>
        </w:rPr>
      </w:pPr>
      <w:r>
        <w:rPr>
          <w:rFonts w:hint="eastAsia"/>
          <w:iCs/>
          <w:color w:val="auto"/>
          <w:kern w:val="0"/>
          <w:sz w:val="24"/>
          <w:lang w:eastAsia="zh-CN"/>
        </w:rPr>
        <w:t>项目地下水环境影响预测原则为：</w:t>
      </w:r>
    </w:p>
    <w:p>
      <w:pPr>
        <w:numPr>
          <w:ilvl w:val="0"/>
          <w:numId w:val="16"/>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考虑到地下水环境污染的隐蔽性和难恢复性，遵循环境安全性原则，为评价各方案的环境安全和环境保护措施的合理性提供依据。</w:t>
      </w:r>
    </w:p>
    <w:p>
      <w:pPr>
        <w:numPr>
          <w:ilvl w:val="0"/>
          <w:numId w:val="16"/>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预测的范围、时段、内容和方法根据评级工作等级、工程特征与环境特征，结合当地环境功能和保护要求确定，以拟定建设项目对地下水水质的影响及由此而产生的主要环境水文地质问题为重点。</w:t>
      </w:r>
    </w:p>
    <w:p>
      <w:pPr>
        <w:numPr>
          <w:ilvl w:val="0"/>
          <w:numId w:val="16"/>
        </w:numPr>
        <w:spacing w:line="360" w:lineRule="auto"/>
        <w:ind w:left="0" w:leftChars="0" w:firstLine="480" w:firstLineChars="200"/>
        <w:jc w:val="left"/>
        <w:rPr>
          <w:rFonts w:hint="eastAsia"/>
          <w:iCs/>
          <w:color w:val="auto"/>
          <w:kern w:val="0"/>
          <w:sz w:val="24"/>
          <w:lang w:val="en-US" w:eastAsia="zh-CN"/>
        </w:rPr>
      </w:pPr>
      <w:r>
        <w:rPr>
          <w:rFonts w:hint="eastAsia"/>
          <w:iCs/>
          <w:color w:val="auto"/>
          <w:kern w:val="0"/>
          <w:sz w:val="24"/>
          <w:lang w:val="en-US" w:eastAsia="zh-CN"/>
        </w:rPr>
        <w:t>在结合地下水污染防控措施的基础上，对建设项目可能引起的地下水环境影响进行预测。</w:t>
      </w:r>
    </w:p>
    <w:p>
      <w:pPr>
        <w:spacing w:line="360" w:lineRule="auto"/>
        <w:ind w:firstLine="482" w:firstLineChars="200"/>
        <w:jc w:val="left"/>
        <w:rPr>
          <w:rFonts w:hint="eastAsia"/>
          <w:b/>
          <w:bCs/>
          <w:iCs/>
          <w:color w:val="auto"/>
          <w:kern w:val="0"/>
          <w:sz w:val="24"/>
          <w:lang w:val="en-US" w:eastAsia="zh-CN"/>
        </w:rPr>
      </w:pPr>
      <w:r>
        <w:rPr>
          <w:rFonts w:hint="eastAsia"/>
          <w:b/>
          <w:bCs/>
          <w:iCs/>
          <w:color w:val="auto"/>
          <w:kern w:val="0"/>
          <w:sz w:val="24"/>
          <w:lang w:val="en-US" w:eastAsia="zh-CN"/>
        </w:rPr>
        <w:t>2、预测时段及预测范围</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本次评价地下水环境影响预测时段选取项目污染发生后的100d、1000d及7200d时间节点作为本次评价的预测时段，而本项目预测范围与评价范围一致。</w:t>
      </w:r>
    </w:p>
    <w:p>
      <w:pPr>
        <w:spacing w:line="360" w:lineRule="auto"/>
        <w:ind w:firstLine="482" w:firstLineChars="200"/>
        <w:jc w:val="left"/>
        <w:rPr>
          <w:rFonts w:hint="eastAsia" w:eastAsia="宋体"/>
          <w:b/>
          <w:bCs/>
          <w:iCs/>
          <w:color w:val="auto"/>
          <w:kern w:val="0"/>
          <w:sz w:val="24"/>
          <w:lang w:val="en-US" w:eastAsia="zh-CN"/>
        </w:rPr>
      </w:pPr>
      <w:r>
        <w:rPr>
          <w:rFonts w:hint="eastAsia" w:eastAsia="宋体"/>
          <w:b/>
          <w:bCs/>
          <w:iCs/>
          <w:color w:val="auto"/>
          <w:kern w:val="0"/>
          <w:sz w:val="24"/>
          <w:lang w:val="en-US" w:eastAsia="zh-CN"/>
        </w:rPr>
        <w:t>3、预测情景及预测因子</w:t>
      </w:r>
    </w:p>
    <w:p>
      <w:pPr>
        <w:spacing w:line="360" w:lineRule="auto"/>
        <w:ind w:firstLine="480" w:firstLineChars="200"/>
        <w:jc w:val="left"/>
        <w:rPr>
          <w:rFonts w:hint="eastAsia"/>
          <w:iCs/>
          <w:color w:val="auto"/>
          <w:kern w:val="0"/>
          <w:sz w:val="24"/>
          <w:lang w:val="en-US" w:eastAsia="zh-CN"/>
        </w:rPr>
      </w:pPr>
      <w:r>
        <w:rPr>
          <w:rFonts w:hint="eastAsia"/>
          <w:iCs/>
          <w:color w:val="auto"/>
          <w:kern w:val="0"/>
          <w:sz w:val="24"/>
          <w:lang w:val="en-US" w:eastAsia="zh-CN"/>
        </w:rPr>
        <w:t>正常状况下本项目生产厂房各设施均在防水等级符合GB50108一级防水标准的防渗条件下运行，污染物基本不可能大量地透过防渗层进入包气带，对地下水环境影响很小。因此，本次评价将不对项目正常状况运行进行预测分析。</w:t>
      </w:r>
    </w:p>
    <w:p>
      <w:pPr>
        <w:pStyle w:val="265"/>
        <w:rPr>
          <w:rFonts w:hint="eastAsia"/>
          <w:color w:val="auto"/>
          <w:lang w:eastAsia="zh-CN"/>
        </w:rPr>
      </w:pPr>
      <w:r>
        <w:rPr>
          <w:rFonts w:hint="eastAsia"/>
          <w:color w:val="auto"/>
          <w:lang w:eastAsia="zh-CN"/>
        </w:rPr>
        <w:t>项目地下水环境风险主要为非正常状况主要为管线腐蚀老化、收集池、</w:t>
      </w:r>
      <w:r>
        <w:rPr>
          <w:rFonts w:hint="eastAsia"/>
          <w:color w:val="auto"/>
          <w:lang w:val="en-US" w:eastAsia="zh-CN"/>
        </w:rPr>
        <w:t>沼气</w:t>
      </w:r>
      <w:r>
        <w:rPr>
          <w:rFonts w:hint="eastAsia"/>
          <w:color w:val="auto"/>
          <w:lang w:eastAsia="zh-CN"/>
        </w:rPr>
        <w:t>池破损等单元物质发生泄漏后，若地面防渗层失效，各物质渗入土壤和地下水层中将对土壤和地下水造成影响。</w:t>
      </w:r>
    </w:p>
    <w:p>
      <w:pPr>
        <w:pStyle w:val="265"/>
        <w:rPr>
          <w:rFonts w:hint="eastAsia"/>
          <w:color w:val="auto"/>
          <w:lang w:eastAsia="zh-CN"/>
        </w:rPr>
      </w:pPr>
      <w:r>
        <w:rPr>
          <w:rFonts w:hint="eastAsia"/>
          <w:iCs/>
          <w:color w:val="auto"/>
          <w:kern w:val="0"/>
          <w:sz w:val="24"/>
          <w:lang w:val="en-US" w:eastAsia="zh-CN"/>
        </w:rPr>
        <w:t>根据项目特征及泄漏源，本次评价选取NH</w:t>
      </w:r>
      <w:r>
        <w:rPr>
          <w:rFonts w:hint="eastAsia"/>
          <w:iCs/>
          <w:color w:val="auto"/>
          <w:kern w:val="0"/>
          <w:sz w:val="24"/>
          <w:vertAlign w:val="subscript"/>
          <w:lang w:val="en-US" w:eastAsia="zh-CN"/>
        </w:rPr>
        <w:t>3</w:t>
      </w:r>
      <w:r>
        <w:rPr>
          <w:rFonts w:hint="eastAsia"/>
          <w:iCs/>
          <w:color w:val="auto"/>
          <w:kern w:val="0"/>
          <w:sz w:val="24"/>
          <w:lang w:val="en-US" w:eastAsia="zh-CN"/>
        </w:rPr>
        <w:t>-N、COD</w:t>
      </w:r>
      <w:r>
        <w:rPr>
          <w:rFonts w:hint="eastAsia"/>
          <w:iCs/>
          <w:color w:val="auto"/>
          <w:kern w:val="0"/>
          <w:sz w:val="24"/>
          <w:vertAlign w:val="subscript"/>
          <w:lang w:val="en-US" w:eastAsia="zh-CN"/>
        </w:rPr>
        <w:t>Mn</w:t>
      </w:r>
      <w:r>
        <w:rPr>
          <w:rFonts w:hint="eastAsia"/>
          <w:iCs/>
          <w:color w:val="auto"/>
          <w:kern w:val="0"/>
          <w:sz w:val="24"/>
          <w:lang w:val="en-US" w:eastAsia="zh-CN"/>
        </w:rPr>
        <w:t>作为预测因子。</w:t>
      </w:r>
    </w:p>
    <w:p>
      <w:pPr>
        <w:spacing w:line="360" w:lineRule="auto"/>
        <w:ind w:firstLine="482" w:firstLineChars="200"/>
        <w:jc w:val="left"/>
        <w:rPr>
          <w:rFonts w:hint="eastAsia"/>
          <w:b/>
          <w:bCs/>
          <w:iCs/>
          <w:color w:val="auto"/>
          <w:kern w:val="0"/>
          <w:sz w:val="24"/>
          <w:lang w:val="en-US" w:eastAsia="zh-CN"/>
        </w:rPr>
      </w:pPr>
      <w:r>
        <w:rPr>
          <w:rFonts w:hint="eastAsia"/>
          <w:b/>
          <w:bCs/>
          <w:iCs/>
          <w:color w:val="auto"/>
          <w:kern w:val="0"/>
          <w:sz w:val="24"/>
          <w:lang w:val="en-US" w:eastAsia="zh-CN"/>
        </w:rPr>
        <w:t>4、预测方法</w:t>
      </w:r>
    </w:p>
    <w:p>
      <w:pPr>
        <w:numPr>
          <w:ilvl w:val="0"/>
          <w:numId w:val="17"/>
        </w:numPr>
        <w:spacing w:line="360" w:lineRule="auto"/>
        <w:ind w:left="0" w:leftChars="0" w:firstLine="480" w:firstLineChars="200"/>
        <w:jc w:val="left"/>
        <w:rPr>
          <w:rFonts w:hint="default"/>
          <w:iCs/>
          <w:color w:val="auto"/>
          <w:kern w:val="0"/>
          <w:sz w:val="24"/>
          <w:lang w:val="en-US" w:eastAsia="zh-CN"/>
        </w:rPr>
      </w:pPr>
      <w:r>
        <w:rPr>
          <w:rFonts w:hint="eastAsia"/>
          <w:iCs/>
          <w:color w:val="auto"/>
          <w:kern w:val="0"/>
          <w:sz w:val="24"/>
          <w:lang w:val="en-US" w:eastAsia="zh-CN"/>
        </w:rPr>
        <w:t>预测模式的选取</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本项目地下水环境评价工作等级为三级，根据</w:t>
      </w:r>
      <w:r>
        <w:rPr>
          <w:rFonts w:hint="default" w:ascii="Times New Roman" w:hAnsi="Times New Roman" w:cs="Times New Roman"/>
          <w:color w:val="auto"/>
          <w:sz w:val="24"/>
          <w:szCs w:val="24"/>
          <w:lang w:val="en-US" w:eastAsia="zh-CN"/>
        </w:rPr>
        <w:t>《环境影响评价技术导则—地下水环境》（HJ610-2016）要求</w:t>
      </w:r>
      <w:r>
        <w:rPr>
          <w:rFonts w:hint="eastAsia" w:ascii="Times New Roman" w:hAnsi="Times New Roman" w:cs="Times New Roman"/>
          <w:color w:val="auto"/>
          <w:sz w:val="24"/>
          <w:szCs w:val="24"/>
          <w:lang w:val="en-US" w:eastAsia="zh-CN"/>
        </w:rPr>
        <w:t>，可以采用解析法进行预测。</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水流特征概化：项目场地地下水呈一维流动，地下水动态稳定，因此水流特征可以概化为一维稳定流。</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污染源概化：</w:t>
      </w:r>
      <w:r>
        <w:rPr>
          <w:rFonts w:hint="eastAsia" w:ascii="Times New Roman" w:hAnsi="Times New Roman" w:cs="Times New Roman"/>
          <w:color w:val="auto"/>
          <w:sz w:val="24"/>
          <w:szCs w:val="24"/>
          <w:lang w:val="en-US" w:eastAsia="zh-CN"/>
        </w:rPr>
        <w:t>污水</w:t>
      </w:r>
      <w:r>
        <w:rPr>
          <w:rFonts w:hint="default" w:ascii="Times New Roman" w:hAnsi="Times New Roman" w:cs="Times New Roman"/>
          <w:color w:val="auto"/>
          <w:sz w:val="24"/>
          <w:szCs w:val="24"/>
          <w:lang w:val="en-US" w:eastAsia="zh-CN"/>
        </w:rPr>
        <w:t>池池底破损导致渗滤液以入渗的方式进入含水层，从保守角度，本次模拟预测忽略污染物在包气带的运移过程，因此排放方式可以概化为点源。根据情景模拟，从泄漏发生到检测发现及修复的时间为1d，修复后停止泄漏，因此排放规律可以概化为瞬时排放。</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污染特征概化：在地下水流携带污染物的迁移过程中，机械弥散和分子扩散往往同时发生，机械弥散和分子扩散合称为水动力弥散。不考虑污染物的生物降解作用。</w:t>
      </w:r>
    </w:p>
    <w:p>
      <w:pPr>
        <w:pStyle w:val="2"/>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baseline"/>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综上所述，本项目地下水流特征可以概化为一维稳定流，根据《建设项目环境影响评价技术导则 地下水环境》（HJ610-2016），三级评价可采用解析法或类比分析法。本次预测采用HJ610-2016推荐的一维稳定流一维水动力弥散方程进行预测。</w:t>
      </w:r>
    </w:p>
    <w:p>
      <w:pPr>
        <w:jc w:val="center"/>
        <w:rPr>
          <w:rFonts w:hint="eastAsia"/>
          <w:color w:val="auto"/>
          <w:lang w:val="en-US" w:eastAsia="zh-CN"/>
        </w:rPr>
      </w:pPr>
      <w:r>
        <w:rPr>
          <w:rFonts w:hint="eastAsia"/>
          <w:color w:val="auto"/>
          <w:position w:val="-34"/>
          <w:lang w:val="en-US" w:eastAsia="zh-CN"/>
        </w:rPr>
        <w:object>
          <v:shape id="_x0000_i1115" o:spt="75" type="#_x0000_t75" style="height:40pt;width:221pt;" o:ole="t" filled="f" o:preferrelative="t" stroked="f" coordsize="21600,21600">
            <v:path/>
            <v:fill on="f" focussize="0,0"/>
            <v:stroke on="f"/>
            <v:imagedata r:id="rId68" o:title=""/>
            <o:lock v:ext="edit" aspectratio="t"/>
            <w10:wrap type="none"/>
            <w10:anchorlock/>
          </v:shape>
          <o:OLEObject Type="Embed" ProgID="Equation.KSEE3" ShapeID="_x0000_i1115" DrawAspect="Content" ObjectID="_1468075736" r:id="rId67">
            <o:LockedField>false</o:LockedField>
          </o:OLEObject>
        </w:object>
      </w:r>
      <w:r>
        <w:rPr>
          <w:rFonts w:hint="eastAsia"/>
          <w:color w:val="auto"/>
          <w:position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default" w:ascii="Times New Roman" w:hAnsi="Times New Roman" w:cs="Times New Roman"/>
          <w:color w:val="auto"/>
          <w:sz w:val="24"/>
          <w:szCs w:val="24"/>
          <w:u w:val="none"/>
          <w:lang w:val="en-US" w:eastAsia="zh-CN"/>
        </w:rPr>
      </w:pPr>
      <w:r>
        <w:rPr>
          <w:rFonts w:hint="eastAsia" w:ascii="Times New Roman" w:hAnsi="Times New Roman" w:cs="Times New Roman"/>
          <w:color w:val="auto"/>
          <w:sz w:val="24"/>
          <w:szCs w:val="24"/>
          <w:u w:val="none"/>
          <w:lang w:val="en-US" w:eastAsia="zh-CN"/>
        </w:rPr>
        <w:t>式中</w:t>
      </w:r>
      <w:r>
        <w:rPr>
          <w:rFonts w:hint="default" w:ascii="Times New Roman" w:hAnsi="Times New Roman" w:cs="Times New Roman"/>
          <w:color w:val="auto"/>
          <w:sz w:val="24"/>
          <w:szCs w:val="24"/>
          <w:u w:val="none"/>
          <w:lang w:val="en-US" w:eastAsia="zh-CN"/>
        </w:rPr>
        <w:t>：x——距注入点的距离；m；</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t——时间，d；</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C (x</w:t>
      </w:r>
      <w:r>
        <w:rPr>
          <w:rFonts w:hint="eastAsia" w:ascii="Times New Roman" w:hAnsi="Times New Roman" w:cs="Times New Roman"/>
          <w:color w:val="auto"/>
          <w:sz w:val="24"/>
          <w:szCs w:val="24"/>
          <w:u w:val="none"/>
          <w:lang w:val="en-US" w:eastAsia="zh-CN"/>
        </w:rPr>
        <w:t>，</w:t>
      </w:r>
      <w:r>
        <w:rPr>
          <w:rFonts w:hint="default" w:ascii="Times New Roman" w:hAnsi="Times New Roman" w:cs="Times New Roman"/>
          <w:color w:val="auto"/>
          <w:sz w:val="24"/>
          <w:szCs w:val="24"/>
          <w:u w:val="none"/>
          <w:lang w:val="en-US" w:eastAsia="zh-CN"/>
        </w:rPr>
        <w:t>t )——t 时刻x 处的示踪剂浓度，g/L；</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C</w:t>
      </w:r>
      <w:r>
        <w:rPr>
          <w:rFonts w:hint="default" w:ascii="Times New Roman" w:hAnsi="Times New Roman" w:cs="Times New Roman"/>
          <w:color w:val="auto"/>
          <w:sz w:val="24"/>
          <w:szCs w:val="24"/>
          <w:u w:val="none"/>
          <w:vertAlign w:val="subscript"/>
          <w:lang w:val="en-US" w:eastAsia="zh-CN"/>
        </w:rPr>
        <w:t>0</w:t>
      </w:r>
      <w:r>
        <w:rPr>
          <w:rFonts w:hint="default" w:ascii="Times New Roman" w:hAnsi="Times New Roman" w:cs="Times New Roman"/>
          <w:color w:val="auto"/>
          <w:sz w:val="24"/>
          <w:szCs w:val="24"/>
          <w:u w:val="none"/>
          <w:lang w:val="en-US" w:eastAsia="zh-CN"/>
        </w:rPr>
        <w:t>——注入的示踪剂浓度，g/L；</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u——水流速度，m/d；</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D</w:t>
      </w:r>
      <w:r>
        <w:rPr>
          <w:rFonts w:hint="default" w:ascii="Times New Roman" w:hAnsi="Times New Roman" w:cs="Times New Roman"/>
          <w:color w:val="auto"/>
          <w:sz w:val="24"/>
          <w:szCs w:val="24"/>
          <w:u w:val="none"/>
          <w:vertAlign w:val="subscript"/>
          <w:lang w:val="en-US" w:eastAsia="zh-CN"/>
        </w:rPr>
        <w:t>L</w:t>
      </w:r>
      <w:r>
        <w:rPr>
          <w:rFonts w:hint="default" w:ascii="Times New Roman" w:hAnsi="Times New Roman" w:cs="Times New Roman"/>
          <w:color w:val="auto"/>
          <w:sz w:val="24"/>
          <w:szCs w:val="24"/>
          <w:u w:val="none"/>
          <w:lang w:val="en-US" w:eastAsia="zh-CN"/>
        </w:rPr>
        <w:t>——纵向弥散系数，m</w:t>
      </w:r>
      <w:r>
        <w:rPr>
          <w:rFonts w:hint="default" w:ascii="Times New Roman" w:hAnsi="Times New Roman" w:cs="Times New Roman"/>
          <w:color w:val="auto"/>
          <w:sz w:val="24"/>
          <w:szCs w:val="24"/>
          <w:u w:val="none"/>
          <w:vertAlign w:val="superscript"/>
          <w:lang w:val="en-US" w:eastAsia="zh-CN"/>
        </w:rPr>
        <w:t>2</w:t>
      </w:r>
      <w:r>
        <w:rPr>
          <w:rFonts w:hint="default" w:ascii="Times New Roman" w:hAnsi="Times New Roman" w:cs="Times New Roman"/>
          <w:color w:val="auto"/>
          <w:sz w:val="24"/>
          <w:szCs w:val="24"/>
          <w:u w:val="none"/>
          <w:lang w:val="en-US" w:eastAsia="zh-CN"/>
        </w:rPr>
        <w:t>/d，可通过</w:t>
      </w:r>
      <w:r>
        <w:rPr>
          <w:rFonts w:ascii="Cambria Math" w:hAnsi="Cambria Math" w:eastAsia="TimesNewRomanPSMT" w:cs="Cambria Math"/>
          <w:color w:val="auto"/>
          <w:kern w:val="0"/>
        </w:rPr>
        <w:t>𝐷</w:t>
      </w:r>
      <w:r>
        <w:rPr>
          <w:rFonts w:hint="eastAsia" w:eastAsia="TimesNewRomanPSMT"/>
          <w:color w:val="auto"/>
          <w:kern w:val="0"/>
          <w:vertAlign w:val="subscript"/>
        </w:rPr>
        <w:t>L</w:t>
      </w:r>
      <w:r>
        <w:rPr>
          <w:rFonts w:hint="eastAsia" w:eastAsia="TimesNewRomanPSMT"/>
          <w:color w:val="auto"/>
          <w:kern w:val="0"/>
        </w:rPr>
        <w:t>=</w:t>
      </w:r>
      <w:r>
        <w:rPr>
          <w:rFonts w:hint="eastAsia" w:eastAsia="TimesNewRomanPSMT"/>
          <w:i/>
          <w:iCs/>
          <w:color w:val="auto"/>
          <w:kern w:val="0"/>
        </w:rPr>
        <w:t>u</w:t>
      </w:r>
      <w:r>
        <w:rPr>
          <w:rFonts w:eastAsia="TimesNewRomanPSMT"/>
          <w:color w:val="auto"/>
          <w:kern w:val="0"/>
        </w:rPr>
        <w:t>α</w:t>
      </w:r>
      <w:r>
        <w:rPr>
          <w:rFonts w:hint="default" w:ascii="Times New Roman" w:hAnsi="Times New Roman" w:cs="Times New Roman"/>
          <w:color w:val="auto"/>
          <w:sz w:val="24"/>
          <w:szCs w:val="24"/>
          <w:u w:val="none"/>
          <w:lang w:val="en-US" w:eastAsia="zh-CN"/>
        </w:rPr>
        <w:t>求得，其中α为纵向弥散度，m；</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outlineLvl w:val="9"/>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erfc（）——余误差函数。</w:t>
      </w:r>
    </w:p>
    <w:p>
      <w:pPr>
        <w:pStyle w:val="265"/>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9"/>
        <w:rPr>
          <w:rFonts w:hint="eastAsia"/>
          <w:iCs/>
          <w:color w:val="auto"/>
          <w:kern w:val="0"/>
          <w:sz w:val="21"/>
          <w:szCs w:val="21"/>
          <w:lang w:val="en-US" w:eastAsia="zh-CN"/>
        </w:rPr>
      </w:pPr>
      <w:r>
        <w:rPr>
          <w:rFonts w:hint="eastAsia"/>
          <w:iCs/>
          <w:color w:val="auto"/>
          <w:kern w:val="0"/>
          <w:sz w:val="21"/>
          <w:szCs w:val="21"/>
          <w:lang w:val="en-US" w:eastAsia="zh-CN"/>
        </w:rPr>
        <w:t>注：根据工程分析，收集池中NH</w:t>
      </w:r>
      <w:r>
        <w:rPr>
          <w:rFonts w:hint="eastAsia"/>
          <w:iCs/>
          <w:color w:val="auto"/>
          <w:kern w:val="0"/>
          <w:sz w:val="21"/>
          <w:szCs w:val="21"/>
          <w:vertAlign w:val="subscript"/>
          <w:lang w:val="en-US" w:eastAsia="zh-CN"/>
        </w:rPr>
        <w:t>3</w:t>
      </w:r>
      <w:r>
        <w:rPr>
          <w:rFonts w:hint="eastAsia"/>
          <w:iCs/>
          <w:color w:val="auto"/>
          <w:kern w:val="0"/>
          <w:sz w:val="21"/>
          <w:szCs w:val="21"/>
          <w:lang w:val="en-US" w:eastAsia="zh-CN"/>
        </w:rPr>
        <w:t>-N、耗氧量（COD）浓度平均值分别为</w:t>
      </w:r>
      <w:r>
        <w:rPr>
          <w:rFonts w:hint="eastAsia"/>
          <w:color w:val="auto"/>
          <w:kern w:val="0"/>
          <w:sz w:val="20"/>
          <w:szCs w:val="20"/>
          <w:lang w:val="en-US" w:eastAsia="zh-CN"/>
        </w:rPr>
        <w:t>253</w:t>
      </w:r>
      <w:r>
        <w:rPr>
          <w:rFonts w:hint="eastAsia"/>
          <w:iCs/>
          <w:color w:val="auto"/>
          <w:kern w:val="0"/>
          <w:sz w:val="21"/>
          <w:szCs w:val="21"/>
          <w:lang w:val="en-US" w:eastAsia="zh-CN"/>
        </w:rPr>
        <w:t>mg/L和</w:t>
      </w:r>
      <w:r>
        <w:rPr>
          <w:rFonts w:hint="eastAsia"/>
          <w:color w:val="auto"/>
          <w:kern w:val="0"/>
          <w:sz w:val="20"/>
          <w:szCs w:val="20"/>
          <w:lang w:val="en-US" w:eastAsia="zh-CN"/>
        </w:rPr>
        <w:t>2570</w:t>
      </w:r>
      <w:r>
        <w:rPr>
          <w:rFonts w:hint="eastAsia"/>
          <w:iCs/>
          <w:color w:val="auto"/>
          <w:kern w:val="0"/>
          <w:sz w:val="21"/>
          <w:szCs w:val="21"/>
          <w:lang w:val="en-US" w:eastAsia="zh-CN"/>
        </w:rPr>
        <w:t>mg/L。</w:t>
      </w:r>
    </w:p>
    <w:p>
      <w:pPr>
        <w:numPr>
          <w:ilvl w:val="0"/>
          <w:numId w:val="17"/>
        </w:numPr>
        <w:spacing w:line="360" w:lineRule="auto"/>
        <w:ind w:left="0" w:leftChars="0" w:firstLine="480" w:firstLineChars="200"/>
        <w:jc w:val="left"/>
        <w:rPr>
          <w:rFonts w:hint="default" w:eastAsia="宋体"/>
          <w:iCs/>
          <w:color w:val="auto"/>
          <w:kern w:val="0"/>
          <w:sz w:val="24"/>
          <w:lang w:val="en-US" w:eastAsia="zh-CN"/>
        </w:rPr>
      </w:pPr>
      <w:r>
        <w:rPr>
          <w:rFonts w:hint="eastAsia" w:eastAsia="宋体"/>
          <w:iCs/>
          <w:color w:val="auto"/>
          <w:kern w:val="0"/>
          <w:sz w:val="24"/>
          <w:lang w:val="en-US" w:eastAsia="zh-CN"/>
        </w:rPr>
        <w:t>水文地质参数初始值确定</w:t>
      </w:r>
    </w:p>
    <w:p>
      <w:pPr>
        <w:spacing w:line="360" w:lineRule="auto"/>
        <w:ind w:firstLine="480" w:firstLineChars="200"/>
        <w:jc w:val="left"/>
        <w:rPr>
          <w:rFonts w:hint="eastAsia"/>
          <w:iCs/>
          <w:color w:val="auto"/>
          <w:kern w:val="0"/>
          <w:sz w:val="24"/>
          <w:szCs w:val="24"/>
          <w:lang w:val="en-US" w:eastAsia="zh-CN"/>
        </w:rPr>
      </w:pPr>
      <w:r>
        <w:rPr>
          <w:rFonts w:hint="eastAsia"/>
          <w:iCs/>
          <w:color w:val="auto"/>
          <w:kern w:val="0"/>
          <w:sz w:val="24"/>
          <w:szCs w:val="24"/>
          <w:lang w:val="en-US" w:eastAsia="zh-CN"/>
        </w:rPr>
        <w:t>（1）水流速度u</w:t>
      </w:r>
    </w:p>
    <w:p>
      <w:pPr>
        <w:pStyle w:val="265"/>
        <w:rPr>
          <w:rFonts w:hint="eastAsia" w:eastAsia="宋体"/>
          <w:iCs/>
          <w:color w:val="auto"/>
          <w:kern w:val="0"/>
          <w:sz w:val="24"/>
          <w:szCs w:val="24"/>
          <w:lang w:val="en-US" w:eastAsia="zh-CN"/>
        </w:rPr>
      </w:pPr>
      <w:r>
        <w:rPr>
          <w:rFonts w:hint="eastAsia" w:eastAsia="宋体"/>
          <w:iCs/>
          <w:color w:val="auto"/>
          <w:kern w:val="0"/>
          <w:sz w:val="24"/>
          <w:szCs w:val="24"/>
          <w:lang w:val="en-US" w:eastAsia="zh-CN"/>
        </w:rPr>
        <w:t>根据导则附录B水文地质参数经验值表，本次评价含水层渗透系数（K）按1m/d计算，已知水利坡度I为</w:t>
      </w:r>
      <w:r>
        <w:rPr>
          <w:rFonts w:hint="default" w:ascii="Times New Roman" w:hAnsi="Times New Roman" w:eastAsia="宋体" w:cs="Times New Roman"/>
          <w:color w:val="auto"/>
          <w:sz w:val="24"/>
          <w:szCs w:val="24"/>
        </w:rPr>
        <w:t>1.65‰</w:t>
      </w:r>
      <w:r>
        <w:rPr>
          <w:rFonts w:hint="eastAsia" w:eastAsia="宋体"/>
          <w:iCs/>
          <w:color w:val="auto"/>
          <w:kern w:val="0"/>
          <w:sz w:val="24"/>
          <w:szCs w:val="24"/>
          <w:lang w:val="en-US" w:eastAsia="zh-CN"/>
        </w:rPr>
        <w:t>，有效孔隙度为</w:t>
      </w:r>
      <w:r>
        <w:rPr>
          <w:rFonts w:hint="eastAsia"/>
          <w:iCs/>
          <w:color w:val="auto"/>
          <w:kern w:val="0"/>
          <w:sz w:val="24"/>
          <w:szCs w:val="24"/>
          <w:lang w:val="en-US" w:eastAsia="zh-CN"/>
        </w:rPr>
        <w:t>0.54</w:t>
      </w:r>
      <w:r>
        <w:rPr>
          <w:rFonts w:hint="eastAsia" w:eastAsia="宋体"/>
          <w:iCs/>
          <w:color w:val="auto"/>
          <w:kern w:val="0"/>
          <w:sz w:val="24"/>
          <w:szCs w:val="24"/>
          <w:lang w:val="en-US" w:eastAsia="zh-CN"/>
        </w:rPr>
        <w:t>，则地下水水流速度可按下式计算：</w:t>
      </w:r>
    </w:p>
    <w:p>
      <w:pPr>
        <w:topLinePunct/>
        <w:snapToGrid w:val="0"/>
        <w:spacing w:line="360" w:lineRule="auto"/>
        <w:ind w:left="0" w:leftChars="0" w:firstLine="0" w:firstLineChars="0"/>
        <w:jc w:val="center"/>
        <w:rPr>
          <w:rFonts w:hint="eastAsia"/>
          <w:color w:val="auto"/>
          <w:sz w:val="24"/>
          <w:lang w:val="en-US" w:eastAsia="zh-CN"/>
        </w:rPr>
      </w:pPr>
      <w:r>
        <w:rPr>
          <w:rFonts w:hint="eastAsia"/>
          <w:color w:val="auto"/>
          <w:position w:val="-12"/>
          <w:sz w:val="24"/>
          <w:lang w:val="en-US" w:eastAsia="zh-CN"/>
        </w:rPr>
        <w:object>
          <v:shape id="_x0000_i1116" o:spt="75" type="#_x0000_t75" style="height:18pt;width:63pt;" o:ole="t" filled="f" o:preferrelative="t" stroked="f" coordsize="21600,21600">
            <v:path/>
            <v:fill on="f" focussize="0,0"/>
            <v:stroke on="f"/>
            <v:imagedata r:id="rId70" o:title=""/>
            <o:lock v:ext="edit" aspectratio="t"/>
            <w10:wrap type="none"/>
            <w10:anchorlock/>
          </v:shape>
          <o:OLEObject Type="Embed" ProgID="Equation.KSEE3" ShapeID="_x0000_i1116" DrawAspect="Content" ObjectID="_1468075737" r:id="rId69">
            <o:LockedField>false</o:LockedField>
          </o:OLEObject>
        </w:object>
      </w:r>
    </w:p>
    <w:p>
      <w:pPr>
        <w:pStyle w:val="265"/>
        <w:rPr>
          <w:rFonts w:hint="eastAsia"/>
          <w:color w:val="auto"/>
          <w:lang w:val="en-US" w:eastAsia="zh-CN"/>
        </w:rPr>
      </w:pPr>
      <w:r>
        <w:rPr>
          <w:rFonts w:hint="eastAsia"/>
          <w:color w:val="auto"/>
          <w:lang w:val="en-US" w:eastAsia="zh-CN"/>
        </w:rPr>
        <w:t>由上述参数可计算得出，本项目所在区域地下水水流速度为0.003m/d。</w:t>
      </w:r>
    </w:p>
    <w:p>
      <w:pPr>
        <w:pStyle w:val="265"/>
        <w:rPr>
          <w:rFonts w:hint="default"/>
          <w:color w:val="auto"/>
          <w:lang w:val="en-US" w:eastAsia="zh-CN"/>
        </w:rPr>
      </w:pPr>
      <w:r>
        <w:rPr>
          <w:rFonts w:hint="eastAsia"/>
          <w:color w:val="auto"/>
          <w:lang w:val="en-US" w:eastAsia="zh-CN"/>
        </w:rPr>
        <w:t>（2）纵向弥散系数（D</w:t>
      </w:r>
      <w:r>
        <w:rPr>
          <w:rFonts w:hint="eastAsia"/>
          <w:color w:val="auto"/>
          <w:vertAlign w:val="subscript"/>
          <w:lang w:val="en-US" w:eastAsia="zh-CN"/>
        </w:rPr>
        <w:t>L</w:t>
      </w:r>
      <w:r>
        <w:rPr>
          <w:rFonts w:hint="eastAsia"/>
          <w:color w:val="auto"/>
          <w:lang w:val="en-US" w:eastAsia="zh-CN"/>
        </w:rPr>
        <w:t>）和横向弥散系数（D</w:t>
      </w:r>
      <w:r>
        <w:rPr>
          <w:rFonts w:hint="eastAsia"/>
          <w:color w:val="auto"/>
          <w:vertAlign w:val="subscript"/>
          <w:lang w:val="en-US" w:eastAsia="zh-CN"/>
        </w:rPr>
        <w:t>T</w:t>
      </w:r>
      <w:r>
        <w:rPr>
          <w:rFonts w:hint="eastAsia"/>
          <w:color w:val="auto"/>
          <w:lang w:val="en-US" w:eastAsia="zh-CN"/>
        </w:rPr>
        <w:t>）</w:t>
      </w:r>
    </w:p>
    <w:p>
      <w:pPr>
        <w:pStyle w:val="265"/>
        <w:rPr>
          <w:rFonts w:hint="eastAsia"/>
          <w:color w:val="auto"/>
          <w:vertAlign w:val="baseline"/>
          <w:lang w:val="en-US" w:eastAsia="zh-CN"/>
        </w:rPr>
      </w:pPr>
      <w:r>
        <w:rPr>
          <w:rFonts w:hint="eastAsia"/>
          <w:color w:val="auto"/>
          <w:lang w:val="en-US" w:eastAsia="zh-CN"/>
        </w:rPr>
        <w:t>根据文献资料（Gelhar，1992）弥散系数受观测尺度影响较大，纵向弥散度高可靠性区域主要集中10</w:t>
      </w:r>
      <w:r>
        <w:rPr>
          <w:rFonts w:hint="eastAsia"/>
          <w:color w:val="auto"/>
          <w:vertAlign w:val="superscript"/>
          <w:lang w:val="en-US" w:eastAsia="zh-CN"/>
        </w:rPr>
        <w:t>0</w:t>
      </w:r>
      <w:r>
        <w:rPr>
          <w:rFonts w:hint="eastAsia"/>
          <w:color w:val="auto"/>
          <w:lang w:val="en-US" w:eastAsia="zh-CN"/>
        </w:rPr>
        <w:t>-10</w:t>
      </w:r>
      <w:r>
        <w:rPr>
          <w:rFonts w:hint="eastAsia"/>
          <w:color w:val="auto"/>
          <w:vertAlign w:val="superscript"/>
          <w:lang w:val="en-US" w:eastAsia="zh-CN"/>
        </w:rPr>
        <w:t>1</w:t>
      </w:r>
      <w:r>
        <w:rPr>
          <w:rFonts w:hint="eastAsia"/>
          <w:color w:val="auto"/>
          <w:vertAlign w:val="baseline"/>
          <w:lang w:val="en-US" w:eastAsia="zh-CN"/>
        </w:rPr>
        <w:t>，弥散系数与弥散度、渗流速度成正比。依据《地下水污染模拟预测评估工作指南》（试行稿），裂隙介质弥散度取值在0.5~38.1m之间，故纵向弥散度取25m。</w:t>
      </w:r>
    </w:p>
    <w:p>
      <w:pPr>
        <w:pStyle w:val="265"/>
        <w:rPr>
          <w:rFonts w:hint="eastAsia"/>
          <w:color w:val="auto"/>
          <w:lang w:val="en-US" w:eastAsia="zh-CN"/>
        </w:rPr>
      </w:pPr>
      <w:r>
        <w:rPr>
          <w:rFonts w:hint="eastAsia"/>
          <w:color w:val="auto"/>
          <w:lang w:val="en-US" w:eastAsia="zh-CN"/>
        </w:rPr>
        <w:t>参考Xu和Eckstein方程式（1995，基于海量弥散实验测量数据和分型），可确定其弥散度，进而计算出弥散系数D</w:t>
      </w:r>
      <w:r>
        <w:rPr>
          <w:rFonts w:hint="eastAsia"/>
          <w:color w:val="auto"/>
          <w:vertAlign w:val="subscript"/>
          <w:lang w:val="en-US" w:eastAsia="zh-CN"/>
        </w:rPr>
        <w:t>L</w:t>
      </w:r>
      <w:r>
        <w:rPr>
          <w:rFonts w:hint="eastAsia"/>
          <w:color w:val="auto"/>
          <w:lang w:val="en-US" w:eastAsia="zh-CN"/>
        </w:rPr>
        <w:t>，公式如下：</w:t>
      </w:r>
    </w:p>
    <w:p>
      <w:pPr>
        <w:pStyle w:val="265"/>
        <w:ind w:left="0" w:leftChars="0" w:firstLine="0" w:firstLineChars="0"/>
        <w:jc w:val="center"/>
        <w:rPr>
          <w:rFonts w:hint="default"/>
          <w:color w:val="auto"/>
          <w:lang w:val="en-US" w:eastAsia="zh-CN"/>
        </w:rPr>
      </w:pPr>
      <w:r>
        <w:rPr>
          <w:rFonts w:hint="default"/>
          <w:color w:val="auto"/>
          <w:position w:val="-12"/>
          <w:lang w:val="en-US" w:eastAsia="zh-CN"/>
        </w:rPr>
        <w:object>
          <v:shape id="_x0000_i1117" o:spt="75" type="#_x0000_t75" style="height:18pt;width:58pt;" o:ole="t" filled="f" o:preferrelative="t" stroked="f" coordsize="21600,21600">
            <v:path/>
            <v:fill on="f" focussize="0,0"/>
            <v:stroke on="f"/>
            <v:imagedata r:id="rId72" o:title=""/>
            <o:lock v:ext="edit" aspectratio="t"/>
            <w10:wrap type="none"/>
            <w10:anchorlock/>
          </v:shape>
          <o:OLEObject Type="Embed" ProgID="Equation.KSEE3" ShapeID="_x0000_i1117" DrawAspect="Content" ObjectID="_1468075738" r:id="rId71">
            <o:LockedField>false</o:LockedField>
          </o:OLEObject>
        </w:object>
      </w:r>
    </w:p>
    <w:p>
      <w:pPr>
        <w:pStyle w:val="265"/>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9"/>
        <w:rPr>
          <w:rFonts w:hint="eastAsia" w:eastAsia="宋体"/>
          <w:color w:val="auto"/>
          <w:lang w:val="en-US" w:eastAsia="zh-CN"/>
        </w:rPr>
      </w:pPr>
      <w:r>
        <w:rPr>
          <w:rFonts w:hint="eastAsia" w:eastAsia="宋体"/>
          <w:color w:val="auto"/>
          <w:lang w:val="en-US" w:eastAsia="zh-CN"/>
        </w:rPr>
        <w:t>式中：a</w:t>
      </w:r>
      <w:r>
        <w:rPr>
          <w:rFonts w:hint="eastAsia" w:eastAsia="宋体"/>
          <w:color w:val="auto"/>
          <w:vertAlign w:val="subscript"/>
          <w:lang w:val="en-US" w:eastAsia="zh-CN"/>
        </w:rPr>
        <w:t>m</w:t>
      </w:r>
      <w:r>
        <w:rPr>
          <w:rFonts w:hint="default" w:eastAsia="宋体"/>
          <w:color w:val="auto"/>
          <w:lang w:val="en-US" w:eastAsia="zh-CN"/>
        </w:rPr>
        <w:t>——</w:t>
      </w:r>
      <w:r>
        <w:rPr>
          <w:rFonts w:hint="eastAsia" w:eastAsia="宋体"/>
          <w:color w:val="auto"/>
          <w:lang w:val="en-US" w:eastAsia="zh-CN"/>
        </w:rPr>
        <w:t>弥散度；</w:t>
      </w:r>
    </w:p>
    <w:p>
      <w:pPr>
        <w:pStyle w:val="265"/>
        <w:keepNext w:val="0"/>
        <w:keepLines w:val="0"/>
        <w:pageBreakBefore w:val="0"/>
        <w:widowControl w:val="0"/>
        <w:kinsoku/>
        <w:wordWrap/>
        <w:overflowPunct/>
        <w:topLinePunct w:val="0"/>
        <w:autoSpaceDE/>
        <w:autoSpaceDN/>
        <w:bidi w:val="0"/>
        <w:adjustRightInd/>
        <w:snapToGrid/>
        <w:ind w:firstLine="720" w:firstLineChars="300"/>
        <w:jc w:val="both"/>
        <w:textAlignment w:val="auto"/>
        <w:outlineLvl w:val="9"/>
        <w:rPr>
          <w:rFonts w:hint="eastAsia"/>
          <w:color w:val="auto"/>
          <w:lang w:val="en-US" w:eastAsia="zh-CN"/>
        </w:rPr>
      </w:pPr>
      <w:r>
        <w:rPr>
          <w:rFonts w:hint="eastAsia" w:eastAsia="宋体"/>
          <w:color w:val="auto"/>
          <w:lang w:val="en-US" w:eastAsia="zh-CN"/>
        </w:rPr>
        <w:t>Ls</w:t>
      </w:r>
      <w:r>
        <w:rPr>
          <w:rFonts w:hint="default" w:ascii="Times New Roman" w:hAnsi="Times New Roman" w:eastAsia="宋体" w:cs="Times New Roman"/>
          <w:color w:val="auto"/>
          <w:vertAlign w:val="baseline"/>
          <w:lang w:val="en-US" w:eastAsia="zh-CN"/>
        </w:rPr>
        <w:t>——</w:t>
      </w:r>
      <w:r>
        <w:rPr>
          <w:rFonts w:hint="eastAsia" w:eastAsia="宋体"/>
          <w:color w:val="auto"/>
          <w:lang w:val="en-US" w:eastAsia="zh-CN"/>
        </w:rPr>
        <w:t>污染物运移的距离（m），根据工况预测要求取污染物的运移距离按1000m计算。</w:t>
      </w:r>
    </w:p>
    <w:p>
      <w:pPr>
        <w:pStyle w:val="265"/>
        <w:rPr>
          <w:rFonts w:hint="eastAsia"/>
          <w:color w:val="auto"/>
          <w:lang w:val="en-US" w:eastAsia="zh-CN"/>
        </w:rPr>
      </w:pPr>
      <w:r>
        <w:rPr>
          <w:rFonts w:hint="eastAsia"/>
          <w:color w:val="auto"/>
          <w:lang w:val="en-US" w:eastAsia="zh-CN"/>
        </w:rPr>
        <w:t>根据上述公式，则纵向弥散系数为0.1875m</w:t>
      </w:r>
      <w:r>
        <w:rPr>
          <w:rFonts w:hint="eastAsia"/>
          <w:color w:val="auto"/>
          <w:vertAlign w:val="superscript"/>
          <w:lang w:val="en-US" w:eastAsia="zh-CN"/>
        </w:rPr>
        <w:t>2</w:t>
      </w:r>
      <w:r>
        <w:rPr>
          <w:rFonts w:hint="eastAsia"/>
          <w:color w:val="auto"/>
          <w:lang w:val="en-US" w:eastAsia="zh-CN"/>
        </w:rPr>
        <w:t>/d。</w:t>
      </w:r>
    </w:p>
    <w:p>
      <w:pPr>
        <w:pStyle w:val="265"/>
        <w:rPr>
          <w:rFonts w:hint="eastAsia"/>
          <w:color w:val="auto"/>
          <w:lang w:val="en-US" w:eastAsia="zh-CN"/>
        </w:rPr>
      </w:pPr>
      <w:r>
        <w:rPr>
          <w:rFonts w:hint="eastAsia"/>
          <w:color w:val="auto"/>
          <w:lang w:val="en-US" w:eastAsia="zh-CN"/>
        </w:rPr>
        <w:t>（3）含水层厚度（M）</w:t>
      </w:r>
    </w:p>
    <w:p>
      <w:pPr>
        <w:pStyle w:val="265"/>
        <w:rPr>
          <w:rFonts w:hint="eastAsia"/>
          <w:color w:val="auto"/>
          <w:lang w:val="en-US" w:eastAsia="zh-CN"/>
        </w:rPr>
      </w:pPr>
      <w:r>
        <w:rPr>
          <w:rFonts w:hint="eastAsia"/>
          <w:color w:val="auto"/>
          <w:lang w:val="en-US" w:eastAsia="zh-CN"/>
        </w:rPr>
        <w:t>结合区域水文资料可知，本项目所在区域第四系含水层厚度约为5-6m，本次评价取6m。</w:t>
      </w:r>
    </w:p>
    <w:p>
      <w:pPr>
        <w:spacing w:line="360" w:lineRule="auto"/>
        <w:ind w:firstLine="480" w:firstLineChars="200"/>
        <w:jc w:val="left"/>
        <w:rPr>
          <w:rFonts w:hint="eastAsia"/>
          <w:iCs/>
          <w:color w:val="auto"/>
          <w:kern w:val="0"/>
          <w:sz w:val="24"/>
          <w:szCs w:val="24"/>
          <w:lang w:val="en-US" w:eastAsia="zh-CN"/>
        </w:rPr>
      </w:pPr>
      <w:r>
        <w:rPr>
          <w:rFonts w:hint="eastAsia"/>
          <w:iCs/>
          <w:color w:val="auto"/>
          <w:kern w:val="0"/>
          <w:sz w:val="24"/>
          <w:szCs w:val="24"/>
          <w:lang w:val="en-US" w:eastAsia="zh-CN"/>
        </w:rPr>
        <w:t>综上，本项目所选地下水预测模式的预测参数选择及依据见下表。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color w:val="auto"/>
          <w:lang w:val="en-US" w:eastAsia="zh-CN"/>
        </w:rPr>
      </w:pPr>
      <w:r>
        <w:rPr>
          <w:rFonts w:hint="eastAsia"/>
          <w:b/>
          <w:bCs w:val="0"/>
          <w:color w:val="auto"/>
          <w:sz w:val="21"/>
          <w:szCs w:val="21"/>
          <w:lang w:val="en-US" w:eastAsia="zh-CN"/>
        </w:rPr>
        <w:t>表5.2-9 地下水环境影响预测参数</w:t>
      </w:r>
    </w:p>
    <w:tbl>
      <w:tblPr>
        <w:tblStyle w:val="52"/>
        <w:tblW w:w="994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835"/>
        <w:gridCol w:w="1230"/>
        <w:gridCol w:w="610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序号</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参数</w:t>
            </w:r>
          </w:p>
        </w:tc>
        <w:tc>
          <w:tcPr>
            <w:tcW w:w="1230"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取值</w:t>
            </w:r>
          </w:p>
        </w:tc>
        <w:tc>
          <w:tcPr>
            <w:tcW w:w="610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依据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水流速度</w:t>
            </w:r>
            <w:r>
              <w:rPr>
                <w:rFonts w:hint="eastAsia" w:ascii="Times New Roman" w:hAnsi="Times New Roman" w:cs="Times New Roman"/>
                <w:b w:val="0"/>
                <w:bCs w:val="0"/>
                <w:color w:val="auto"/>
                <w:sz w:val="21"/>
                <w:szCs w:val="21"/>
                <w:lang w:val="en-US" w:eastAsia="zh-CN"/>
              </w:rPr>
              <w:t>u</w:t>
            </w:r>
          </w:p>
        </w:tc>
        <w:tc>
          <w:tcPr>
            <w:tcW w:w="1230"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0.003</w:t>
            </w:r>
            <w:r>
              <w:rPr>
                <w:rFonts w:hint="default" w:ascii="Times New Roman" w:hAnsi="Times New Roman" w:cs="Times New Roman"/>
                <w:b w:val="0"/>
                <w:bCs w:val="0"/>
                <w:color w:val="auto"/>
                <w:sz w:val="21"/>
                <w:szCs w:val="21"/>
                <w:lang w:val="en-US" w:eastAsia="zh-CN"/>
              </w:rPr>
              <w:t>m/d</w:t>
            </w:r>
          </w:p>
        </w:tc>
        <w:tc>
          <w:tcPr>
            <w:tcW w:w="610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根据资料计算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2</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有效孔隙度</w:t>
            </w:r>
            <w:r>
              <w:rPr>
                <w:rFonts w:hint="eastAsia" w:ascii="Times New Roman" w:hAnsi="Times New Roman" w:cs="Times New Roman"/>
                <w:b w:val="0"/>
                <w:bCs w:val="0"/>
                <w:color w:val="auto"/>
                <w:sz w:val="21"/>
                <w:szCs w:val="21"/>
                <w:lang w:val="en-US" w:eastAsia="zh-CN"/>
              </w:rPr>
              <w:t>ne</w:t>
            </w:r>
          </w:p>
        </w:tc>
        <w:tc>
          <w:tcPr>
            <w:tcW w:w="1230"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0.54</w:t>
            </w:r>
          </w:p>
        </w:tc>
        <w:tc>
          <w:tcPr>
            <w:tcW w:w="610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根据水文地质条件，该区域潜水含水层岩性主要为细砂、中砂及粗砂组成，孔隙度约为0.6，根据经验数据，有效孔隙度要比总孔隙度少5~10%，最终确定有效孔隙度 n=0.54。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3</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纵向弥散系数</w:t>
            </w:r>
            <w:r>
              <w:rPr>
                <w:rFonts w:hint="eastAsia" w:ascii="Times New Roman" w:hAnsi="Times New Roman" w:cs="Times New Roman"/>
                <w:b w:val="0"/>
                <w:bCs w:val="0"/>
                <w:color w:val="auto"/>
                <w:sz w:val="21"/>
                <w:szCs w:val="21"/>
                <w:lang w:val="en-US" w:eastAsia="zh-CN"/>
              </w:rPr>
              <w:t>D</w:t>
            </w:r>
            <w:r>
              <w:rPr>
                <w:rFonts w:hint="eastAsia" w:ascii="Times New Roman" w:hAnsi="Times New Roman" w:cs="Times New Roman"/>
                <w:b w:val="0"/>
                <w:bCs w:val="0"/>
                <w:color w:val="auto"/>
                <w:sz w:val="21"/>
                <w:szCs w:val="21"/>
                <w:vertAlign w:val="subscript"/>
                <w:lang w:val="en-US" w:eastAsia="zh-CN"/>
              </w:rPr>
              <w:t>L</w:t>
            </w:r>
          </w:p>
        </w:tc>
        <w:tc>
          <w:tcPr>
            <w:tcW w:w="1230"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0.1875</w:t>
            </w:r>
            <w:r>
              <w:rPr>
                <w:rFonts w:hint="default" w:ascii="Times New Roman" w:hAnsi="Times New Roman" w:cs="Times New Roman"/>
                <w:b w:val="0"/>
                <w:bCs w:val="0"/>
                <w:color w:val="auto"/>
                <w:sz w:val="21"/>
                <w:szCs w:val="21"/>
                <w:lang w:val="en-US" w:eastAsia="zh-CN"/>
              </w:rPr>
              <w:t>m</w:t>
            </w:r>
            <w:r>
              <w:rPr>
                <w:rFonts w:hint="default" w:ascii="Times New Roman" w:hAnsi="Times New Roman" w:cs="Times New Roman"/>
                <w:b w:val="0"/>
                <w:bCs w:val="0"/>
                <w:color w:val="auto"/>
                <w:sz w:val="21"/>
                <w:szCs w:val="21"/>
                <w:vertAlign w:val="superscript"/>
                <w:lang w:val="en-US" w:eastAsia="zh-CN"/>
              </w:rPr>
              <w:t>2</w:t>
            </w:r>
            <w:r>
              <w:rPr>
                <w:rFonts w:hint="default" w:ascii="Times New Roman" w:hAnsi="Times New Roman" w:cs="Times New Roman"/>
                <w:b w:val="0"/>
                <w:bCs w:val="0"/>
                <w:color w:val="auto"/>
                <w:sz w:val="21"/>
                <w:szCs w:val="21"/>
                <w:lang w:val="en-US" w:eastAsia="zh-CN"/>
              </w:rPr>
              <w:t>/d</w:t>
            </w:r>
          </w:p>
        </w:tc>
        <w:tc>
          <w:tcPr>
            <w:tcW w:w="610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根据资料计算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4</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C</w:t>
            </w:r>
            <w:r>
              <w:rPr>
                <w:rFonts w:hint="default" w:ascii="Times New Roman" w:hAnsi="Times New Roman" w:cs="Times New Roman"/>
                <w:b w:val="0"/>
                <w:bCs w:val="0"/>
                <w:color w:val="auto"/>
                <w:kern w:val="2"/>
                <w:sz w:val="21"/>
                <w:szCs w:val="21"/>
                <w:vertAlign w:val="subscript"/>
                <w:lang w:val="en-US" w:eastAsia="zh-CN" w:bidi="ar-SA"/>
              </w:rPr>
              <w:t>0</w:t>
            </w:r>
          </w:p>
        </w:tc>
        <w:tc>
          <w:tcPr>
            <w:tcW w:w="7335" w:type="dxa"/>
            <w:gridSpan w:val="2"/>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NH</w:t>
            </w:r>
            <w:r>
              <w:rPr>
                <w:rFonts w:hint="default" w:ascii="Times New Roman" w:hAnsi="Times New Roman" w:eastAsia="宋体" w:cs="Times New Roman"/>
                <w:b w:val="0"/>
                <w:bCs w:val="0"/>
                <w:color w:val="auto"/>
                <w:sz w:val="21"/>
                <w:szCs w:val="21"/>
                <w:vertAlign w:val="subscript"/>
              </w:rPr>
              <w:t>3</w:t>
            </w:r>
            <w:r>
              <w:rPr>
                <w:rFonts w:hint="default" w:ascii="Times New Roman" w:hAnsi="Times New Roman" w:eastAsia="宋体" w:cs="Times New Roman"/>
                <w:b w:val="0"/>
                <w:bCs w:val="0"/>
                <w:color w:val="auto"/>
                <w:sz w:val="21"/>
                <w:szCs w:val="21"/>
              </w:rPr>
              <w:t>-N：</w:t>
            </w:r>
            <w:r>
              <w:rPr>
                <w:rFonts w:hint="eastAsia"/>
                <w:color w:val="auto"/>
                <w:kern w:val="0"/>
                <w:sz w:val="20"/>
                <w:szCs w:val="20"/>
                <w:lang w:val="en-US" w:eastAsia="zh-CN"/>
              </w:rPr>
              <w:t>253</w:t>
            </w:r>
            <w:r>
              <w:rPr>
                <w:rFonts w:hint="default" w:ascii="Times New Roman" w:hAnsi="Times New Roman" w:eastAsia="宋体" w:cs="Times New Roman"/>
                <w:b w:val="0"/>
                <w:bCs w:val="0"/>
                <w:color w:val="auto"/>
                <w:sz w:val="21"/>
                <w:szCs w:val="21"/>
              </w:rPr>
              <w:t>mg/L；COD：</w:t>
            </w:r>
            <w:r>
              <w:rPr>
                <w:rFonts w:hint="eastAsia"/>
                <w:color w:val="auto"/>
                <w:kern w:val="0"/>
                <w:sz w:val="20"/>
                <w:szCs w:val="20"/>
                <w:lang w:val="en-US" w:eastAsia="zh-CN"/>
              </w:rPr>
              <w:t>2570</w:t>
            </w:r>
            <w:r>
              <w:rPr>
                <w:rFonts w:hint="default" w:ascii="Times New Roman" w:hAnsi="Times New Roman" w:eastAsia="宋体" w:cs="Times New Roman"/>
                <w:b w:val="0"/>
                <w:bCs w:val="0"/>
                <w:color w:val="auto"/>
                <w:sz w:val="21"/>
                <w:szCs w:val="21"/>
              </w:rPr>
              <w:t>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6"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5</w:t>
            </w:r>
          </w:p>
        </w:tc>
        <w:tc>
          <w:tcPr>
            <w:tcW w:w="1835"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环境质量标准</w:t>
            </w:r>
          </w:p>
        </w:tc>
        <w:tc>
          <w:tcPr>
            <w:tcW w:w="7335" w:type="dxa"/>
            <w:gridSpan w:val="2"/>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outlineLvl w:val="9"/>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《地下水环境质量标准》（GB/T14848-2017）的Ⅲ类标准： 氨氮：0.5mg/L，COD：10.0mg/L</w:t>
            </w:r>
          </w:p>
        </w:tc>
      </w:tr>
    </w:tbl>
    <w:p>
      <w:pPr>
        <w:spacing w:line="360" w:lineRule="auto"/>
        <w:ind w:firstLine="480" w:firstLineChars="200"/>
        <w:jc w:val="left"/>
        <w:rPr>
          <w:rFonts w:hint="eastAsia"/>
          <w:iCs/>
          <w:color w:val="auto"/>
          <w:kern w:val="0"/>
          <w:sz w:val="24"/>
          <w:lang w:eastAsia="zh-CN"/>
        </w:rPr>
      </w:pPr>
      <w:r>
        <w:rPr>
          <w:rFonts w:hint="eastAsia"/>
          <w:iCs/>
          <w:color w:val="auto"/>
          <w:kern w:val="0"/>
          <w:sz w:val="24"/>
          <w:lang w:eastAsia="zh-CN"/>
        </w:rPr>
        <w:t>（五）预测结果</w:t>
      </w:r>
    </w:p>
    <w:p>
      <w:pPr>
        <w:pStyle w:val="265"/>
        <w:numPr>
          <w:ilvl w:val="0"/>
          <w:numId w:val="18"/>
        </w:numPr>
        <w:ind w:left="0" w:leftChars="0" w:firstLine="480" w:firstLineChars="200"/>
        <w:rPr>
          <w:rFonts w:hint="eastAsia"/>
          <w:iCs/>
          <w:color w:val="auto"/>
          <w:kern w:val="0"/>
          <w:sz w:val="24"/>
          <w:lang w:val="en-US" w:eastAsia="zh-CN"/>
        </w:rPr>
      </w:pPr>
      <w:r>
        <w:rPr>
          <w:rFonts w:hint="eastAsia"/>
          <w:iCs/>
          <w:color w:val="auto"/>
          <w:kern w:val="0"/>
          <w:sz w:val="24"/>
          <w:lang w:val="en-US" w:eastAsia="zh-CN"/>
        </w:rPr>
        <w:t>废水连续泄漏 100d</w:t>
      </w:r>
    </w:p>
    <w:p>
      <w:pPr>
        <w:pStyle w:val="265"/>
        <w:rPr>
          <w:rFonts w:hint="eastAsia"/>
          <w:iCs/>
          <w:color w:val="auto"/>
          <w:kern w:val="0"/>
          <w:sz w:val="24"/>
          <w:lang w:val="en-US" w:eastAsia="zh-CN"/>
        </w:rPr>
      </w:pPr>
      <w:r>
        <w:rPr>
          <w:rFonts w:hint="eastAsia"/>
          <w:iCs/>
          <w:color w:val="auto"/>
          <w:kern w:val="0"/>
          <w:sz w:val="24"/>
          <w:lang w:val="en-US" w:eastAsia="zh-CN"/>
        </w:rPr>
        <w:t>通过模型模拟计算，收集池废水发生泄漏100d后，沿地下水水流方向地下水氨氮预测值见表。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-10 泄漏100d后NH</w:t>
      </w:r>
      <w:r>
        <w:rPr>
          <w:rFonts w:hint="eastAsia" w:eastAsia="宋体"/>
          <w:b/>
          <w:bCs w:val="0"/>
          <w:color w:val="auto"/>
          <w:sz w:val="21"/>
          <w:szCs w:val="21"/>
          <w:vertAlign w:val="subscript"/>
          <w:lang w:val="en-US" w:eastAsia="zh-CN"/>
        </w:rPr>
        <w:t>3</w:t>
      </w:r>
      <w:r>
        <w:rPr>
          <w:rFonts w:hint="eastAsia" w:eastAsia="宋体"/>
          <w:b/>
          <w:bCs w:val="0"/>
          <w:color w:val="auto"/>
          <w:sz w:val="21"/>
          <w:szCs w:val="21"/>
          <w:lang w:val="en-US" w:eastAsia="zh-CN"/>
        </w:rPr>
        <w:t>-N浓度随距离变化一览表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iCs/>
                <w:color w:val="auto"/>
                <w:kern w:val="0"/>
                <w:sz w:val="21"/>
                <w:szCs w:val="21"/>
                <w:vertAlign w:val="baseline"/>
                <w:lang w:val="en-US" w:eastAsia="zh-CN"/>
              </w:rPr>
              <w:t>氨氮浓度（mg/L）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color w:val="auto"/>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cs="Times New Roman"/>
          <w:b/>
          <w:bCs/>
          <w:color w:val="auto"/>
          <w:sz w:val="21"/>
          <w:szCs w:val="21"/>
          <w:lang w:val="en-US" w:eastAsia="zh-CN"/>
        </w:rPr>
        <w:t>1</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泄漏100dNH</w:t>
      </w:r>
      <w:r>
        <w:rPr>
          <w:rFonts w:hint="default" w:ascii="Times New Roman" w:hAnsi="Times New Roman" w:eastAsia="宋体" w:cs="Times New Roman"/>
          <w:b/>
          <w:bCs/>
          <w:color w:val="auto"/>
          <w:sz w:val="21"/>
          <w:szCs w:val="21"/>
          <w:vertAlign w:val="subscript"/>
        </w:rPr>
        <w:t>3</w:t>
      </w:r>
      <w:r>
        <w:rPr>
          <w:rFonts w:hint="default" w:ascii="Times New Roman" w:hAnsi="Times New Roman" w:eastAsia="宋体" w:cs="Times New Roman"/>
          <w:b/>
          <w:bCs/>
          <w:color w:val="auto"/>
          <w:sz w:val="21"/>
          <w:szCs w:val="21"/>
        </w:rPr>
        <w:t>-N浓度变化曲线图</w:t>
      </w:r>
    </w:p>
    <w:p>
      <w:pPr>
        <w:pStyle w:val="265"/>
        <w:rPr>
          <w:rFonts w:hint="eastAsia"/>
          <w:color w:val="auto"/>
          <w:lang w:val="en-US" w:eastAsia="zh-CN"/>
        </w:rPr>
      </w:pPr>
      <w:r>
        <w:rPr>
          <w:rFonts w:hint="eastAsia"/>
          <w:color w:val="auto"/>
          <w:lang w:val="en-US" w:eastAsia="zh-CN"/>
        </w:rPr>
        <w:t>通过上表和上图可以看出，</w:t>
      </w:r>
      <w:r>
        <w:rPr>
          <w:rFonts w:hint="eastAsia"/>
          <w:iCs/>
          <w:color w:val="auto"/>
          <w:kern w:val="0"/>
          <w:sz w:val="24"/>
          <w:lang w:val="en-US" w:eastAsia="zh-CN"/>
        </w:rPr>
        <w:t>收集池</w:t>
      </w:r>
      <w:r>
        <w:rPr>
          <w:rFonts w:hint="eastAsia"/>
          <w:color w:val="auto"/>
          <w:lang w:val="en-US" w:eastAsia="zh-CN"/>
        </w:rPr>
        <w:t>废水发生泄漏 100d后，污染因子NH</w:t>
      </w:r>
      <w:r>
        <w:rPr>
          <w:rFonts w:hint="eastAsia"/>
          <w:color w:val="auto"/>
          <w:vertAlign w:val="subscript"/>
          <w:lang w:val="en-US" w:eastAsia="zh-CN"/>
        </w:rPr>
        <w:t>3</w:t>
      </w:r>
      <w:r>
        <w:rPr>
          <w:rFonts w:hint="eastAsia"/>
          <w:color w:val="auto"/>
          <w:lang w:val="en-US" w:eastAsia="zh-CN"/>
        </w:rPr>
        <w:t>-N在含水层中沿地下水流方向运移，随运移距离的增加，含水层中的NH</w:t>
      </w:r>
      <w:r>
        <w:rPr>
          <w:rFonts w:hint="eastAsia"/>
          <w:color w:val="auto"/>
          <w:vertAlign w:val="subscript"/>
          <w:lang w:val="en-US" w:eastAsia="zh-CN"/>
        </w:rPr>
        <w:t>3</w:t>
      </w:r>
      <w:r>
        <w:rPr>
          <w:rFonts w:hint="eastAsia"/>
          <w:color w:val="auto"/>
          <w:lang w:val="en-US" w:eastAsia="zh-CN"/>
        </w:rPr>
        <w:t>-N浓度变化呈逐渐下降的趋势。距离下游厂界处</w:t>
      </w:r>
      <w:r>
        <w:rPr>
          <w:rFonts w:hint="default" w:ascii="Times New Roman" w:hAnsi="Times New Roman" w:cs="Times New Roman"/>
          <w:color w:val="auto"/>
          <w:lang w:val="en-US" w:eastAsia="zh-CN"/>
        </w:rPr>
        <w:t>——</w:t>
      </w:r>
      <w:r>
        <w:rPr>
          <w:rFonts w:hint="eastAsia"/>
          <w:color w:val="auto"/>
          <w:lang w:val="en-US" w:eastAsia="zh-CN"/>
        </w:rPr>
        <w:t>**m处的浓度为**mg/L，为超标区域。</w:t>
      </w:r>
    </w:p>
    <w:p>
      <w:pPr>
        <w:pStyle w:val="265"/>
        <w:rPr>
          <w:rFonts w:hint="default" w:ascii="Times New Roman" w:hAnsi="Times New Roman" w:eastAsia="宋体" w:cs="Times New Roman"/>
          <w:color w:val="auto"/>
          <w:sz w:val="24"/>
          <w:szCs w:val="24"/>
        </w:rPr>
      </w:pPr>
      <w:r>
        <w:rPr>
          <w:rFonts w:hint="eastAsia"/>
          <w:iCs/>
          <w:color w:val="auto"/>
          <w:kern w:val="0"/>
          <w:sz w:val="24"/>
          <w:lang w:val="en-US" w:eastAsia="zh-CN"/>
        </w:rPr>
        <w:t>收集池</w:t>
      </w:r>
      <w:r>
        <w:rPr>
          <w:rFonts w:hint="default" w:ascii="Times New Roman" w:hAnsi="Times New Roman" w:eastAsia="宋体" w:cs="Times New Roman"/>
          <w:color w:val="auto"/>
          <w:sz w:val="24"/>
          <w:szCs w:val="24"/>
        </w:rPr>
        <w:t>废水发生泄漏100d后，沿地下水水流方向地下水COD预测值见表。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-11  泄漏100d后</w:t>
      </w:r>
      <w:r>
        <w:rPr>
          <w:rFonts w:hint="eastAsia"/>
          <w:b/>
          <w:bCs w:val="0"/>
          <w:color w:val="auto"/>
          <w:sz w:val="21"/>
          <w:szCs w:val="21"/>
          <w:lang w:val="en-US" w:eastAsia="zh-CN"/>
        </w:rPr>
        <w:t>COD</w:t>
      </w:r>
      <w:r>
        <w:rPr>
          <w:rFonts w:hint="eastAsia" w:eastAsia="宋体"/>
          <w:b/>
          <w:bCs w:val="0"/>
          <w:color w:val="auto"/>
          <w:sz w:val="21"/>
          <w:szCs w:val="21"/>
          <w:lang w:val="en-US" w:eastAsia="zh-CN"/>
        </w:rPr>
        <w:t>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eastAsia" w:eastAsia="宋体" w:cs="Times New Roman"/>
                <w:iCs/>
                <w:color w:val="auto"/>
                <w:kern w:val="0"/>
                <w:sz w:val="21"/>
                <w:szCs w:val="21"/>
                <w:vertAlign w:val="baseline"/>
                <w:lang w:val="en-US" w:eastAsia="zh-CN"/>
              </w:rPr>
              <w:t xml:space="preserve">COD                                                            </w:t>
            </w:r>
            <w:r>
              <w:rPr>
                <w:rFonts w:hint="default" w:ascii="Times New Roman" w:hAnsi="Times New Roman" w:eastAsia="宋体" w:cs="Times New Roman"/>
                <w:iCs/>
                <w:color w:val="auto"/>
                <w:kern w:val="0"/>
                <w:sz w:val="21"/>
                <w:szCs w:val="21"/>
                <w:vertAlign w:val="baseline"/>
                <w:lang w:val="en-US" w:eastAsia="zh-CN"/>
              </w:rPr>
              <w:t>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rPr>
          <w:rFonts w:hint="default" w:ascii="Times New Roman" w:hAnsi="Times New Roman" w:eastAsia="宋体" w:cs="Times New Roman"/>
          <w:color w:val="auto"/>
          <w:sz w:val="24"/>
          <w:szCs w:val="24"/>
        </w:rPr>
      </w:pP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4"/>
          <w:szCs w:val="24"/>
          <w:lang w:val="en-US" w:eastAsia="zh-CN"/>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cs="Times New Roman"/>
          <w:b/>
          <w:bCs/>
          <w:iCs/>
          <w:color w:val="auto"/>
          <w:kern w:val="0"/>
          <w:sz w:val="21"/>
          <w:szCs w:val="21"/>
          <w:lang w:val="en-US" w:eastAsia="zh-CN"/>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cs="Times New Roman"/>
          <w:b/>
          <w:bCs/>
          <w:color w:val="auto"/>
          <w:sz w:val="21"/>
          <w:szCs w:val="21"/>
          <w:lang w:val="en-US" w:eastAsia="zh-CN"/>
        </w:rPr>
        <w:t>2</w:t>
      </w:r>
      <w:r>
        <w:rPr>
          <w:rFonts w:hint="default" w:ascii="Times New Roman" w:hAnsi="Times New Roman" w:eastAsia="宋体" w:cs="Times New Roman"/>
          <w:b/>
          <w:bCs/>
          <w:color w:val="auto"/>
          <w:sz w:val="21"/>
          <w:szCs w:val="21"/>
        </w:rPr>
        <w:t xml:space="preserve"> </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泄漏 100d</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COD浓度变化曲线图</w:t>
      </w:r>
    </w:p>
    <w:p>
      <w:pPr>
        <w:pStyle w:val="265"/>
        <w:rPr>
          <w:rFonts w:hint="eastAsia"/>
          <w:iCs/>
          <w:color w:val="auto"/>
          <w:kern w:val="0"/>
          <w:sz w:val="24"/>
          <w:lang w:val="en-US" w:eastAsia="zh-CN"/>
        </w:rPr>
      </w:pPr>
      <w:r>
        <w:rPr>
          <w:rFonts w:hint="eastAsia"/>
          <w:iCs/>
          <w:color w:val="auto"/>
          <w:kern w:val="0"/>
          <w:sz w:val="24"/>
          <w:lang w:val="en-US" w:eastAsia="zh-CN"/>
        </w:rPr>
        <w:t>通过上表和上图可以看出，收集池废水发生泄漏100d后，污染因子COD在含水层中沿地下水流方向运移，随运移距离的增加，含水层中的COD浓度变化呈逐渐下降的趋势。距离下游厂界处</w:t>
      </w:r>
      <w:r>
        <w:rPr>
          <w:rFonts w:hint="default" w:ascii="Times New Roman" w:hAnsi="Times New Roman" w:cs="Times New Roman"/>
          <w:iCs/>
          <w:color w:val="auto"/>
          <w:kern w:val="0"/>
          <w:sz w:val="24"/>
          <w:lang w:val="en-US" w:eastAsia="zh-CN"/>
        </w:rPr>
        <w:t>——</w:t>
      </w:r>
      <w:r>
        <w:rPr>
          <w:rFonts w:hint="eastAsia"/>
          <w:iCs/>
          <w:color w:val="auto"/>
          <w:kern w:val="0"/>
          <w:sz w:val="24"/>
          <w:lang w:val="en-US" w:eastAsia="zh-CN"/>
        </w:rPr>
        <w:t>**m处的浓度为**mg/L，为超标区域。</w:t>
      </w:r>
    </w:p>
    <w:p>
      <w:pPr>
        <w:pStyle w:val="265"/>
        <w:numPr>
          <w:ilvl w:val="0"/>
          <w:numId w:val="18"/>
        </w:numPr>
        <w:ind w:left="0" w:leftChars="0" w:firstLine="40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废水连续泄漏1000d</w:t>
      </w:r>
    </w:p>
    <w:p>
      <w:pPr>
        <w:pStyle w:val="26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通过模型模拟计算，</w:t>
      </w:r>
      <w:r>
        <w:rPr>
          <w:rFonts w:hint="eastAsia"/>
          <w:iCs/>
          <w:color w:val="auto"/>
          <w:kern w:val="0"/>
          <w:sz w:val="24"/>
          <w:lang w:val="en-US" w:eastAsia="zh-CN"/>
        </w:rPr>
        <w:t>收集池</w:t>
      </w:r>
      <w:r>
        <w:rPr>
          <w:rFonts w:hint="default" w:ascii="Times New Roman" w:hAnsi="Times New Roman" w:eastAsia="宋体" w:cs="Times New Roman"/>
          <w:color w:val="auto"/>
          <w:sz w:val="24"/>
          <w:szCs w:val="24"/>
        </w:rPr>
        <w:t>废水发生泄漏1000d后，沿地下水水流方向地下水氨氮预测值见表。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-12  泄漏1</w:t>
      </w:r>
      <w:r>
        <w:rPr>
          <w:rFonts w:hint="eastAsia"/>
          <w:b/>
          <w:bCs w:val="0"/>
          <w:color w:val="auto"/>
          <w:sz w:val="21"/>
          <w:szCs w:val="21"/>
          <w:lang w:val="en-US" w:eastAsia="zh-CN"/>
        </w:rPr>
        <w:t>0</w:t>
      </w:r>
      <w:r>
        <w:rPr>
          <w:rFonts w:hint="eastAsia" w:eastAsia="宋体"/>
          <w:b/>
          <w:bCs w:val="0"/>
          <w:color w:val="auto"/>
          <w:sz w:val="21"/>
          <w:szCs w:val="21"/>
          <w:lang w:val="en-US" w:eastAsia="zh-CN"/>
        </w:rPr>
        <w:t>00d后NH</w:t>
      </w:r>
      <w:r>
        <w:rPr>
          <w:rFonts w:hint="eastAsia" w:eastAsia="宋体"/>
          <w:b/>
          <w:bCs w:val="0"/>
          <w:color w:val="auto"/>
          <w:sz w:val="21"/>
          <w:szCs w:val="21"/>
          <w:vertAlign w:val="subscript"/>
          <w:lang w:val="en-US" w:eastAsia="zh-CN"/>
        </w:rPr>
        <w:t>3</w:t>
      </w:r>
      <w:r>
        <w:rPr>
          <w:rFonts w:hint="eastAsia" w:eastAsia="宋体"/>
          <w:b/>
          <w:bCs w:val="0"/>
          <w:color w:val="auto"/>
          <w:sz w:val="21"/>
          <w:szCs w:val="21"/>
          <w:lang w:val="en-US" w:eastAsia="zh-CN"/>
        </w:rPr>
        <w:t>-N浓度随距离变化一览表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iCs/>
                <w:color w:val="auto"/>
                <w:kern w:val="0"/>
                <w:sz w:val="21"/>
                <w:szCs w:val="21"/>
                <w:vertAlign w:val="baseline"/>
                <w:lang w:val="en-US" w:eastAsia="zh-CN"/>
              </w:rPr>
              <w:t>氨氮浓度（mg/L）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rPr>
          <w:rFonts w:hint="eastAsia" w:ascii="宋体" w:hAnsi="宋体" w:eastAsia="宋体" w:cs="宋体"/>
          <w:color w:val="auto"/>
          <w:sz w:val="24"/>
          <w:szCs w:val="24"/>
          <w:lang w:val="en-US" w:eastAsia="zh-CN"/>
        </w:rPr>
      </w:pP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lang w:val="en-US" w:eastAsia="zh-CN"/>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cs="Times New Roman"/>
          <w:b/>
          <w:bCs/>
          <w:color w:val="auto"/>
          <w:sz w:val="21"/>
          <w:szCs w:val="21"/>
          <w:lang w:val="en-US" w:eastAsia="zh-CN"/>
        </w:rPr>
        <w:t>3</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泄漏10</w:t>
      </w:r>
      <w:r>
        <w:rPr>
          <w:rFonts w:hint="eastAsia" w:cs="Times New Roman"/>
          <w:b/>
          <w:bCs/>
          <w:color w:val="auto"/>
          <w:sz w:val="21"/>
          <w:szCs w:val="21"/>
          <w:lang w:val="en-US" w:eastAsia="zh-CN"/>
        </w:rPr>
        <w:t>0</w:t>
      </w:r>
      <w:r>
        <w:rPr>
          <w:rFonts w:hint="default" w:ascii="Times New Roman" w:hAnsi="Times New Roman" w:eastAsia="宋体" w:cs="Times New Roman"/>
          <w:b/>
          <w:bCs/>
          <w:color w:val="auto"/>
          <w:sz w:val="21"/>
          <w:szCs w:val="21"/>
        </w:rPr>
        <w:t>0dNH</w:t>
      </w:r>
      <w:r>
        <w:rPr>
          <w:rFonts w:hint="default" w:ascii="Times New Roman" w:hAnsi="Times New Roman" w:eastAsia="宋体" w:cs="Times New Roman"/>
          <w:b/>
          <w:bCs/>
          <w:color w:val="auto"/>
          <w:sz w:val="21"/>
          <w:szCs w:val="21"/>
          <w:vertAlign w:val="subscript"/>
        </w:rPr>
        <w:t>3</w:t>
      </w:r>
      <w:r>
        <w:rPr>
          <w:rFonts w:hint="default" w:ascii="Times New Roman" w:hAnsi="Times New Roman" w:eastAsia="宋体" w:cs="Times New Roman"/>
          <w:b/>
          <w:bCs/>
          <w:color w:val="auto"/>
          <w:sz w:val="21"/>
          <w:szCs w:val="21"/>
        </w:rPr>
        <w:t>-N浓度变化曲线图</w:t>
      </w:r>
    </w:p>
    <w:p>
      <w:pPr>
        <w:pStyle w:val="265"/>
        <w:rPr>
          <w:rFonts w:hint="eastAsia"/>
          <w:color w:val="auto"/>
          <w:lang w:val="en-US" w:eastAsia="zh-CN"/>
        </w:rPr>
      </w:pPr>
      <w:r>
        <w:rPr>
          <w:rFonts w:hint="eastAsia"/>
          <w:color w:val="auto"/>
          <w:lang w:val="en-US" w:eastAsia="zh-CN"/>
        </w:rPr>
        <w:t>通过上表和上图可以看出，</w:t>
      </w:r>
      <w:r>
        <w:rPr>
          <w:rFonts w:hint="eastAsia"/>
          <w:iCs/>
          <w:color w:val="auto"/>
          <w:kern w:val="0"/>
          <w:sz w:val="24"/>
          <w:lang w:val="en-US" w:eastAsia="zh-CN"/>
        </w:rPr>
        <w:t>收集池</w:t>
      </w:r>
      <w:r>
        <w:rPr>
          <w:rFonts w:hint="eastAsia"/>
          <w:color w:val="auto"/>
          <w:lang w:val="en-US" w:eastAsia="zh-CN"/>
        </w:rPr>
        <w:t>废水发生泄漏 100d后，污染因子NH</w:t>
      </w:r>
      <w:r>
        <w:rPr>
          <w:rFonts w:hint="eastAsia"/>
          <w:color w:val="auto"/>
          <w:vertAlign w:val="subscript"/>
          <w:lang w:val="en-US" w:eastAsia="zh-CN"/>
        </w:rPr>
        <w:t>3</w:t>
      </w:r>
      <w:r>
        <w:rPr>
          <w:rFonts w:hint="eastAsia"/>
          <w:color w:val="auto"/>
          <w:lang w:val="en-US" w:eastAsia="zh-CN"/>
        </w:rPr>
        <w:t>-N在含水层中沿地下水流方向运移，随运移距离的增加，含水层中的NH</w:t>
      </w:r>
      <w:r>
        <w:rPr>
          <w:rFonts w:hint="eastAsia"/>
          <w:color w:val="auto"/>
          <w:vertAlign w:val="subscript"/>
          <w:lang w:val="en-US" w:eastAsia="zh-CN"/>
        </w:rPr>
        <w:t>3</w:t>
      </w:r>
      <w:r>
        <w:rPr>
          <w:rFonts w:hint="eastAsia"/>
          <w:color w:val="auto"/>
          <w:lang w:val="en-US" w:eastAsia="zh-CN"/>
        </w:rPr>
        <w:t>-N浓度变化呈逐渐下降的趋势。距离下游厂界处</w:t>
      </w:r>
      <w:r>
        <w:rPr>
          <w:rFonts w:hint="default" w:ascii="Times New Roman" w:hAnsi="Times New Roman" w:cs="Times New Roman"/>
          <w:color w:val="auto"/>
          <w:lang w:val="en-US" w:eastAsia="zh-CN"/>
        </w:rPr>
        <w:t>——</w:t>
      </w:r>
      <w:r>
        <w:rPr>
          <w:rFonts w:hint="eastAsia"/>
          <w:color w:val="auto"/>
          <w:lang w:val="en-US" w:eastAsia="zh-CN"/>
        </w:rPr>
        <w:t>**m处的浓度为**mg/L，为超标区域。</w:t>
      </w:r>
    </w:p>
    <w:p>
      <w:pPr>
        <w:pStyle w:val="265"/>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收集</w:t>
      </w:r>
      <w:r>
        <w:rPr>
          <w:rFonts w:hint="default" w:ascii="Times New Roman" w:hAnsi="Times New Roman" w:eastAsia="宋体" w:cs="Times New Roman"/>
          <w:color w:val="auto"/>
          <w:sz w:val="24"/>
          <w:szCs w:val="24"/>
        </w:rPr>
        <w:t>池</w:t>
      </w:r>
      <w:r>
        <w:rPr>
          <w:rFonts w:hint="default" w:ascii="Times New Roman" w:hAnsi="Times New Roman" w:eastAsia="宋体" w:cs="Times New Roman"/>
          <w:color w:val="auto"/>
          <w:sz w:val="24"/>
          <w:szCs w:val="24"/>
        </w:rPr>
        <w:t>废水发生泄漏10</w:t>
      </w:r>
      <w:r>
        <w:rPr>
          <w:rFonts w:hint="eastAsia" w:cs="Times New Roman"/>
          <w:color w:val="auto"/>
          <w:sz w:val="24"/>
          <w:szCs w:val="24"/>
          <w:lang w:val="en-US" w:eastAsia="zh-CN"/>
        </w:rPr>
        <w:t>0</w:t>
      </w:r>
      <w:r>
        <w:rPr>
          <w:rFonts w:hint="default" w:ascii="Times New Roman" w:hAnsi="Times New Roman" w:eastAsia="宋体" w:cs="Times New Roman"/>
          <w:color w:val="auto"/>
          <w:sz w:val="24"/>
          <w:szCs w:val="24"/>
        </w:rPr>
        <w:t>0d后，沿地下水水流方向地下水COD预测值见表。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-13 泄漏10</w:t>
      </w:r>
      <w:r>
        <w:rPr>
          <w:rFonts w:hint="eastAsia"/>
          <w:b/>
          <w:bCs w:val="0"/>
          <w:color w:val="auto"/>
          <w:sz w:val="21"/>
          <w:szCs w:val="21"/>
          <w:lang w:val="en-US" w:eastAsia="zh-CN"/>
        </w:rPr>
        <w:t>0</w:t>
      </w:r>
      <w:r>
        <w:rPr>
          <w:rFonts w:hint="eastAsia" w:eastAsia="宋体"/>
          <w:b/>
          <w:bCs w:val="0"/>
          <w:color w:val="auto"/>
          <w:sz w:val="21"/>
          <w:szCs w:val="21"/>
          <w:lang w:val="en-US" w:eastAsia="zh-CN"/>
        </w:rPr>
        <w:t>0d后</w:t>
      </w:r>
      <w:r>
        <w:rPr>
          <w:rFonts w:hint="eastAsia"/>
          <w:b/>
          <w:bCs w:val="0"/>
          <w:color w:val="auto"/>
          <w:sz w:val="21"/>
          <w:szCs w:val="21"/>
          <w:lang w:val="en-US" w:eastAsia="zh-CN"/>
        </w:rPr>
        <w:t>COD</w:t>
      </w:r>
      <w:r>
        <w:rPr>
          <w:rFonts w:hint="eastAsia" w:eastAsia="宋体"/>
          <w:b/>
          <w:bCs w:val="0"/>
          <w:color w:val="auto"/>
          <w:sz w:val="21"/>
          <w:szCs w:val="21"/>
          <w:lang w:val="en-US" w:eastAsia="zh-CN"/>
        </w:rPr>
        <w:t>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iCs/>
                <w:color w:val="auto"/>
                <w:kern w:val="0"/>
                <w:sz w:val="21"/>
                <w:szCs w:val="21"/>
                <w:vertAlign w:val="baseline"/>
                <w:lang w:val="en-US" w:eastAsia="zh-CN"/>
              </w:rPr>
              <w:t>氨氮浓度（mg/L）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iCs/>
          <w:color w:val="auto"/>
          <w:kern w:val="0"/>
          <w:sz w:val="24"/>
          <w:lang w:val="en-US" w:eastAsia="zh-CN"/>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ascii="Times New Roman" w:hAnsi="Times New Roman" w:eastAsia="宋体" w:cs="Times New Roman"/>
          <w:b/>
          <w:bCs/>
          <w:color w:val="auto"/>
          <w:sz w:val="21"/>
          <w:szCs w:val="21"/>
          <w:lang w:val="en-US" w:eastAsia="zh-CN"/>
        </w:rPr>
        <w:t xml:space="preserve">4 </w:t>
      </w:r>
      <w:r>
        <w:rPr>
          <w:rFonts w:hint="default" w:ascii="Times New Roman" w:hAnsi="Times New Roman" w:eastAsia="宋体" w:cs="Times New Roman"/>
          <w:b/>
          <w:bCs/>
          <w:color w:val="auto"/>
          <w:sz w:val="21"/>
          <w:szCs w:val="21"/>
        </w:rPr>
        <w:t>泄漏 10</w:t>
      </w:r>
      <w:r>
        <w:rPr>
          <w:rFonts w:hint="eastAsia" w:cs="Times New Roman"/>
          <w:b/>
          <w:bCs/>
          <w:color w:val="auto"/>
          <w:sz w:val="21"/>
          <w:szCs w:val="21"/>
          <w:lang w:val="en-US" w:eastAsia="zh-CN"/>
        </w:rPr>
        <w:t>0</w:t>
      </w:r>
      <w:r>
        <w:rPr>
          <w:rFonts w:hint="default" w:ascii="Times New Roman" w:hAnsi="Times New Roman" w:eastAsia="宋体" w:cs="Times New Roman"/>
          <w:b/>
          <w:bCs/>
          <w:color w:val="auto"/>
          <w:sz w:val="21"/>
          <w:szCs w:val="21"/>
        </w:rPr>
        <w:t>0d</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COD浓度变化曲线图</w:t>
      </w:r>
    </w:p>
    <w:p>
      <w:pPr>
        <w:pStyle w:val="265"/>
        <w:jc w:val="both"/>
        <w:rPr>
          <w:rFonts w:hint="default" w:ascii="Times New Roman" w:hAnsi="Times New Roman" w:cs="Times New Roman"/>
          <w:color w:val="auto"/>
        </w:rPr>
      </w:pPr>
      <w:r>
        <w:rPr>
          <w:rFonts w:hint="default" w:ascii="Times New Roman" w:hAnsi="Times New Roman" w:eastAsia="宋体" w:cs="Times New Roman"/>
          <w:color w:val="auto"/>
          <w:sz w:val="24"/>
          <w:szCs w:val="24"/>
        </w:rPr>
        <w:t>通过上表和上图可以看出，</w:t>
      </w:r>
      <w:r>
        <w:rPr>
          <w:rFonts w:hint="eastAsia" w:ascii="Times New Roman" w:hAnsi="Times New Roman" w:eastAsia="宋体" w:cs="Times New Roman"/>
          <w:color w:val="auto"/>
          <w:sz w:val="24"/>
          <w:szCs w:val="24"/>
          <w:lang w:val="en-US" w:eastAsia="zh-CN"/>
        </w:rPr>
        <w:t>收集</w:t>
      </w:r>
      <w:r>
        <w:rPr>
          <w:rFonts w:hint="default" w:ascii="Times New Roman" w:hAnsi="Times New Roman" w:eastAsia="宋体" w:cs="Times New Roman"/>
          <w:color w:val="auto"/>
          <w:sz w:val="24"/>
          <w:szCs w:val="24"/>
        </w:rPr>
        <w:t>池废水发生泄漏1000d后，污染因子COD在含水层中沿地下水流方向运移，随运移距离的增加，含水层中的COD浓度变化呈逐渐下降的趋势。距离下游厂界处——</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rPr>
        <w:t>m处的浓度为</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rPr>
        <w:t>mg/L，为超标区域。</w:t>
      </w:r>
    </w:p>
    <w:p>
      <w:pPr>
        <w:pStyle w:val="26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③废水连续泄漏7300d</w:t>
      </w:r>
    </w:p>
    <w:p>
      <w:pPr>
        <w:pStyle w:val="26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通过模型模拟计算，</w:t>
      </w:r>
      <w:r>
        <w:rPr>
          <w:rFonts w:hint="eastAsia" w:ascii="Times New Roman" w:hAnsi="Times New Roman" w:eastAsia="宋体" w:cs="Times New Roman"/>
          <w:color w:val="auto"/>
          <w:sz w:val="24"/>
          <w:szCs w:val="24"/>
          <w:lang w:val="en-US" w:eastAsia="zh-CN"/>
        </w:rPr>
        <w:t>收集</w:t>
      </w:r>
      <w:r>
        <w:rPr>
          <w:rFonts w:hint="default" w:ascii="Times New Roman" w:hAnsi="Times New Roman" w:eastAsia="宋体" w:cs="Times New Roman"/>
          <w:color w:val="auto"/>
          <w:sz w:val="24"/>
          <w:szCs w:val="24"/>
        </w:rPr>
        <w:t>池</w:t>
      </w:r>
      <w:r>
        <w:rPr>
          <w:rFonts w:hint="default" w:ascii="Times New Roman" w:hAnsi="Times New Roman" w:eastAsia="宋体" w:cs="Times New Roman"/>
          <w:color w:val="auto"/>
          <w:sz w:val="24"/>
          <w:szCs w:val="24"/>
        </w:rPr>
        <w:t>废水发生泄漏7300d后，沿地下水水流方向地下水氨氮预测值见表。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-14</w:t>
      </w:r>
      <w:r>
        <w:rPr>
          <w:rFonts w:hint="eastAsia" w:eastAsia="宋体"/>
          <w:color w:val="auto"/>
          <w:sz w:val="21"/>
          <w:szCs w:val="21"/>
          <w:lang w:val="en-US" w:eastAsia="zh-CN"/>
        </w:rPr>
        <w:t xml:space="preserve"> </w:t>
      </w:r>
      <w:r>
        <w:rPr>
          <w:rFonts w:hint="eastAsia" w:eastAsia="宋体"/>
          <w:b/>
          <w:bCs w:val="0"/>
          <w:color w:val="auto"/>
          <w:sz w:val="21"/>
          <w:szCs w:val="21"/>
          <w:lang w:val="en-US" w:eastAsia="zh-CN"/>
        </w:rPr>
        <w:t>泄漏</w:t>
      </w:r>
      <w:r>
        <w:rPr>
          <w:rFonts w:hint="eastAsia"/>
          <w:b/>
          <w:bCs w:val="0"/>
          <w:color w:val="auto"/>
          <w:sz w:val="21"/>
          <w:szCs w:val="21"/>
          <w:lang w:val="en-US" w:eastAsia="zh-CN"/>
        </w:rPr>
        <w:t>73</w:t>
      </w:r>
      <w:r>
        <w:rPr>
          <w:rFonts w:hint="eastAsia" w:eastAsia="宋体"/>
          <w:b/>
          <w:bCs w:val="0"/>
          <w:color w:val="auto"/>
          <w:sz w:val="21"/>
          <w:szCs w:val="21"/>
          <w:lang w:val="en-US" w:eastAsia="zh-CN"/>
        </w:rPr>
        <w:t>00d后NH</w:t>
      </w:r>
      <w:r>
        <w:rPr>
          <w:rFonts w:hint="eastAsia" w:eastAsia="宋体"/>
          <w:b/>
          <w:bCs w:val="0"/>
          <w:color w:val="auto"/>
          <w:sz w:val="21"/>
          <w:szCs w:val="21"/>
          <w:vertAlign w:val="subscript"/>
          <w:lang w:val="en-US" w:eastAsia="zh-CN"/>
        </w:rPr>
        <w:t>3</w:t>
      </w:r>
      <w:r>
        <w:rPr>
          <w:rFonts w:hint="eastAsia" w:eastAsia="宋体"/>
          <w:b/>
          <w:bCs w:val="0"/>
          <w:color w:val="auto"/>
          <w:sz w:val="21"/>
          <w:szCs w:val="21"/>
          <w:lang w:val="en-US" w:eastAsia="zh-CN"/>
        </w:rPr>
        <w:t>-N浓度随距离变化一览表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iCs/>
                <w:color w:val="auto"/>
                <w:kern w:val="0"/>
                <w:sz w:val="21"/>
                <w:szCs w:val="21"/>
                <w:vertAlign w:val="baseline"/>
                <w:lang w:val="en-US" w:eastAsia="zh-CN"/>
              </w:rPr>
              <w:t>氨氮浓度（mg/L）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rPr>
          <w:rFonts w:hint="eastAsia" w:ascii="宋体" w:hAnsi="宋体" w:eastAsia="宋体" w:cs="宋体"/>
          <w:color w:val="auto"/>
          <w:sz w:val="24"/>
          <w:szCs w:val="24"/>
          <w:lang w:val="en-US" w:eastAsia="zh-CN"/>
        </w:rPr>
      </w:pP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auto"/>
          <w:lang w:val="en-US" w:eastAsia="zh-CN"/>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ascii="Times New Roman" w:hAnsi="Times New Roman" w:eastAsia="宋体" w:cs="Times New Roman"/>
          <w:b/>
          <w:bCs/>
          <w:color w:val="auto"/>
          <w:sz w:val="21"/>
          <w:szCs w:val="21"/>
          <w:lang w:val="en-US" w:eastAsia="zh-CN"/>
        </w:rPr>
        <w:t xml:space="preserve">5 </w:t>
      </w:r>
      <w:r>
        <w:rPr>
          <w:rFonts w:hint="default" w:ascii="Times New Roman" w:hAnsi="Times New Roman" w:eastAsia="宋体" w:cs="Times New Roman"/>
          <w:b/>
          <w:bCs/>
          <w:color w:val="auto"/>
          <w:sz w:val="21"/>
          <w:szCs w:val="21"/>
        </w:rPr>
        <w:t>泄漏</w:t>
      </w:r>
      <w:r>
        <w:rPr>
          <w:rFonts w:hint="eastAsia" w:cs="Times New Roman"/>
          <w:b/>
          <w:bCs/>
          <w:color w:val="auto"/>
          <w:sz w:val="21"/>
          <w:szCs w:val="21"/>
          <w:lang w:val="en-US" w:eastAsia="zh-CN"/>
        </w:rPr>
        <w:t>730</w:t>
      </w:r>
      <w:r>
        <w:rPr>
          <w:rFonts w:hint="default" w:ascii="Times New Roman" w:hAnsi="Times New Roman" w:eastAsia="宋体" w:cs="Times New Roman"/>
          <w:b/>
          <w:bCs/>
          <w:color w:val="auto"/>
          <w:sz w:val="21"/>
          <w:szCs w:val="21"/>
        </w:rPr>
        <w:t>0dNH</w:t>
      </w:r>
      <w:r>
        <w:rPr>
          <w:rFonts w:hint="default" w:ascii="Times New Roman" w:hAnsi="Times New Roman" w:eastAsia="宋体" w:cs="Times New Roman"/>
          <w:b/>
          <w:bCs/>
          <w:color w:val="auto"/>
          <w:sz w:val="21"/>
          <w:szCs w:val="21"/>
          <w:vertAlign w:val="subscript"/>
        </w:rPr>
        <w:t>3</w:t>
      </w:r>
      <w:r>
        <w:rPr>
          <w:rFonts w:hint="default" w:ascii="Times New Roman" w:hAnsi="Times New Roman" w:eastAsia="宋体" w:cs="Times New Roman"/>
          <w:b/>
          <w:bCs/>
          <w:color w:val="auto"/>
          <w:sz w:val="21"/>
          <w:szCs w:val="21"/>
        </w:rPr>
        <w:t>-N浓度变化曲线图</w:t>
      </w:r>
    </w:p>
    <w:p>
      <w:pPr>
        <w:pStyle w:val="265"/>
        <w:rPr>
          <w:rFonts w:ascii="宋体" w:hAnsi="宋体" w:eastAsia="宋体" w:cs="宋体"/>
          <w:color w:val="auto"/>
          <w:sz w:val="24"/>
          <w:szCs w:val="24"/>
        </w:rPr>
      </w:pPr>
      <w:r>
        <w:rPr>
          <w:rFonts w:hint="eastAsia"/>
          <w:color w:val="auto"/>
          <w:lang w:val="en-US" w:eastAsia="zh-CN"/>
        </w:rPr>
        <w:t>通过上表和上图可以看出，</w:t>
      </w:r>
      <w:r>
        <w:rPr>
          <w:rFonts w:hint="eastAsia" w:ascii="Times New Roman" w:hAnsi="Times New Roman" w:eastAsia="宋体" w:cs="Times New Roman"/>
          <w:color w:val="auto"/>
          <w:sz w:val="24"/>
          <w:szCs w:val="24"/>
          <w:lang w:val="en-US" w:eastAsia="zh-CN"/>
        </w:rPr>
        <w:t>收集池</w:t>
      </w:r>
      <w:r>
        <w:rPr>
          <w:rFonts w:hint="eastAsia"/>
          <w:color w:val="auto"/>
          <w:lang w:val="en-US" w:eastAsia="zh-CN"/>
        </w:rPr>
        <w:t>废水发生泄漏 100d后，污染因子NH</w:t>
      </w:r>
      <w:r>
        <w:rPr>
          <w:rFonts w:hint="eastAsia"/>
          <w:color w:val="auto"/>
          <w:vertAlign w:val="subscript"/>
          <w:lang w:val="en-US" w:eastAsia="zh-CN"/>
        </w:rPr>
        <w:t>3</w:t>
      </w:r>
      <w:r>
        <w:rPr>
          <w:rFonts w:hint="eastAsia"/>
          <w:color w:val="auto"/>
          <w:lang w:val="en-US" w:eastAsia="zh-CN"/>
        </w:rPr>
        <w:t>-N在含水层中沿地下水流方向运移，随运移距离的增加，含水层中的NH</w:t>
      </w:r>
      <w:r>
        <w:rPr>
          <w:rFonts w:hint="eastAsia"/>
          <w:color w:val="auto"/>
          <w:vertAlign w:val="subscript"/>
          <w:lang w:val="en-US" w:eastAsia="zh-CN"/>
        </w:rPr>
        <w:t>3</w:t>
      </w:r>
      <w:r>
        <w:rPr>
          <w:rFonts w:hint="eastAsia"/>
          <w:color w:val="auto"/>
          <w:lang w:val="en-US" w:eastAsia="zh-CN"/>
        </w:rPr>
        <w:t>-N浓度变化呈逐渐下降的趋势。距离下游厂界处</w:t>
      </w:r>
      <w:r>
        <w:rPr>
          <w:rFonts w:hint="default" w:ascii="Times New Roman" w:hAnsi="Times New Roman" w:cs="Times New Roman"/>
          <w:color w:val="auto"/>
          <w:lang w:val="en-US" w:eastAsia="zh-CN"/>
        </w:rPr>
        <w:t>——</w:t>
      </w:r>
      <w:r>
        <w:rPr>
          <w:rFonts w:hint="eastAsia"/>
          <w:color w:val="auto"/>
          <w:lang w:val="en-US" w:eastAsia="zh-CN"/>
        </w:rPr>
        <w:t>**m处的浓度为***mg/L，为超标区域。</w:t>
      </w:r>
    </w:p>
    <w:p>
      <w:pPr>
        <w:pStyle w:val="265"/>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收集池</w:t>
      </w:r>
      <w:r>
        <w:rPr>
          <w:rFonts w:hint="default" w:ascii="Times New Roman" w:hAnsi="Times New Roman" w:eastAsia="宋体" w:cs="Times New Roman"/>
          <w:color w:val="auto"/>
          <w:sz w:val="24"/>
          <w:szCs w:val="24"/>
        </w:rPr>
        <w:t>废水发生泄漏</w:t>
      </w:r>
      <w:r>
        <w:rPr>
          <w:rFonts w:hint="eastAsia" w:cs="Times New Roman"/>
          <w:color w:val="auto"/>
          <w:sz w:val="24"/>
          <w:szCs w:val="24"/>
          <w:lang w:val="en-US" w:eastAsia="zh-CN"/>
        </w:rPr>
        <w:t>730</w:t>
      </w:r>
      <w:r>
        <w:rPr>
          <w:rFonts w:hint="default" w:ascii="Times New Roman" w:hAnsi="Times New Roman" w:eastAsia="宋体" w:cs="Times New Roman"/>
          <w:color w:val="auto"/>
          <w:sz w:val="24"/>
          <w:szCs w:val="24"/>
        </w:rPr>
        <w:t>0d后，沿地下水水流方向地下水COD预测值见表。</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eastAsia="宋体"/>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-15</w:t>
      </w:r>
      <w:r>
        <w:rPr>
          <w:rFonts w:hint="eastAsia" w:eastAsia="宋体"/>
          <w:color w:val="auto"/>
          <w:sz w:val="21"/>
          <w:szCs w:val="21"/>
          <w:lang w:val="en-US" w:eastAsia="zh-CN"/>
        </w:rPr>
        <w:t xml:space="preserve"> </w:t>
      </w:r>
      <w:r>
        <w:rPr>
          <w:rFonts w:hint="eastAsia" w:eastAsia="宋体"/>
          <w:b/>
          <w:bCs w:val="0"/>
          <w:color w:val="auto"/>
          <w:sz w:val="21"/>
          <w:szCs w:val="21"/>
          <w:lang w:val="en-US" w:eastAsia="zh-CN"/>
        </w:rPr>
        <w:t>泄漏</w:t>
      </w:r>
      <w:r>
        <w:rPr>
          <w:rFonts w:hint="eastAsia"/>
          <w:b/>
          <w:bCs w:val="0"/>
          <w:color w:val="auto"/>
          <w:sz w:val="21"/>
          <w:szCs w:val="21"/>
          <w:lang w:val="en-US" w:eastAsia="zh-CN"/>
        </w:rPr>
        <w:t>730</w:t>
      </w:r>
      <w:r>
        <w:rPr>
          <w:rFonts w:hint="eastAsia" w:eastAsia="宋体"/>
          <w:b/>
          <w:bCs w:val="0"/>
          <w:color w:val="auto"/>
          <w:sz w:val="21"/>
          <w:szCs w:val="21"/>
          <w:lang w:val="en-US" w:eastAsia="zh-CN"/>
        </w:rPr>
        <w:t>0d后</w:t>
      </w:r>
      <w:r>
        <w:rPr>
          <w:rFonts w:hint="eastAsia"/>
          <w:b/>
          <w:bCs w:val="0"/>
          <w:color w:val="auto"/>
          <w:sz w:val="21"/>
          <w:szCs w:val="21"/>
          <w:lang w:val="en-US" w:eastAsia="zh-CN"/>
        </w:rPr>
        <w:t>COD</w:t>
      </w:r>
      <w:r>
        <w:rPr>
          <w:rFonts w:hint="eastAsia" w:eastAsia="宋体"/>
          <w:b/>
          <w:bCs w:val="0"/>
          <w:color w:val="auto"/>
          <w:sz w:val="21"/>
          <w:szCs w:val="21"/>
          <w:lang w:val="en-US" w:eastAsia="zh-CN"/>
        </w:rPr>
        <w:t>浓度随距离变化一览表</w:t>
      </w:r>
    </w:p>
    <w:tbl>
      <w:tblPr>
        <w:tblStyle w:val="52"/>
        <w:tblW w:w="996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81"/>
        <w:gridCol w:w="4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color w:val="auto"/>
                <w:sz w:val="21"/>
                <w:szCs w:val="21"/>
              </w:rPr>
              <w:t>沿地下水流向方向距离（m）</w:t>
            </w: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r>
              <w:rPr>
                <w:rFonts w:hint="default" w:ascii="Times New Roman" w:hAnsi="Times New Roman" w:eastAsia="宋体" w:cs="Times New Roman"/>
                <w:iCs/>
                <w:color w:val="auto"/>
                <w:kern w:val="0"/>
                <w:sz w:val="21"/>
                <w:szCs w:val="21"/>
                <w:vertAlign w:val="baseline"/>
                <w:lang w:val="en-US" w:eastAsia="zh-CN"/>
              </w:rPr>
              <w:t>氨氮浓度（mg/L）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c>
          <w:tcPr>
            <w:tcW w:w="4981"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iCs/>
                <w:color w:val="auto"/>
                <w:kern w:val="0"/>
                <w:sz w:val="21"/>
                <w:szCs w:val="21"/>
                <w:vertAlign w:val="baseline"/>
                <w:lang w:val="en-US" w:eastAsia="zh-CN"/>
              </w:rPr>
            </w:pPr>
          </w:p>
        </w:tc>
      </w:tr>
    </w:tbl>
    <w:p>
      <w:pPr>
        <w:pStyle w:val="265"/>
        <w:rPr>
          <w:rFonts w:hint="default" w:ascii="Times New Roman" w:hAnsi="Times New Roman" w:cs="Times New Roman"/>
          <w:color w:val="auto"/>
        </w:rPr>
      </w:pPr>
      <w:r>
        <w:rPr>
          <w:rFonts w:hint="default" w:ascii="Times New Roman" w:hAnsi="Times New Roman" w:eastAsia="宋体" w:cs="Times New Roman"/>
          <w:color w:val="auto"/>
          <w:sz w:val="24"/>
          <w:szCs w:val="24"/>
        </w:rPr>
        <w:t>通过上表和上图可以看出，</w:t>
      </w:r>
      <w:r>
        <w:rPr>
          <w:rFonts w:hint="eastAsia" w:ascii="Times New Roman" w:hAnsi="Times New Roman" w:eastAsia="宋体" w:cs="Times New Roman"/>
          <w:color w:val="auto"/>
          <w:sz w:val="24"/>
          <w:szCs w:val="24"/>
          <w:lang w:val="en-US" w:eastAsia="zh-CN"/>
        </w:rPr>
        <w:t>收集池</w:t>
      </w:r>
      <w:r>
        <w:rPr>
          <w:rFonts w:hint="default" w:ascii="Times New Roman" w:hAnsi="Times New Roman" w:eastAsia="宋体" w:cs="Times New Roman"/>
          <w:color w:val="auto"/>
          <w:sz w:val="24"/>
          <w:szCs w:val="24"/>
        </w:rPr>
        <w:t>废水发生泄漏1000d后，污染因子COD在含水层中沿地下水流方向运移，随运移距离的增加，含水层中的COD浓度变化呈逐渐下降的趋势。距离下游厂界处——</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rPr>
        <w:t>m处的浓度为</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rPr>
        <w:t>mg/L，为超标区域。</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iCs/>
          <w:color w:val="auto"/>
          <w:kern w:val="0"/>
          <w:sz w:val="24"/>
          <w:lang w:val="en-US" w:eastAsia="zh-CN"/>
        </w:rPr>
      </w:pPr>
    </w:p>
    <w:p>
      <w:pPr>
        <w:pStyle w:val="265"/>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eastAsia" w:ascii="宋体" w:hAnsi="宋体" w:eastAsia="宋体" w:cs="宋体"/>
          <w:color w:val="auto"/>
          <w:sz w:val="21"/>
          <w:szCs w:val="21"/>
          <w:lang w:val="en-US" w:eastAsia="zh-CN"/>
        </w:rPr>
      </w:pPr>
      <w:r>
        <w:rPr>
          <w:rFonts w:hint="default" w:ascii="Times New Roman" w:hAnsi="Times New Roman" w:eastAsia="宋体" w:cs="Times New Roman"/>
          <w:b/>
          <w:bCs/>
          <w:color w:val="auto"/>
          <w:sz w:val="21"/>
          <w:szCs w:val="21"/>
        </w:rPr>
        <w:t xml:space="preserve">图 </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.2-</w:t>
      </w:r>
      <w:r>
        <w:rPr>
          <w:rFonts w:hint="eastAsia" w:cs="Times New Roman"/>
          <w:b/>
          <w:bCs/>
          <w:color w:val="auto"/>
          <w:sz w:val="21"/>
          <w:szCs w:val="21"/>
          <w:lang w:val="en-US" w:eastAsia="zh-CN"/>
        </w:rPr>
        <w:t>6</w:t>
      </w:r>
      <w:r>
        <w:rPr>
          <w:rFonts w:hint="default" w:ascii="Times New Roman" w:hAnsi="Times New Roman" w:eastAsia="宋体" w:cs="Times New Roman"/>
          <w:b/>
          <w:bCs/>
          <w:color w:val="auto"/>
          <w:sz w:val="21"/>
          <w:szCs w:val="21"/>
        </w:rPr>
        <w:t xml:space="preserve"> </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泄漏 10</w:t>
      </w:r>
      <w:r>
        <w:rPr>
          <w:rFonts w:hint="eastAsia" w:cs="Times New Roman"/>
          <w:b/>
          <w:bCs/>
          <w:color w:val="auto"/>
          <w:sz w:val="21"/>
          <w:szCs w:val="21"/>
          <w:lang w:val="en-US" w:eastAsia="zh-CN"/>
        </w:rPr>
        <w:t>0</w:t>
      </w:r>
      <w:r>
        <w:rPr>
          <w:rFonts w:hint="default" w:ascii="Times New Roman" w:hAnsi="Times New Roman" w:eastAsia="宋体" w:cs="Times New Roman"/>
          <w:b/>
          <w:bCs/>
          <w:color w:val="auto"/>
          <w:sz w:val="21"/>
          <w:szCs w:val="21"/>
        </w:rPr>
        <w:t>0d</w:t>
      </w:r>
      <w:r>
        <w:rPr>
          <w:rFonts w:hint="eastAsia"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COD浓度变化曲线图</w:t>
      </w:r>
    </w:p>
    <w:p>
      <w:pPr>
        <w:pStyle w:val="9"/>
        <w:rPr>
          <w:rFonts w:hint="eastAsia" w:cs="Times New Roman"/>
          <w:color w:val="auto"/>
          <w:lang w:val="en-US" w:eastAsia="zh-CN"/>
        </w:rPr>
      </w:pPr>
      <w:r>
        <w:rPr>
          <w:rFonts w:hint="eastAsia" w:cs="Times New Roman"/>
          <w:color w:val="auto"/>
          <w:lang w:val="en-US" w:eastAsia="zh-CN"/>
        </w:rPr>
        <w:t>地下水环境影响分析结论</w:t>
      </w:r>
    </w:p>
    <w:p>
      <w:pPr>
        <w:pStyle w:val="265"/>
        <w:keepNext w:val="0"/>
        <w:keepLines w:val="0"/>
        <w:pageBreakBefore w:val="0"/>
        <w:widowControl w:val="0"/>
        <w:kinsoku/>
        <w:wordWrap/>
        <w:overflowPunct/>
        <w:topLinePunct w:val="0"/>
        <w:autoSpaceDE/>
        <w:autoSpaceDN/>
        <w:bidi w:val="0"/>
        <w:adjustRightInd/>
        <w:snapToGrid/>
        <w:textAlignment w:val="auto"/>
        <w:outlineLvl w:val="9"/>
        <w:rPr>
          <w:rFonts w:hint="default" w:ascii="Times New Roman" w:hAnsi="Times New Roman" w:eastAsia="宋体" w:cs="Times New Roman"/>
          <w:b w:val="0"/>
          <w:color w:val="auto"/>
          <w:kern w:val="2"/>
          <w:sz w:val="24"/>
          <w:szCs w:val="24"/>
          <w:lang w:val="en-US" w:eastAsia="zh-CN" w:bidi="ar-SA"/>
        </w:rPr>
      </w:pPr>
      <w:r>
        <w:rPr>
          <w:rFonts w:hint="default" w:ascii="Times New Roman" w:hAnsi="Times New Roman" w:eastAsia="宋体" w:cs="Times New Roman"/>
          <w:b w:val="0"/>
          <w:color w:val="auto"/>
          <w:kern w:val="2"/>
          <w:sz w:val="24"/>
          <w:szCs w:val="24"/>
          <w:lang w:val="en-US" w:eastAsia="zh-CN" w:bidi="ar-SA"/>
        </w:rPr>
        <w:t>本区含水层水力坡度较小，渗透系数亦较小，溶质运移以弥散作用为主，对流作用不明显，因此污染物扩散范围较小。建设项目区实行雨污分流制，排污管道、废水收集处理设施池体等均采取了良好的防渗措施，正常状况下，场区的地表与地下的水力联系基本被切断，污染物不会渗入地下水。 非正常状况下，废液连续泄漏100d，评价范围内地下水含水层中氨氮浓度超标范围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m（以点源泄漏点为坐标原点）、COD浓度超标范围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m；废液连续泄漏1000d， 评价范围内地下水含水层中氨氮浓度超标范围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m（以点源泄漏点为坐标原点）、COD浓度超标范围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m；废液连续泄漏20年，评价范围内地下水含水层中氨氮浓度超标范围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m（以点源泄漏点为坐标原点）、COD浓度超标范围</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cs="Times New Roman"/>
          <w:b w:val="0"/>
          <w:color w:val="auto"/>
          <w:kern w:val="2"/>
          <w:sz w:val="24"/>
          <w:szCs w:val="24"/>
          <w:lang w:val="en-US" w:eastAsia="zh-CN" w:bidi="ar-SA"/>
        </w:rPr>
        <w:t>-</w:t>
      </w:r>
      <w:r>
        <w:rPr>
          <w:rFonts w:hint="eastAsia" w:ascii="Times New Roman" w:hAnsi="Times New Roman" w:eastAsia="宋体" w:cs="Times New Roman"/>
          <w:b w:val="0"/>
          <w:color w:val="auto"/>
          <w:kern w:val="2"/>
          <w:sz w:val="24"/>
          <w:szCs w:val="24"/>
          <w:lang w:val="en-US" w:eastAsia="zh-CN" w:bidi="ar-SA"/>
        </w:rPr>
        <w:t>**</w:t>
      </w:r>
      <w:r>
        <w:rPr>
          <w:rFonts w:hint="default" w:ascii="Times New Roman" w:hAnsi="Times New Roman" w:eastAsia="宋体" w:cs="Times New Roman"/>
          <w:b w:val="0"/>
          <w:color w:val="auto"/>
          <w:kern w:val="2"/>
          <w:sz w:val="24"/>
          <w:szCs w:val="24"/>
          <w:lang w:val="en-US" w:eastAsia="zh-CN" w:bidi="ar-SA"/>
        </w:rPr>
        <w:t>m。</w:t>
      </w:r>
      <w:r>
        <w:rPr>
          <w:rFonts w:hint="eastAsia" w:ascii="Times New Roman" w:hAnsi="Times New Roman" w:eastAsia="宋体" w:cs="Times New Roman"/>
          <w:b w:val="0"/>
          <w:color w:val="auto"/>
          <w:kern w:val="2"/>
          <w:sz w:val="24"/>
          <w:szCs w:val="24"/>
          <w:lang w:val="en-US" w:eastAsia="zh-CN" w:bidi="ar-SA"/>
        </w:rPr>
        <w:t>收集</w:t>
      </w:r>
      <w:r>
        <w:rPr>
          <w:rFonts w:hint="default" w:ascii="Times New Roman" w:hAnsi="Times New Roman" w:eastAsia="宋体" w:cs="Times New Roman"/>
          <w:b w:val="0"/>
          <w:color w:val="auto"/>
          <w:kern w:val="2"/>
          <w:sz w:val="24"/>
          <w:szCs w:val="24"/>
          <w:lang w:val="en-US" w:eastAsia="zh-CN" w:bidi="ar-SA"/>
        </w:rPr>
        <w:t>池周边200m范围内无周边居民分散式饮用水水井分布点，通过设定监测井及时检维修措施，可杜绝</w:t>
      </w:r>
      <w:r>
        <w:rPr>
          <w:rFonts w:hint="default" w:ascii="Times New Roman" w:hAnsi="Times New Roman" w:eastAsia="宋体" w:cs="Times New Roman"/>
          <w:color w:val="auto"/>
          <w:sz w:val="24"/>
          <w:szCs w:val="24"/>
        </w:rPr>
        <w:t>废液连续长时间泄漏情况发生；满足《环境影响评价技术导则 地下水环境》（HJ610-2016）中</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建设项目各个不同阶段， 除厂界内小范围以外地区，均能满足《地下水质量标准》（GB/T14848-2017）或国家（行 业、地方）相关标准要求</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pPr>
        <w:pStyle w:val="8"/>
        <w:tabs>
          <w:tab w:val="clear" w:pos="0"/>
        </w:tabs>
        <w:rPr>
          <w:rFonts w:eastAsia="黑体"/>
          <w:color w:val="auto"/>
          <w:sz w:val="28"/>
          <w:szCs w:val="28"/>
        </w:rPr>
      </w:pPr>
      <w:r>
        <w:rPr>
          <w:rFonts w:eastAsia="黑体"/>
          <w:color w:val="auto"/>
          <w:sz w:val="28"/>
          <w:szCs w:val="28"/>
        </w:rPr>
        <w:t>大气环境影响分析</w:t>
      </w:r>
    </w:p>
    <w:p>
      <w:pPr>
        <w:ind w:firstLine="480"/>
        <w:rPr>
          <w:rFonts w:hint="eastAsia"/>
          <w:color w:val="auto"/>
        </w:rPr>
      </w:pPr>
      <w:r>
        <w:rPr>
          <w:rFonts w:hint="eastAsia"/>
          <w:color w:val="auto"/>
        </w:rPr>
        <w:t>根据工程分析，本项目排放的废气主要有</w:t>
      </w:r>
      <w:r>
        <w:rPr>
          <w:rFonts w:hint="eastAsia"/>
          <w:color w:val="auto"/>
          <w:lang w:val="en-US" w:eastAsia="zh-CN"/>
        </w:rPr>
        <w:t>生产养殖区（</w:t>
      </w:r>
      <w:r>
        <w:rPr>
          <w:rFonts w:hint="eastAsia"/>
          <w:color w:val="auto"/>
        </w:rPr>
        <w:t>猪舍、干粪堆场</w:t>
      </w:r>
      <w:r>
        <w:rPr>
          <w:rFonts w:hint="eastAsia"/>
          <w:color w:val="auto"/>
          <w:lang w:val="en-US" w:eastAsia="zh-CN"/>
        </w:rPr>
        <w:t>）、</w:t>
      </w:r>
      <w:r>
        <w:rPr>
          <w:rFonts w:hint="eastAsia"/>
          <w:color w:val="auto"/>
        </w:rPr>
        <w:t>污水处理区产生的恶臭气体（主要为NH</w:t>
      </w:r>
      <w:r>
        <w:rPr>
          <w:rFonts w:hint="eastAsia"/>
          <w:color w:val="auto"/>
          <w:vertAlign w:val="subscript"/>
        </w:rPr>
        <w:t>3</w:t>
      </w:r>
      <w:r>
        <w:rPr>
          <w:rFonts w:hint="eastAsia"/>
          <w:color w:val="auto"/>
        </w:rPr>
        <w:t>和H</w:t>
      </w:r>
      <w:r>
        <w:rPr>
          <w:rFonts w:hint="eastAsia"/>
          <w:color w:val="auto"/>
          <w:vertAlign w:val="subscript"/>
        </w:rPr>
        <w:t>2</w:t>
      </w:r>
      <w:r>
        <w:rPr>
          <w:rFonts w:hint="eastAsia"/>
          <w:color w:val="auto"/>
        </w:rPr>
        <w:t>S）、火炬烟气、食堂（采取清洁能源沼气作为能源）排放的餐饮油烟。但食堂油烟排放量小，经油烟净化器处理后引至屋顶排放，对周围环境影响较小；沼气为清洁能源，其主要成分为甲烷，其燃烧排放的烟气主要污染物为SO</w:t>
      </w:r>
      <w:r>
        <w:rPr>
          <w:rFonts w:hint="eastAsia"/>
          <w:color w:val="auto"/>
          <w:vertAlign w:val="subscript"/>
        </w:rPr>
        <w:t>2</w:t>
      </w:r>
      <w:r>
        <w:rPr>
          <w:rFonts w:hint="eastAsia"/>
          <w:color w:val="auto"/>
        </w:rPr>
        <w:t>、NOx。因此，本次评价主要选取</w:t>
      </w:r>
      <w:r>
        <w:rPr>
          <w:rFonts w:hint="eastAsia"/>
          <w:color w:val="auto"/>
          <w:lang w:val="en-US" w:eastAsia="zh-CN"/>
        </w:rPr>
        <w:t>生产养殖区（</w:t>
      </w:r>
      <w:r>
        <w:rPr>
          <w:rFonts w:hint="eastAsia"/>
          <w:color w:val="auto"/>
        </w:rPr>
        <w:t>猪舍、干粪堆场</w:t>
      </w:r>
      <w:r>
        <w:rPr>
          <w:rFonts w:hint="eastAsia"/>
          <w:color w:val="auto"/>
          <w:lang w:val="en-US" w:eastAsia="zh-CN"/>
        </w:rPr>
        <w:t>）、</w:t>
      </w:r>
      <w:r>
        <w:rPr>
          <w:rFonts w:hint="eastAsia"/>
          <w:color w:val="auto"/>
        </w:rPr>
        <w:t>污水处理区产生的恶臭气体（NH</w:t>
      </w:r>
      <w:r>
        <w:rPr>
          <w:rFonts w:hint="eastAsia"/>
          <w:color w:val="auto"/>
          <w:vertAlign w:val="subscript"/>
        </w:rPr>
        <w:t>3</w:t>
      </w:r>
      <w:r>
        <w:rPr>
          <w:rFonts w:hint="eastAsia"/>
          <w:color w:val="auto"/>
        </w:rPr>
        <w:t>和H</w:t>
      </w:r>
      <w:r>
        <w:rPr>
          <w:rFonts w:hint="eastAsia"/>
          <w:color w:val="auto"/>
          <w:vertAlign w:val="subscript"/>
        </w:rPr>
        <w:t>2</w:t>
      </w:r>
      <w:r>
        <w:rPr>
          <w:rFonts w:hint="eastAsia"/>
          <w:color w:val="auto"/>
        </w:rPr>
        <w:t>S）进行评价。</w:t>
      </w:r>
    </w:p>
    <w:bookmarkEnd w:id="205"/>
    <w:p>
      <w:pPr>
        <w:pStyle w:val="9"/>
        <w:rPr>
          <w:rFonts w:hint="eastAsia" w:cs="Times New Roman"/>
          <w:color w:val="auto"/>
          <w:lang w:val="en-US" w:eastAsia="zh-CN"/>
        </w:rPr>
      </w:pPr>
      <w:r>
        <w:rPr>
          <w:rFonts w:hint="eastAsia" w:cs="Times New Roman"/>
          <w:color w:val="auto"/>
          <w:lang w:val="en-US" w:eastAsia="zh-CN"/>
        </w:rPr>
        <w:t>项目所在区域气象分析</w:t>
      </w:r>
    </w:p>
    <w:p>
      <w:pPr>
        <w:widowControl/>
        <w:ind w:firstLine="480" w:firstLineChars="200"/>
        <w:rPr>
          <w:rFonts w:ascii="Times New Roman" w:hAnsi="Times New Roman"/>
          <w:color w:val="auto"/>
          <w:szCs w:val="24"/>
          <w:u w:val="none"/>
          <w:shd w:val="clear" w:color="auto" w:fill="FFFFFF"/>
        </w:rPr>
      </w:pPr>
      <w:r>
        <w:rPr>
          <w:rFonts w:ascii="Times New Roman" w:hAnsi="Times New Roman"/>
          <w:color w:val="auto"/>
          <w:szCs w:val="24"/>
          <w:u w:val="none"/>
          <w:shd w:val="clear" w:color="auto" w:fill="FFFFFF"/>
        </w:rPr>
        <w:t>游仙区年平均气温16.4°C。每年一月最冷，平均气温5.2°C，八月最高，平均气温为26.2°C，无霜期为275天。全年大于10°C的有效积温5212°C。游仙区历年平均日照时数为1278.3小时，日照时数以8月最多，157.3小时；二月最少，为72.4小时，四月至十月日照时数为875.1小时，占全年32%。全年</w:t>
      </w:r>
      <w:r>
        <w:rPr>
          <w:rFonts w:ascii="Times New Roman" w:hAnsi="Times New Roman"/>
          <w:color w:val="auto"/>
          <w:szCs w:val="24"/>
          <w:u w:val="none"/>
          <w:shd w:val="clear" w:color="auto" w:fill="FFFFFF"/>
        </w:rPr>
        <w:fldChar w:fldCharType="begin"/>
      </w:r>
      <w:r>
        <w:rPr>
          <w:rFonts w:ascii="Times New Roman" w:hAnsi="Times New Roman"/>
          <w:color w:val="auto"/>
          <w:szCs w:val="24"/>
          <w:u w:val="none"/>
          <w:shd w:val="clear" w:color="auto" w:fill="FFFFFF"/>
        </w:rPr>
        <w:instrText xml:space="preserve"> HYPERLINK "https://baike.sogou.com/lemma/ShowInnerLink.htm?lemmaId=65646192&amp;ss_c=ssc.citiao.link" \t "https://baike.sogou.com/_blank" </w:instrText>
      </w:r>
      <w:r>
        <w:rPr>
          <w:rFonts w:ascii="Times New Roman" w:hAnsi="Times New Roman"/>
          <w:color w:val="auto"/>
          <w:szCs w:val="24"/>
          <w:u w:val="none"/>
          <w:shd w:val="clear" w:color="auto" w:fill="FFFFFF"/>
        </w:rPr>
        <w:fldChar w:fldCharType="separate"/>
      </w:r>
      <w:r>
        <w:rPr>
          <w:rStyle w:val="59"/>
          <w:rFonts w:ascii="Times New Roman" w:hAnsi="Times New Roman"/>
          <w:color w:val="auto"/>
          <w:szCs w:val="24"/>
          <w:u w:val="none"/>
          <w:shd w:val="clear" w:color="auto" w:fill="FFFFFF"/>
        </w:rPr>
        <w:t>日照百分率</w:t>
      </w:r>
      <w:r>
        <w:rPr>
          <w:rFonts w:ascii="Times New Roman" w:hAnsi="Times New Roman"/>
          <w:color w:val="auto"/>
          <w:szCs w:val="24"/>
          <w:u w:val="none"/>
          <w:shd w:val="clear" w:color="auto" w:fill="FFFFFF"/>
        </w:rPr>
        <w:fldChar w:fldCharType="end"/>
      </w:r>
      <w:r>
        <w:rPr>
          <w:rFonts w:ascii="Times New Roman" w:hAnsi="Times New Roman"/>
          <w:color w:val="auto"/>
          <w:szCs w:val="24"/>
          <w:u w:val="none"/>
          <w:shd w:val="clear" w:color="auto" w:fill="FFFFFF"/>
        </w:rPr>
        <w:t>为29%。游仙区多年平均　降水量为969.6毫米。降水主要集中在夏秋两季。历年平均降水量中：春季（3－5月有）为163.2毫米，占全年的16%；夏季（6</w:t>
      </w:r>
      <w:r>
        <w:rPr>
          <w:rFonts w:hint="eastAsia"/>
          <w:color w:val="auto"/>
          <w:szCs w:val="24"/>
          <w:u w:val="none"/>
          <w:shd w:val="clear" w:color="auto" w:fill="FFFFFF"/>
          <w:lang w:val="en-US" w:eastAsia="zh-CN"/>
        </w:rPr>
        <w:t>-</w:t>
      </w:r>
      <w:r>
        <w:rPr>
          <w:rFonts w:ascii="Times New Roman" w:hAnsi="Times New Roman"/>
          <w:color w:val="auto"/>
          <w:szCs w:val="24"/>
          <w:u w:val="none"/>
          <w:shd w:val="clear" w:color="auto" w:fill="FFFFFF"/>
        </w:rPr>
        <w:t>8）降水量为622.7毫米，占全年的61%；秋季为211.9毫米，占全年的20.8%；冬季为22.2毫米，占全年的2.2%。</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极端最高气温37.3℃</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极端最低气温-5.9℃</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年平均气温16.2℃</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全年平均相对湿度82%</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年平均降雨量947mm</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全年大气压力949.8hPa</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最大积雪深度5cm</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年日照百分率28%</w:t>
      </w:r>
    </w:p>
    <w:p>
      <w:pPr>
        <w:widowControl/>
        <w:ind w:firstLine="480" w:firstLineChars="200"/>
        <w:rPr>
          <w:rFonts w:hint="default" w:ascii="Times New Roman" w:hAnsi="Times New Roman" w:cs="Times New Roman"/>
          <w:color w:val="auto"/>
        </w:rPr>
      </w:pPr>
      <w:r>
        <w:rPr>
          <w:rFonts w:hint="default" w:ascii="Times New Roman" w:hAnsi="Times New Roman" w:cs="Times New Roman"/>
          <w:color w:val="auto"/>
        </w:rPr>
        <w:t>年平均风速1.1m/s</w:t>
      </w:r>
    </w:p>
    <w:p>
      <w:pPr>
        <w:pStyle w:val="9"/>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环境空气质量影响预测与评价</w:t>
      </w:r>
    </w:p>
    <w:p>
      <w:pPr>
        <w:pStyle w:val="265"/>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依据《环境影响评价技术导则</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大气环境》（HJ2.2-2018）中5.3节工作等级的确定方法，结合项目工程分析结果，选择正常排放的主要污染物及排放参数，采用附录A推荐模型中的 AERSCREEN模式计算项目污染源的最大环境影响，然后按评价工作分级判据进行分级。</w:t>
      </w:r>
    </w:p>
    <w:p>
      <w:pPr>
        <w:pStyle w:val="265"/>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1、P</w:t>
      </w:r>
      <w:r>
        <w:rPr>
          <w:rFonts w:hint="eastAsia" w:ascii="Times New Roman" w:hAnsi="Times New Roman" w:eastAsia="宋体" w:cs="Times New Roman"/>
          <w:b/>
          <w:bCs/>
          <w:color w:val="auto"/>
          <w:sz w:val="24"/>
          <w:vertAlign w:val="subscript"/>
          <w:lang w:val="en-US" w:eastAsia="zh-CN"/>
        </w:rPr>
        <w:t>max</w:t>
      </w:r>
      <w:r>
        <w:rPr>
          <w:rFonts w:hint="eastAsia" w:ascii="Times New Roman" w:hAnsi="Times New Roman" w:eastAsia="宋体" w:cs="Times New Roman"/>
          <w:b/>
          <w:bCs/>
          <w:color w:val="auto"/>
          <w:sz w:val="24"/>
          <w:lang w:val="en-US" w:eastAsia="zh-CN"/>
        </w:rPr>
        <w:t>及D</w:t>
      </w:r>
      <w:r>
        <w:rPr>
          <w:rFonts w:hint="eastAsia" w:ascii="Times New Roman" w:hAnsi="Times New Roman" w:eastAsia="宋体" w:cs="Times New Roman"/>
          <w:b/>
          <w:bCs/>
          <w:color w:val="auto"/>
          <w:sz w:val="24"/>
          <w:vertAlign w:val="subscript"/>
          <w:lang w:val="en-US" w:eastAsia="zh-CN"/>
        </w:rPr>
        <w:t>10%</w:t>
      </w:r>
      <w:r>
        <w:rPr>
          <w:rFonts w:hint="eastAsia" w:ascii="Times New Roman" w:hAnsi="Times New Roman" w:eastAsia="宋体" w:cs="Times New Roman"/>
          <w:b/>
          <w:bCs/>
          <w:color w:val="auto"/>
          <w:sz w:val="24"/>
          <w:lang w:val="en-US" w:eastAsia="zh-CN"/>
        </w:rPr>
        <w:t>的确定</w:t>
      </w:r>
    </w:p>
    <w:p>
      <w:pPr>
        <w:pStyle w:val="265"/>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依据《环境影响评价技术导则—大气环境》（HJ2.2-2018）中最大地面浓度占标率Pi定义如下：</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position w:val="-30"/>
          <w:sz w:val="24"/>
          <w:lang w:val="en-US" w:eastAsia="zh-CN"/>
        </w:rPr>
        <w:object>
          <v:shape id="_x0000_i1124" o:spt="75" type="#_x0000_t75" style="height:34pt;width:78pt;" o:ole="t" filled="f" o:preferrelative="t" stroked="f" coordsize="21600,21600">
            <v:path/>
            <v:fill on="f" focussize="0,0"/>
            <v:stroke on="f"/>
            <v:imagedata r:id="rId74" o:title=""/>
            <o:lock v:ext="edit" aspectratio="t"/>
            <w10:wrap type="none"/>
            <w10:anchorlock/>
          </v:shape>
          <o:OLEObject Type="Embed" ProgID="Equation.KSEE3" ShapeID="_x0000_i1124" DrawAspect="Content" ObjectID="_1468075739" r:id="rId73">
            <o:LockedField>false</o:LockedField>
          </o:OLEObject>
        </w:object>
      </w:r>
    </w:p>
    <w:p>
      <w:pPr>
        <w:pStyle w:val="265"/>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式中：Pi</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第i个污染物的最大地面空气质量浓度占标率，%；</w:t>
      </w:r>
    </w:p>
    <w:p>
      <w:pPr>
        <w:pStyle w:val="265"/>
        <w:ind w:firstLine="1200" w:firstLineChars="5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Ci</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采用估算模型计算出的第i个污染物的最大1h地面空气质量浓度，</w:t>
      </w:r>
      <w:r>
        <w:rPr>
          <w:rFonts w:hint="default" w:ascii="Times New Roman" w:hAnsi="Times New Roman" w:eastAsia="宋体" w:cs="Times New Roman"/>
          <w:color w:val="auto"/>
          <w:sz w:val="24"/>
          <w:lang w:val="en-US" w:eastAsia="zh-CN"/>
        </w:rPr>
        <w:t>μ</w:t>
      </w:r>
      <w:r>
        <w:rPr>
          <w:rFonts w:hint="eastAsia" w:ascii="Times New Roman" w:hAnsi="Times New Roman" w:eastAsia="宋体" w:cs="Times New Roman"/>
          <w:color w:val="auto"/>
          <w:sz w:val="24"/>
          <w:lang w:val="en-US" w:eastAsia="zh-CN"/>
        </w:rPr>
        <w:t>g/m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w:t>
      </w:r>
    </w:p>
    <w:p>
      <w:pPr>
        <w:pStyle w:val="265"/>
        <w:ind w:firstLine="1200" w:firstLineChars="5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C</w:t>
      </w:r>
      <w:r>
        <w:rPr>
          <w:rFonts w:hint="eastAsia" w:ascii="Times New Roman" w:hAnsi="Times New Roman" w:eastAsia="宋体" w:cs="Times New Roman"/>
          <w:color w:val="auto"/>
          <w:sz w:val="24"/>
          <w:vertAlign w:val="subscript"/>
          <w:lang w:val="en-US" w:eastAsia="zh-CN"/>
        </w:rPr>
        <w:t>0i</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第i个污染物的环境空气质量浓度标准，</w:t>
      </w:r>
      <w:r>
        <w:rPr>
          <w:rFonts w:hint="default" w:ascii="Times New Roman" w:hAnsi="Times New Roman" w:eastAsia="宋体" w:cs="Times New Roman"/>
          <w:color w:val="auto"/>
          <w:sz w:val="24"/>
          <w:lang w:val="en-US" w:eastAsia="zh-CN"/>
        </w:rPr>
        <w:t>μ</w:t>
      </w:r>
      <w:r>
        <w:rPr>
          <w:rFonts w:hint="eastAsia" w:ascii="Times New Roman" w:hAnsi="Times New Roman" w:eastAsia="宋体" w:cs="Times New Roman"/>
          <w:color w:val="auto"/>
          <w:sz w:val="24"/>
          <w:lang w:val="en-US" w:eastAsia="zh-CN"/>
        </w:rPr>
        <w:t>g/m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w:t>
      </w:r>
    </w:p>
    <w:p>
      <w:pPr>
        <w:pStyle w:val="265"/>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2、评价等级判别表</w:t>
      </w:r>
    </w:p>
    <w:p>
      <w:pPr>
        <w:pStyle w:val="265"/>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评价等级按下表的分级判据进行划分</w:t>
      </w:r>
    </w:p>
    <w:p>
      <w:pPr>
        <w:pStyle w:val="206"/>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表</w:t>
      </w:r>
      <w:r>
        <w:rPr>
          <w:rFonts w:hint="eastAsia" w:ascii="Times New Roman" w:hAnsi="Times New Roman" w:eastAsia="宋体" w:cs="Times New Roman"/>
          <w:b/>
          <w:bCs w:val="0"/>
          <w:color w:val="auto"/>
          <w:kern w:val="2"/>
          <w:sz w:val="21"/>
          <w:szCs w:val="21"/>
          <w:lang w:val="en-US" w:eastAsia="zh-CN" w:bidi="ar-SA"/>
        </w:rPr>
        <w:t>5.2</w:t>
      </w:r>
      <w:r>
        <w:rPr>
          <w:rFonts w:hint="default" w:ascii="Times New Roman" w:hAnsi="Times New Roman" w:eastAsia="宋体" w:cs="Times New Roman"/>
          <w:b/>
          <w:bCs w:val="0"/>
          <w:color w:val="auto"/>
          <w:kern w:val="2"/>
          <w:sz w:val="21"/>
          <w:szCs w:val="21"/>
          <w:lang w:val="en-US" w:eastAsia="zh-CN" w:bidi="ar-SA"/>
        </w:rPr>
        <w:t>-</w:t>
      </w:r>
      <w:r>
        <w:rPr>
          <w:rFonts w:hint="eastAsia" w:ascii="Times New Roman" w:hAnsi="Times New Roman" w:eastAsia="宋体" w:cs="Times New Roman"/>
          <w:b/>
          <w:bCs w:val="0"/>
          <w:color w:val="auto"/>
          <w:kern w:val="2"/>
          <w:sz w:val="21"/>
          <w:szCs w:val="21"/>
          <w:lang w:val="en-US" w:eastAsia="zh-CN" w:bidi="ar-SA"/>
        </w:rPr>
        <w:t xml:space="preserve">16 </w:t>
      </w:r>
      <w:r>
        <w:rPr>
          <w:rFonts w:hint="default" w:ascii="Times New Roman" w:hAnsi="Times New Roman" w:eastAsia="宋体" w:cs="Times New Roman"/>
          <w:b/>
          <w:bCs w:val="0"/>
          <w:color w:val="auto"/>
          <w:kern w:val="2"/>
          <w:sz w:val="21"/>
          <w:szCs w:val="21"/>
          <w:lang w:val="en-US" w:eastAsia="zh-CN" w:bidi="ar-SA"/>
        </w:rPr>
        <w:t>评价等级判别表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00"/>
        <w:gridCol w:w="4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评价工作等级</w:t>
            </w:r>
          </w:p>
        </w:tc>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评价工作等级判据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一级</w:t>
            </w:r>
          </w:p>
        </w:tc>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Pmax≥10%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二级</w:t>
            </w:r>
          </w:p>
        </w:tc>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1%≤Pmax</w:t>
            </w:r>
            <w:r>
              <w:rPr>
                <w:rFonts w:hint="eastAsia" w:cs="Times New Roman"/>
                <w:color w:val="auto"/>
                <w:sz w:val="21"/>
                <w:szCs w:val="21"/>
                <w:vertAlign w:val="baseline"/>
                <w:lang w:val="en-US" w:eastAsia="zh-CN"/>
              </w:rPr>
              <w:t>&lt;</w:t>
            </w:r>
            <w:r>
              <w:rPr>
                <w:rFonts w:hint="default" w:ascii="Times New Roman" w:hAnsi="Times New Roman" w:cs="Times New Roman"/>
                <w:color w:val="auto"/>
                <w:sz w:val="21"/>
                <w:szCs w:val="21"/>
                <w:vertAlign w:val="baseline"/>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三级</w:t>
            </w:r>
          </w:p>
        </w:tc>
        <w:tc>
          <w:tcPr>
            <w:tcW w:w="2500"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lang w:val="en-US" w:eastAsia="zh-CN"/>
              </w:rPr>
              <w:t>Pmax</w:t>
            </w:r>
            <w:r>
              <w:rPr>
                <w:rFonts w:hint="eastAsia" w:cs="Times New Roman"/>
                <w:color w:val="auto"/>
                <w:sz w:val="21"/>
                <w:szCs w:val="21"/>
                <w:vertAlign w:val="baseline"/>
                <w:lang w:val="en-US" w:eastAsia="zh-CN"/>
              </w:rPr>
              <w:t>&lt;</w:t>
            </w:r>
            <w:r>
              <w:rPr>
                <w:rFonts w:hint="default" w:ascii="Times New Roman" w:hAnsi="Times New Roman" w:cs="Times New Roman"/>
                <w:color w:val="auto"/>
                <w:sz w:val="21"/>
                <w:szCs w:val="21"/>
                <w:vertAlign w:val="baseline"/>
                <w:lang w:val="en-US" w:eastAsia="zh-CN"/>
              </w:rPr>
              <w:t>1%</w:t>
            </w:r>
          </w:p>
        </w:tc>
      </w:tr>
    </w:tbl>
    <w:p>
      <w:pPr>
        <w:pStyle w:val="265"/>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3、评价因子和评价标准</w:t>
      </w:r>
    </w:p>
    <w:p>
      <w:pPr>
        <w:pStyle w:val="265"/>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污染物评价标准和来源见下表。</w:t>
      </w:r>
    </w:p>
    <w:p>
      <w:pPr>
        <w:pStyle w:val="206"/>
        <w:bidi w:val="0"/>
        <w:rPr>
          <w:rFonts w:hint="eastAsia" w:ascii="Times New Roman" w:hAnsi="Times New Roman" w:eastAsia="宋体" w:cs="Times New Roman"/>
          <w:b/>
          <w:bCs w:val="0"/>
          <w:color w:val="auto"/>
          <w:kern w:val="2"/>
          <w:sz w:val="21"/>
          <w:szCs w:val="21"/>
          <w:lang w:val="en-US" w:eastAsia="zh-CN" w:bidi="ar-SA"/>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-17</w:t>
      </w:r>
      <w:r>
        <w:rPr>
          <w:rFonts w:hint="eastAsia" w:ascii="Times New Roman" w:hAnsi="Times New Roman" w:eastAsia="宋体" w:cs="Times New Roman"/>
          <w:b/>
          <w:bCs w:val="0"/>
          <w:color w:val="auto"/>
          <w:kern w:val="2"/>
          <w:sz w:val="21"/>
          <w:szCs w:val="21"/>
          <w:lang w:val="en-US" w:eastAsia="zh-CN" w:bidi="ar-SA"/>
        </w:rPr>
        <w:t xml:space="preserve"> 项目预测因子和评价标准一览表</w:t>
      </w:r>
    </w:p>
    <w:tbl>
      <w:tblPr>
        <w:tblStyle w:val="5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8"/>
        <w:gridCol w:w="956"/>
        <w:gridCol w:w="1320"/>
        <w:gridCol w:w="1912"/>
        <w:gridCol w:w="371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b w:val="0"/>
                <w:bCs w:val="0"/>
                <w:color w:val="auto"/>
                <w:sz w:val="21"/>
                <w:szCs w:val="21"/>
                <w:lang w:val="en-US" w:eastAsia="zh-CN"/>
              </w:rPr>
              <w:t>污染</w:t>
            </w:r>
            <w:r>
              <w:rPr>
                <w:rFonts w:hint="eastAsia" w:ascii="Times New Roman" w:hAnsi="Times New Roman" w:eastAsia="宋体"/>
                <w:b w:val="0"/>
                <w:bCs w:val="0"/>
                <w:color w:val="auto"/>
                <w:sz w:val="21"/>
                <w:szCs w:val="21"/>
                <w:lang w:val="en-US" w:eastAsia="zh-CN"/>
              </w:rPr>
              <w:t>因子</w:t>
            </w:r>
          </w:p>
        </w:tc>
        <w:tc>
          <w:tcPr>
            <w:tcW w:w="531"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功能区</w:t>
            </w:r>
          </w:p>
        </w:tc>
        <w:tc>
          <w:tcPr>
            <w:tcW w:w="733"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评价时段</w:t>
            </w:r>
          </w:p>
        </w:tc>
        <w:tc>
          <w:tcPr>
            <w:tcW w:w="1062"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标准值</w:t>
            </w:r>
            <w:r>
              <w:rPr>
                <w:rFonts w:hint="default" w:ascii="Times New Roman" w:hAnsi="Times New Roman" w:eastAsia="宋体"/>
                <w:b w:val="0"/>
                <w:bCs w:val="0"/>
                <w:color w:val="auto"/>
                <w:sz w:val="21"/>
                <w:szCs w:val="21"/>
                <w:lang w:val="en-US" w:eastAsia="zh-CN"/>
              </w:rPr>
              <w:t>（µg/m</w:t>
            </w:r>
            <w:r>
              <w:rPr>
                <w:rFonts w:hint="eastAsia" w:ascii="Times New Roman" w:hAnsi="Times New Roman"/>
                <w:b w:val="0"/>
                <w:bCs w:val="0"/>
                <w:color w:val="auto"/>
                <w:sz w:val="21"/>
                <w:szCs w:val="21"/>
                <w:vertAlign w:val="superscript"/>
                <w:lang w:val="en-US" w:eastAsia="zh-CN"/>
              </w:rPr>
              <w:t>3</w:t>
            </w:r>
            <w:r>
              <w:rPr>
                <w:rFonts w:hint="default" w:ascii="Times New Roman" w:hAnsi="Times New Roman" w:eastAsia="宋体"/>
                <w:b w:val="0"/>
                <w:bCs w:val="0"/>
                <w:color w:val="auto"/>
                <w:sz w:val="21"/>
                <w:szCs w:val="21"/>
                <w:lang w:val="en-US" w:eastAsia="zh-CN"/>
              </w:rPr>
              <w:t>）</w:t>
            </w:r>
          </w:p>
        </w:tc>
        <w:tc>
          <w:tcPr>
            <w:tcW w:w="2062"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3</w:t>
            </w:r>
          </w:p>
        </w:tc>
        <w:tc>
          <w:tcPr>
            <w:tcW w:w="531"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ascii="Times New Roman" w:hAnsi="Times New Roman"/>
                <w:b w:val="0"/>
                <w:bCs w:val="0"/>
                <w:color w:val="auto"/>
                <w:sz w:val="21"/>
                <w:szCs w:val="21"/>
                <w:lang w:val="en-US" w:eastAsia="zh-CN"/>
              </w:rPr>
              <w:t>二类</w:t>
            </w:r>
          </w:p>
        </w:tc>
        <w:tc>
          <w:tcPr>
            <w:tcW w:w="733"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1h平均浓度</w:t>
            </w:r>
          </w:p>
        </w:tc>
        <w:tc>
          <w:tcPr>
            <w:tcW w:w="1062"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b w:val="0"/>
                <w:bCs w:val="0"/>
                <w:color w:val="auto"/>
                <w:sz w:val="21"/>
                <w:szCs w:val="21"/>
                <w:lang w:val="en-US" w:eastAsia="zh-CN"/>
              </w:rPr>
              <w:t>200</w:t>
            </w:r>
          </w:p>
        </w:tc>
        <w:tc>
          <w:tcPr>
            <w:tcW w:w="2062" w:type="pct"/>
            <w:vMerge w:val="restar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b w:val="0"/>
                <w:bCs w:val="0"/>
                <w:color w:val="auto"/>
                <w:sz w:val="21"/>
                <w:szCs w:val="21"/>
                <w:lang w:val="en-US" w:eastAsia="zh-CN"/>
              </w:rPr>
              <w:t>参照《环境影响评价技术导则大气环境》（HJ2.2-2018）附录D</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ascii="Times New Roman" w:hAnsi="Times New Roman" w:eastAsia="宋体"/>
                <w:b w:val="0"/>
                <w:bCs w:val="0"/>
                <w:color w:val="auto"/>
                <w:sz w:val="21"/>
                <w:szCs w:val="21"/>
                <w:lang w:val="en-US" w:eastAsia="zh-CN"/>
              </w:rPr>
            </w:pPr>
            <w:r>
              <w:rPr>
                <w:rFonts w:hint="eastAsia"/>
                <w:b w:val="0"/>
                <w:bCs w:val="0"/>
                <w:color w:val="auto"/>
                <w:sz w:val="21"/>
                <w:szCs w:val="21"/>
                <w:lang w:val="en-US" w:eastAsia="zh-CN"/>
              </w:rPr>
              <w:t>H</w:t>
            </w:r>
            <w:r>
              <w:rPr>
                <w:rFonts w:hint="eastAsia"/>
                <w:b w:val="0"/>
                <w:bCs w:val="0"/>
                <w:color w:val="auto"/>
                <w:sz w:val="21"/>
                <w:szCs w:val="21"/>
                <w:vertAlign w:val="subscript"/>
                <w:lang w:val="en-US" w:eastAsia="zh-CN"/>
              </w:rPr>
              <w:t>2</w:t>
            </w:r>
            <w:r>
              <w:rPr>
                <w:rFonts w:hint="eastAsia"/>
                <w:b w:val="0"/>
                <w:bCs w:val="0"/>
                <w:color w:val="auto"/>
                <w:sz w:val="21"/>
                <w:szCs w:val="21"/>
                <w:lang w:val="en-US" w:eastAsia="zh-CN"/>
              </w:rPr>
              <w:t>S</w:t>
            </w:r>
          </w:p>
        </w:tc>
        <w:tc>
          <w:tcPr>
            <w:tcW w:w="531"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二类</w:t>
            </w:r>
          </w:p>
        </w:tc>
        <w:tc>
          <w:tcPr>
            <w:tcW w:w="733"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1h平均浓度</w:t>
            </w:r>
          </w:p>
        </w:tc>
        <w:tc>
          <w:tcPr>
            <w:tcW w:w="1062" w:type="pct"/>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10</w:t>
            </w:r>
          </w:p>
        </w:tc>
        <w:tc>
          <w:tcPr>
            <w:tcW w:w="2062" w:type="pct"/>
            <w:vMerge w:val="continue"/>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outlineLvl w:val="9"/>
              <w:rPr>
                <w:rFonts w:hint="eastAsia"/>
                <w:b w:val="0"/>
                <w:bCs w:val="0"/>
                <w:color w:val="auto"/>
                <w:sz w:val="21"/>
                <w:szCs w:val="21"/>
                <w:lang w:val="en-US" w:eastAsia="zh-CN"/>
              </w:rPr>
            </w:pPr>
          </w:p>
        </w:tc>
      </w:tr>
    </w:tbl>
    <w:p>
      <w:pPr>
        <w:topLinePunct/>
        <w:spacing w:line="360" w:lineRule="auto"/>
        <w:jc w:val="left"/>
        <w:rPr>
          <w:rFonts w:hint="eastAsia"/>
          <w:b/>
          <w:bCs w:val="0"/>
          <w:color w:val="auto"/>
          <w:sz w:val="24"/>
          <w:lang w:val="en-US" w:eastAsia="zh-CN"/>
        </w:rPr>
      </w:pPr>
      <w:r>
        <w:rPr>
          <w:rFonts w:hint="eastAsia"/>
          <w:b/>
          <w:bCs w:val="0"/>
          <w:color w:val="auto"/>
          <w:sz w:val="24"/>
          <w:lang w:val="en-US" w:eastAsia="zh-CN"/>
        </w:rPr>
        <w:t>4、地形数据</w:t>
      </w:r>
    </w:p>
    <w:p>
      <w:pPr>
        <w:topLinePunct/>
        <w:spacing w:line="360" w:lineRule="auto"/>
        <w:jc w:val="left"/>
        <w:rPr>
          <w:rFonts w:hint="eastAsia"/>
          <w:b w:val="0"/>
          <w:bCs/>
          <w:color w:val="auto"/>
          <w:sz w:val="24"/>
          <w:lang w:val="en-US" w:eastAsia="zh-CN"/>
        </w:rPr>
      </w:pPr>
      <w:r>
        <w:rPr>
          <w:rFonts w:hint="eastAsia"/>
          <w:b w:val="0"/>
          <w:bCs/>
          <w:color w:val="auto"/>
          <w:sz w:val="24"/>
          <w:lang w:val="en-US" w:eastAsia="zh-CN"/>
        </w:rPr>
        <w:t>根据《环境影响评价技术导则—大气环境》（HJ2.2-2018），编制报告书的项目，估算模式应输入地形数据，本次评价输入的地形数据类型为DEM。</w:t>
      </w:r>
    </w:p>
    <w:p>
      <w:pPr>
        <w:pStyle w:val="339"/>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9"/>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color w:val="auto"/>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 xml:space="preserve">7 </w:t>
      </w:r>
      <w:r>
        <w:rPr>
          <w:color w:val="auto"/>
        </w:rPr>
        <w:t>项目</w:t>
      </w:r>
      <w:r>
        <w:rPr>
          <w:rFonts w:hint="eastAsia"/>
          <w:color w:val="auto"/>
        </w:rPr>
        <w:t>所在</w:t>
      </w:r>
      <w:r>
        <w:rPr>
          <w:color w:val="auto"/>
        </w:rPr>
        <w:t>区域地形</w:t>
      </w:r>
      <w:r>
        <w:rPr>
          <w:rFonts w:hint="eastAsia"/>
          <w:color w:val="auto"/>
        </w:rPr>
        <w:t>示意</w:t>
      </w:r>
      <w:r>
        <w:rPr>
          <w:color w:val="auto"/>
        </w:rPr>
        <w:t>图</w:t>
      </w:r>
    </w:p>
    <w:p>
      <w:pPr>
        <w:topLinePunct/>
        <w:spacing w:line="360" w:lineRule="auto"/>
        <w:jc w:val="left"/>
        <w:rPr>
          <w:rFonts w:hint="eastAsia"/>
          <w:b/>
          <w:bCs w:val="0"/>
          <w:color w:val="auto"/>
          <w:sz w:val="24"/>
          <w:lang w:val="en-US" w:eastAsia="zh-CN"/>
        </w:rPr>
      </w:pPr>
      <w:r>
        <w:rPr>
          <w:rFonts w:hint="eastAsia"/>
          <w:b/>
          <w:bCs w:val="0"/>
          <w:color w:val="auto"/>
          <w:sz w:val="24"/>
          <w:lang w:val="en-US" w:eastAsia="zh-CN"/>
        </w:rPr>
        <w:t>5、估算模型参数</w:t>
      </w:r>
    </w:p>
    <w:p>
      <w:pPr>
        <w:topLinePunct/>
        <w:spacing w:line="360" w:lineRule="auto"/>
        <w:jc w:val="left"/>
        <w:rPr>
          <w:rFonts w:hint="eastAsia"/>
          <w:b w:val="0"/>
          <w:bCs/>
          <w:color w:val="auto"/>
          <w:sz w:val="24"/>
          <w:lang w:val="en-US" w:eastAsia="zh-CN"/>
        </w:rPr>
      </w:pPr>
      <w:r>
        <w:rPr>
          <w:rFonts w:hint="eastAsia"/>
          <w:b w:val="0"/>
          <w:bCs/>
          <w:color w:val="auto"/>
          <w:sz w:val="24"/>
          <w:lang w:val="en-US" w:eastAsia="zh-CN"/>
        </w:rPr>
        <w:t>估算模式所用参数见下表。</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-18</w:t>
      </w:r>
      <w:r>
        <w:rPr>
          <w:rFonts w:hint="default" w:ascii="Times New Roman" w:hAnsi="Times New Roman" w:eastAsia="宋体" w:cs="Times New Roman"/>
          <w:b/>
          <w:bCs w:val="0"/>
          <w:color w:val="auto"/>
          <w:sz w:val="21"/>
          <w:szCs w:val="21"/>
          <w:lang w:val="en-US" w:eastAsia="zh-CN"/>
        </w:rPr>
        <w:t xml:space="preserve"> 估算模型参数表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48"/>
        <w:gridCol w:w="2252"/>
        <w:gridCol w:w="4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参数</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取值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城市/农村选项</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城市/农村</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农村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人口数</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最高环境温度/℃</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最低环境温度/℃</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土地利用类型</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农作物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gridSpan w:val="2"/>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区域湿度条件</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半</w:t>
            </w:r>
            <w:r>
              <w:rPr>
                <w:rFonts w:hint="default" w:ascii="Times New Roman" w:hAnsi="Times New Roman" w:eastAsia="宋体" w:cs="Times New Roman"/>
                <w:color w:val="auto"/>
                <w:sz w:val="21"/>
                <w:szCs w:val="21"/>
                <w:vertAlign w:val="baseline"/>
                <w:lang w:val="en-US" w:eastAsia="zh-CN"/>
              </w:rPr>
              <w:t>湿润区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是否考虑地形</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考虑地形</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sym w:font="Wingdings 2" w:char="0052"/>
            </w:r>
            <w:r>
              <w:rPr>
                <w:rFonts w:hint="default" w:ascii="Times New Roman" w:hAnsi="Times New Roman" w:eastAsia="宋体" w:cs="Times New Roman"/>
                <w:color w:val="auto"/>
                <w:sz w:val="21"/>
                <w:szCs w:val="21"/>
                <w:vertAlign w:val="baseline"/>
                <w:lang w:val="en-US" w:eastAsia="zh-CN"/>
              </w:rPr>
              <w:t xml:space="preserve">是 </w:t>
            </w:r>
            <w:r>
              <w:rPr>
                <w:rFonts w:hint="default" w:ascii="Times New Roman" w:hAnsi="Times New Roman" w:eastAsia="宋体" w:cs="Times New Roman"/>
                <w:color w:val="auto"/>
                <w:sz w:val="21"/>
                <w:szCs w:val="21"/>
                <w:vertAlign w:val="baseline"/>
                <w:lang w:val="en-US" w:eastAsia="zh-CN"/>
              </w:rPr>
              <w:sym w:font="Wingdings 2" w:char="00A3"/>
            </w:r>
            <w:r>
              <w:rPr>
                <w:rFonts w:hint="default" w:ascii="Times New Roman" w:hAnsi="Times New Roman" w:eastAsia="宋体" w:cs="Times New Roman"/>
                <w:color w:val="auto"/>
                <w:sz w:val="21"/>
                <w:szCs w:val="21"/>
                <w:vertAlign w:val="baseline"/>
                <w:lang w:val="en-US" w:eastAsia="zh-CN"/>
              </w:rPr>
              <w:t xml:space="preserve"> 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地形数据分辨率/m</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249"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是否考虑岸线熏烟</w:t>
            </w: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考虑岸线熏烟</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sym w:font="Wingdings 2" w:char="00A3"/>
            </w:r>
            <w:r>
              <w:rPr>
                <w:rFonts w:hint="default" w:ascii="Times New Roman" w:hAnsi="Times New Roman" w:eastAsia="宋体" w:cs="Times New Roman"/>
                <w:color w:val="auto"/>
                <w:sz w:val="21"/>
                <w:szCs w:val="21"/>
                <w:vertAlign w:val="baseline"/>
                <w:lang w:val="en-US" w:eastAsia="zh-CN"/>
              </w:rPr>
              <w:t xml:space="preserve">是 </w:t>
            </w:r>
            <w:r>
              <w:rPr>
                <w:rFonts w:hint="default" w:ascii="Times New Roman" w:hAnsi="Times New Roman" w:eastAsia="宋体" w:cs="Times New Roman"/>
                <w:color w:val="auto"/>
                <w:sz w:val="21"/>
                <w:szCs w:val="21"/>
                <w:vertAlign w:val="baseline"/>
                <w:lang w:val="en-US" w:eastAsia="zh-CN"/>
              </w:rPr>
              <w:sym w:font="Wingdings 2" w:char="0052"/>
            </w:r>
            <w:r>
              <w:rPr>
                <w:rFonts w:hint="default" w:ascii="Times New Roman" w:hAnsi="Times New Roman" w:eastAsia="宋体" w:cs="Times New Roman"/>
                <w:color w:val="auto"/>
                <w:sz w:val="21"/>
                <w:szCs w:val="21"/>
                <w:vertAlign w:val="baseline"/>
                <w:lang w:val="en-US" w:eastAsia="zh-CN"/>
              </w:rPr>
              <w:t xml:space="preserve"> 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岸线距离/km</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25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岸线方向</w:t>
            </w:r>
          </w:p>
        </w:tc>
        <w:tc>
          <w:tcPr>
            <w:tcW w:w="250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before="0" w:after="0" w:line="0" w:lineRule="atLeas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bl>
    <w:p>
      <w:pPr>
        <w:pStyle w:val="265"/>
        <w:rPr>
          <w:rFonts w:hint="eastAsia"/>
          <w:b/>
          <w:bCs w:val="0"/>
          <w:color w:val="auto"/>
          <w:sz w:val="24"/>
          <w:lang w:val="en-US" w:eastAsia="zh-CN"/>
        </w:rPr>
      </w:pPr>
      <w:r>
        <w:rPr>
          <w:rFonts w:hint="eastAsia"/>
          <w:b/>
          <w:bCs w:val="0"/>
          <w:color w:val="auto"/>
          <w:sz w:val="24"/>
          <w:lang w:val="en-US" w:eastAsia="zh-CN"/>
        </w:rPr>
        <w:t>6、污染源参数</w:t>
      </w:r>
    </w:p>
    <w:p>
      <w:pPr>
        <w:pStyle w:val="265"/>
        <w:rPr>
          <w:rFonts w:hint="eastAsia"/>
          <w:color w:val="auto"/>
        </w:rPr>
      </w:pPr>
      <w:r>
        <w:rPr>
          <w:rFonts w:hint="eastAsia"/>
          <w:b w:val="0"/>
          <w:bCs/>
          <w:color w:val="auto"/>
          <w:sz w:val="24"/>
          <w:lang w:val="en-US" w:eastAsia="zh-CN"/>
        </w:rPr>
        <w:t>主要废气污染源排放参数见下表：</w:t>
      </w:r>
    </w:p>
    <w:p>
      <w:pPr>
        <w:pStyle w:val="166"/>
        <w:spacing w:before="120" w:beforeLines="0"/>
        <w:rPr>
          <w:color w:val="auto"/>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-19</w:t>
      </w:r>
      <w:r>
        <w:rPr>
          <w:rFonts w:hint="eastAsia" w:eastAsia="宋体"/>
          <w:color w:val="auto"/>
          <w:lang w:val="en-US" w:eastAsia="zh-CN"/>
        </w:rPr>
        <w:t xml:space="preserve"> </w:t>
      </w:r>
      <w:r>
        <w:rPr>
          <w:rFonts w:hint="eastAsia"/>
          <w:color w:val="auto"/>
        </w:rPr>
        <w:t>本项目正常工况下面源参数调查清单</w:t>
      </w:r>
    </w:p>
    <w:tbl>
      <w:tblPr>
        <w:tblStyle w:val="51"/>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39"/>
        <w:gridCol w:w="506"/>
        <w:gridCol w:w="1323"/>
        <w:gridCol w:w="1218"/>
        <w:gridCol w:w="532"/>
        <w:gridCol w:w="490"/>
        <w:gridCol w:w="515"/>
        <w:gridCol w:w="604"/>
        <w:gridCol w:w="592"/>
        <w:gridCol w:w="581"/>
        <w:gridCol w:w="330"/>
        <w:gridCol w:w="1034"/>
        <w:gridCol w:w="8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18" w:hRule="atLeast"/>
          <w:jc w:val="center"/>
        </w:trPr>
        <w:tc>
          <w:tcPr>
            <w:tcW w:w="138"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编号</w:t>
            </w:r>
          </w:p>
        </w:tc>
        <w:tc>
          <w:tcPr>
            <w:tcW w:w="290"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名称</w:t>
            </w:r>
          </w:p>
        </w:tc>
        <w:tc>
          <w:tcPr>
            <w:tcW w:w="1449" w:type="pct"/>
            <w:gridSpan w:val="2"/>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面源中心点坐标/m</w:t>
            </w:r>
          </w:p>
        </w:tc>
        <w:tc>
          <w:tcPr>
            <w:tcW w:w="306"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面源海拔高度/m</w:t>
            </w:r>
          </w:p>
        </w:tc>
        <w:tc>
          <w:tcPr>
            <w:tcW w:w="281"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面源长度/m</w:t>
            </w:r>
          </w:p>
        </w:tc>
        <w:tc>
          <w:tcPr>
            <w:tcW w:w="295"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面源宽度/m</w:t>
            </w:r>
          </w:p>
        </w:tc>
        <w:tc>
          <w:tcPr>
            <w:tcW w:w="346"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与正北方向夹角/°</w:t>
            </w:r>
          </w:p>
        </w:tc>
        <w:tc>
          <w:tcPr>
            <w:tcW w:w="339"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 xml:space="preserve">面源初始排放高度/m </w:t>
            </w:r>
          </w:p>
        </w:tc>
        <w:tc>
          <w:tcPr>
            <w:tcW w:w="333"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 xml:space="preserve">年排放小时数/h </w:t>
            </w:r>
          </w:p>
        </w:tc>
        <w:tc>
          <w:tcPr>
            <w:tcW w:w="190" w:type="pct"/>
            <w:vMerge w:val="restart"/>
            <w:tcBorders>
              <w:tl2br w:val="nil"/>
              <w:tr2bl w:val="nil"/>
            </w:tcBorders>
            <w:noWrap w:val="0"/>
            <w:vAlign w:val="center"/>
          </w:tcPr>
          <w:p>
            <w:pPr>
              <w:pStyle w:val="332"/>
              <w:kinsoku w:val="0"/>
              <w:overflowPunct w:val="0"/>
              <w:ind w:right="1"/>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排放工况</w:t>
            </w:r>
          </w:p>
        </w:tc>
        <w:tc>
          <w:tcPr>
            <w:tcW w:w="1029" w:type="pct"/>
            <w:gridSpan w:val="2"/>
            <w:tcBorders>
              <w:tl2br w:val="nil"/>
              <w:tr2bl w:val="nil"/>
            </w:tcBorders>
            <w:noWrap w:val="0"/>
            <w:vAlign w:val="center"/>
          </w:tcPr>
          <w:p>
            <w:pPr>
              <w:pStyle w:val="332"/>
              <w:kinsoku w:val="0"/>
              <w:overflowPunct w:val="0"/>
              <w:ind w:right="11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污染物排放速率kg/h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38"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position w:val="2"/>
                <w:sz w:val="21"/>
                <w:szCs w:val="21"/>
              </w:rPr>
            </w:pPr>
          </w:p>
        </w:tc>
        <w:tc>
          <w:tcPr>
            <w:tcW w:w="290"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position w:val="2"/>
                <w:sz w:val="21"/>
                <w:szCs w:val="21"/>
              </w:rPr>
            </w:pPr>
          </w:p>
        </w:tc>
        <w:tc>
          <w:tcPr>
            <w:tcW w:w="753" w:type="pct"/>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X</w:t>
            </w:r>
          </w:p>
        </w:tc>
        <w:tc>
          <w:tcPr>
            <w:tcW w:w="695" w:type="pct"/>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position w:val="2"/>
                <w:sz w:val="21"/>
                <w:szCs w:val="21"/>
              </w:rPr>
            </w:pPr>
            <w:r>
              <w:rPr>
                <w:rFonts w:hint="default" w:ascii="Times New Roman" w:hAnsi="Times New Roman" w:cs="Times New Roman"/>
                <w:b w:val="0"/>
                <w:bCs w:val="0"/>
                <w:color w:val="auto"/>
                <w:position w:val="2"/>
                <w:sz w:val="21"/>
                <w:szCs w:val="21"/>
              </w:rPr>
              <w:t>Y</w:t>
            </w:r>
          </w:p>
        </w:tc>
        <w:tc>
          <w:tcPr>
            <w:tcW w:w="306"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rPr>
            </w:pPr>
          </w:p>
        </w:tc>
        <w:tc>
          <w:tcPr>
            <w:tcW w:w="281"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rPr>
            </w:pPr>
          </w:p>
        </w:tc>
        <w:tc>
          <w:tcPr>
            <w:tcW w:w="295"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rPr>
            </w:pPr>
          </w:p>
        </w:tc>
        <w:tc>
          <w:tcPr>
            <w:tcW w:w="346" w:type="pct"/>
            <w:vMerge w:val="continue"/>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rPr>
            </w:pPr>
          </w:p>
        </w:tc>
        <w:tc>
          <w:tcPr>
            <w:tcW w:w="339" w:type="pct"/>
            <w:vMerge w:val="continue"/>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p>
        </w:tc>
        <w:tc>
          <w:tcPr>
            <w:tcW w:w="333" w:type="pct"/>
            <w:vMerge w:val="continue"/>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p>
        </w:tc>
        <w:tc>
          <w:tcPr>
            <w:tcW w:w="190" w:type="pct"/>
            <w:vMerge w:val="continue"/>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p>
        </w:tc>
        <w:tc>
          <w:tcPr>
            <w:tcW w:w="590"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position w:val="2"/>
                <w:sz w:val="21"/>
                <w:szCs w:val="21"/>
              </w:rPr>
              <w:t>NH</w:t>
            </w:r>
            <w:r>
              <w:rPr>
                <w:rFonts w:hint="default" w:ascii="Times New Roman" w:hAnsi="Times New Roman" w:cs="Times New Roman"/>
                <w:b w:val="0"/>
                <w:bCs w:val="0"/>
                <w:color w:val="auto"/>
                <w:position w:val="2"/>
                <w:sz w:val="21"/>
                <w:szCs w:val="21"/>
                <w:vertAlign w:val="subscript"/>
              </w:rPr>
              <w:t>3</w:t>
            </w:r>
          </w:p>
        </w:tc>
        <w:tc>
          <w:tcPr>
            <w:tcW w:w="439"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position w:val="2"/>
                <w:sz w:val="21"/>
                <w:szCs w:val="21"/>
              </w:rPr>
              <w:t>H</w:t>
            </w:r>
            <w:r>
              <w:rPr>
                <w:rFonts w:hint="default" w:ascii="Times New Roman" w:hAnsi="Times New Roman" w:cs="Times New Roman"/>
                <w:b w:val="0"/>
                <w:bCs w:val="0"/>
                <w:color w:val="auto"/>
                <w:position w:val="2"/>
                <w:sz w:val="21"/>
                <w:szCs w:val="21"/>
                <w:vertAlign w:val="subscript"/>
              </w:rPr>
              <w:t>2</w:t>
            </w:r>
            <w:r>
              <w:rPr>
                <w:rFonts w:hint="default" w:ascii="Times New Roman" w:hAnsi="Times New Roman" w:cs="Times New Roman"/>
                <w:b w:val="0"/>
                <w:bCs w:val="0"/>
                <w:color w:val="auto"/>
                <w:position w:val="2"/>
                <w:sz w:val="21"/>
                <w:szCs w:val="21"/>
              </w:rPr>
              <w:t>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14" w:hRule="atLeast"/>
          <w:jc w:val="center"/>
        </w:trPr>
        <w:tc>
          <w:tcPr>
            <w:tcW w:w="138" w:type="pct"/>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w w:val="99"/>
                <w:sz w:val="21"/>
                <w:szCs w:val="21"/>
              </w:rPr>
            </w:pPr>
            <w:r>
              <w:rPr>
                <w:rFonts w:hint="default" w:ascii="Times New Roman" w:hAnsi="Times New Roman" w:cs="Times New Roman"/>
                <w:b w:val="0"/>
                <w:bCs w:val="0"/>
                <w:color w:val="auto"/>
                <w:position w:val="2"/>
                <w:sz w:val="21"/>
                <w:szCs w:val="21"/>
              </w:rPr>
              <w:t>1</w:t>
            </w:r>
          </w:p>
        </w:tc>
        <w:tc>
          <w:tcPr>
            <w:tcW w:w="290" w:type="pct"/>
            <w:tcBorders>
              <w:tl2br w:val="nil"/>
              <w:tr2bl w:val="nil"/>
            </w:tcBorders>
            <w:noWrap w:val="0"/>
            <w:vAlign w:val="center"/>
          </w:tcPr>
          <w:p>
            <w:pPr>
              <w:pStyle w:val="332"/>
              <w:kinsoku w:val="0"/>
              <w:overflowPunct w:val="0"/>
              <w:jc w:val="center"/>
              <w:rPr>
                <w:rFonts w:hint="eastAsia" w:ascii="Times New Roman" w:hAnsi="Times New Roman" w:eastAsia="宋体" w:cs="Times New Roman"/>
                <w:b w:val="0"/>
                <w:bCs w:val="0"/>
                <w:color w:val="auto"/>
                <w:w w:val="99"/>
                <w:sz w:val="21"/>
                <w:szCs w:val="21"/>
                <w:lang w:eastAsia="zh-CN"/>
              </w:rPr>
            </w:pPr>
            <w:r>
              <w:rPr>
                <w:color w:val="auto"/>
                <w:sz w:val="20"/>
                <w:szCs w:val="20"/>
              </w:rPr>
              <w:t>生产养殖区</w:t>
            </w:r>
          </w:p>
        </w:tc>
        <w:tc>
          <w:tcPr>
            <w:tcW w:w="753" w:type="pct"/>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position w:val="2"/>
                <w:sz w:val="21"/>
                <w:szCs w:val="21"/>
                <w:lang w:val="en-US" w:eastAsia="zh-CN"/>
              </w:rPr>
            </w:pPr>
            <w:r>
              <w:rPr>
                <w:rFonts w:hint="default" w:ascii="Times New Roman" w:hAnsi="Times New Roman" w:cs="Times New Roman"/>
                <w:b w:val="0"/>
                <w:bCs w:val="0"/>
                <w:color w:val="auto"/>
                <w:position w:val="2"/>
                <w:sz w:val="21"/>
                <w:szCs w:val="21"/>
              </w:rPr>
              <w:t>104.</w:t>
            </w:r>
            <w:r>
              <w:rPr>
                <w:rFonts w:hint="eastAsia" w:ascii="Times New Roman" w:hAnsi="Times New Roman" w:cs="Times New Roman"/>
                <w:b w:val="0"/>
                <w:bCs w:val="0"/>
                <w:color w:val="auto"/>
                <w:position w:val="2"/>
                <w:sz w:val="21"/>
                <w:szCs w:val="21"/>
                <w:lang w:val="en-US" w:eastAsia="zh-CN"/>
              </w:rPr>
              <w:t>990212246</w:t>
            </w:r>
          </w:p>
        </w:tc>
        <w:tc>
          <w:tcPr>
            <w:tcW w:w="695" w:type="pct"/>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position w:val="2"/>
                <w:sz w:val="21"/>
                <w:szCs w:val="21"/>
                <w:lang w:val="en-US" w:eastAsia="zh-CN"/>
              </w:rPr>
            </w:pPr>
            <w:r>
              <w:rPr>
                <w:rFonts w:hint="default" w:ascii="Times New Roman" w:hAnsi="Times New Roman" w:cs="Times New Roman"/>
                <w:b w:val="0"/>
                <w:bCs w:val="0"/>
                <w:color w:val="auto"/>
                <w:position w:val="2"/>
                <w:sz w:val="21"/>
                <w:szCs w:val="21"/>
              </w:rPr>
              <w:t>31.</w:t>
            </w:r>
            <w:r>
              <w:rPr>
                <w:rFonts w:hint="eastAsia" w:ascii="Times New Roman" w:hAnsi="Times New Roman" w:cs="Times New Roman"/>
                <w:b w:val="0"/>
                <w:bCs w:val="0"/>
                <w:color w:val="auto"/>
                <w:position w:val="2"/>
                <w:sz w:val="21"/>
                <w:szCs w:val="21"/>
                <w:lang w:val="en-US" w:eastAsia="zh-CN"/>
              </w:rPr>
              <w:t>407499180</w:t>
            </w:r>
          </w:p>
        </w:tc>
        <w:tc>
          <w:tcPr>
            <w:tcW w:w="306" w:type="pct"/>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540</w:t>
            </w:r>
          </w:p>
        </w:tc>
        <w:tc>
          <w:tcPr>
            <w:tcW w:w="576" w:type="pct"/>
            <w:gridSpan w:val="2"/>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9050m</w:t>
            </w:r>
            <w:r>
              <w:rPr>
                <w:rFonts w:hint="eastAsia" w:ascii="Times New Roman" w:hAnsi="Times New Roman" w:cs="Times New Roman"/>
                <w:b w:val="0"/>
                <w:bCs w:val="0"/>
                <w:color w:val="auto"/>
                <w:sz w:val="21"/>
                <w:szCs w:val="21"/>
                <w:vertAlign w:val="superscript"/>
                <w:lang w:val="en-US" w:eastAsia="zh-CN"/>
              </w:rPr>
              <w:t>2</w:t>
            </w:r>
          </w:p>
        </w:tc>
        <w:tc>
          <w:tcPr>
            <w:tcW w:w="346" w:type="pct"/>
            <w:tcBorders>
              <w:tl2br w:val="nil"/>
              <w:tr2bl w:val="nil"/>
            </w:tcBorders>
            <w:noWrap w:val="0"/>
            <w:vAlign w:val="center"/>
          </w:tcPr>
          <w:p>
            <w:pPr>
              <w:pStyle w:val="332"/>
              <w:kinsoku w:val="0"/>
              <w:overflowPunct w:val="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c>
          <w:tcPr>
            <w:tcW w:w="339"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6</w:t>
            </w:r>
          </w:p>
        </w:tc>
        <w:tc>
          <w:tcPr>
            <w:tcW w:w="333"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8640</w:t>
            </w:r>
          </w:p>
        </w:tc>
        <w:tc>
          <w:tcPr>
            <w:tcW w:w="190"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连续</w:t>
            </w:r>
          </w:p>
        </w:tc>
        <w:tc>
          <w:tcPr>
            <w:tcW w:w="590" w:type="pct"/>
            <w:tcBorders>
              <w:tl2br w:val="nil"/>
              <w:tr2bl w:val="nil"/>
            </w:tcBorders>
            <w:noWrap w:val="0"/>
            <w:vAlign w:val="center"/>
          </w:tcPr>
          <w:p>
            <w:pPr>
              <w:pStyle w:val="332"/>
              <w:kinsoku w:val="0"/>
              <w:overflowPunct w:val="0"/>
              <w:ind w:left="2"/>
              <w:jc w:val="center"/>
              <w:rPr>
                <w:rFonts w:hint="eastAsia" w:ascii="Times New Roman" w:hAnsi="Times New Roman" w:eastAsia="宋体" w:cs="Times New Roman"/>
                <w:b w:val="0"/>
                <w:bCs w:val="0"/>
                <w:color w:val="auto"/>
                <w:position w:val="2"/>
                <w:sz w:val="21"/>
                <w:szCs w:val="21"/>
                <w:lang w:val="en-US" w:eastAsia="zh-CN"/>
              </w:rPr>
            </w:pPr>
            <w:r>
              <w:rPr>
                <w:rFonts w:hint="eastAsia" w:eastAsia="等线"/>
                <w:color w:val="auto"/>
                <w:sz w:val="21"/>
                <w:szCs w:val="21"/>
                <w:lang w:val="en-US" w:eastAsia="zh-CN"/>
              </w:rPr>
              <w:t>0.0200</w:t>
            </w:r>
          </w:p>
        </w:tc>
        <w:tc>
          <w:tcPr>
            <w:tcW w:w="439" w:type="pct"/>
            <w:tcBorders>
              <w:tl2br w:val="nil"/>
              <w:tr2bl w:val="nil"/>
            </w:tcBorders>
            <w:noWrap w:val="0"/>
            <w:vAlign w:val="center"/>
          </w:tcPr>
          <w:p>
            <w:pPr>
              <w:pStyle w:val="332"/>
              <w:kinsoku w:val="0"/>
              <w:overflowPunct w:val="0"/>
              <w:ind w:left="2"/>
              <w:jc w:val="center"/>
              <w:rPr>
                <w:rFonts w:hint="eastAsia" w:ascii="Times New Roman" w:hAnsi="Times New Roman" w:eastAsia="宋体" w:cs="Times New Roman"/>
                <w:b w:val="0"/>
                <w:bCs w:val="0"/>
                <w:color w:val="auto"/>
                <w:position w:val="2"/>
                <w:sz w:val="21"/>
                <w:szCs w:val="21"/>
                <w:lang w:val="en-US" w:eastAsia="zh-CN"/>
              </w:rPr>
            </w:pPr>
            <w:r>
              <w:rPr>
                <w:rFonts w:hint="eastAsia" w:eastAsia="等线"/>
                <w:color w:val="auto"/>
                <w:sz w:val="21"/>
                <w:szCs w:val="21"/>
                <w:lang w:val="en-US" w:eastAsia="zh-CN"/>
              </w:rPr>
              <w:t>0.0014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38" w:type="pct"/>
            <w:tcBorders>
              <w:tl2br w:val="nil"/>
              <w:tr2bl w:val="nil"/>
            </w:tcBorders>
            <w:noWrap w:val="0"/>
            <w:vAlign w:val="center"/>
          </w:tcPr>
          <w:p>
            <w:pPr>
              <w:pStyle w:val="332"/>
              <w:kinsoku w:val="0"/>
              <w:overflowPunct w:val="0"/>
              <w:jc w:val="center"/>
              <w:rPr>
                <w:rFonts w:hint="eastAsia" w:ascii="Times New Roman" w:hAnsi="Times New Roman" w:eastAsia="宋体"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2</w:t>
            </w:r>
          </w:p>
        </w:tc>
        <w:tc>
          <w:tcPr>
            <w:tcW w:w="290" w:type="pct"/>
            <w:tcBorders>
              <w:tl2br w:val="nil"/>
              <w:tr2bl w:val="nil"/>
            </w:tcBorders>
            <w:noWrap w:val="0"/>
            <w:vAlign w:val="center"/>
          </w:tcPr>
          <w:p>
            <w:pPr>
              <w:pStyle w:val="332"/>
              <w:kinsoku w:val="0"/>
              <w:overflowPunct w:val="0"/>
              <w:jc w:val="center"/>
              <w:rPr>
                <w:rFonts w:hint="eastAsia" w:ascii="Times New Roman" w:hAnsi="Times New Roman"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污水</w:t>
            </w:r>
          </w:p>
          <w:p>
            <w:pPr>
              <w:pStyle w:val="332"/>
              <w:kinsoku w:val="0"/>
              <w:overflowPunct w:val="0"/>
              <w:jc w:val="center"/>
              <w:rPr>
                <w:rFonts w:hint="eastAsia" w:ascii="Times New Roman" w:hAnsi="Times New Roman"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处理</w:t>
            </w:r>
          </w:p>
          <w:p>
            <w:pPr>
              <w:pStyle w:val="332"/>
              <w:kinsoku w:val="0"/>
              <w:overflowPunct w:val="0"/>
              <w:jc w:val="center"/>
              <w:rPr>
                <w:rFonts w:hint="eastAsia" w:ascii="Times New Roman" w:hAnsi="Times New Roman"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系统</w:t>
            </w:r>
          </w:p>
        </w:tc>
        <w:tc>
          <w:tcPr>
            <w:tcW w:w="753" w:type="pct"/>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104.993760670</w:t>
            </w:r>
          </w:p>
        </w:tc>
        <w:tc>
          <w:tcPr>
            <w:tcW w:w="695" w:type="pct"/>
            <w:tcBorders>
              <w:tl2br w:val="nil"/>
              <w:tr2bl w:val="nil"/>
            </w:tcBorders>
            <w:noWrap w:val="0"/>
            <w:vAlign w:val="center"/>
          </w:tcPr>
          <w:p>
            <w:pPr>
              <w:pStyle w:val="332"/>
              <w:kinsoku w:val="0"/>
              <w:overflowPunct w:val="0"/>
              <w:jc w:val="center"/>
              <w:rPr>
                <w:rFonts w:hint="default" w:ascii="Times New Roman" w:hAnsi="Times New Roman" w:eastAsia="宋体" w:cs="Times New Roman"/>
                <w:b w:val="0"/>
                <w:bCs w:val="0"/>
                <w:color w:val="auto"/>
                <w:position w:val="2"/>
                <w:sz w:val="21"/>
                <w:szCs w:val="21"/>
                <w:lang w:val="en-US" w:eastAsia="zh-CN"/>
              </w:rPr>
            </w:pPr>
            <w:r>
              <w:rPr>
                <w:rFonts w:hint="eastAsia" w:ascii="Times New Roman" w:hAnsi="Times New Roman" w:cs="Times New Roman"/>
                <w:b w:val="0"/>
                <w:bCs w:val="0"/>
                <w:color w:val="auto"/>
                <w:position w:val="2"/>
                <w:sz w:val="21"/>
                <w:szCs w:val="21"/>
                <w:lang w:val="en-US" w:eastAsia="zh-CN"/>
              </w:rPr>
              <w:t>31.408049778</w:t>
            </w:r>
          </w:p>
        </w:tc>
        <w:tc>
          <w:tcPr>
            <w:tcW w:w="306" w:type="pct"/>
            <w:tcBorders>
              <w:tl2br w:val="nil"/>
              <w:tr2bl w:val="nil"/>
            </w:tcBorders>
            <w:noWrap w:val="0"/>
            <w:vAlign w:val="center"/>
          </w:tcPr>
          <w:p>
            <w:pPr>
              <w:pStyle w:val="332"/>
              <w:kinsoku w:val="0"/>
              <w:overflowPunct w:val="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540</w:t>
            </w:r>
          </w:p>
        </w:tc>
        <w:tc>
          <w:tcPr>
            <w:tcW w:w="576" w:type="pct"/>
            <w:gridSpan w:val="2"/>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1800m</w:t>
            </w:r>
            <w:r>
              <w:rPr>
                <w:rFonts w:hint="eastAsia" w:ascii="Times New Roman" w:hAnsi="Times New Roman" w:cs="Times New Roman"/>
                <w:b w:val="0"/>
                <w:bCs w:val="0"/>
                <w:color w:val="auto"/>
                <w:sz w:val="21"/>
                <w:szCs w:val="21"/>
                <w:vertAlign w:val="superscript"/>
                <w:lang w:val="en-US" w:eastAsia="zh-CN"/>
              </w:rPr>
              <w:t>2</w:t>
            </w:r>
          </w:p>
        </w:tc>
        <w:tc>
          <w:tcPr>
            <w:tcW w:w="346" w:type="pct"/>
            <w:tcBorders>
              <w:tl2br w:val="nil"/>
              <w:tr2bl w:val="nil"/>
            </w:tcBorders>
            <w:noWrap w:val="0"/>
            <w:vAlign w:val="center"/>
          </w:tcPr>
          <w:p>
            <w:pPr>
              <w:pStyle w:val="332"/>
              <w:kinsoku w:val="0"/>
              <w:overflowPunct w:val="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c>
          <w:tcPr>
            <w:tcW w:w="339" w:type="pct"/>
            <w:tcBorders>
              <w:tl2br w:val="nil"/>
              <w:tr2bl w:val="nil"/>
            </w:tcBorders>
            <w:noWrap w:val="0"/>
            <w:vAlign w:val="center"/>
          </w:tcPr>
          <w:p>
            <w:pPr>
              <w:pStyle w:val="332"/>
              <w:kinsoku w:val="0"/>
              <w:overflowPunct w:val="0"/>
              <w:ind w:left="2"/>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6</w:t>
            </w:r>
          </w:p>
        </w:tc>
        <w:tc>
          <w:tcPr>
            <w:tcW w:w="333"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8760</w:t>
            </w:r>
          </w:p>
        </w:tc>
        <w:tc>
          <w:tcPr>
            <w:tcW w:w="190" w:type="pct"/>
            <w:tcBorders>
              <w:tl2br w:val="nil"/>
              <w:tr2bl w:val="nil"/>
            </w:tcBorders>
            <w:noWrap w:val="0"/>
            <w:vAlign w:val="center"/>
          </w:tcPr>
          <w:p>
            <w:pPr>
              <w:pStyle w:val="332"/>
              <w:kinsoku w:val="0"/>
              <w:overflowPunct w:val="0"/>
              <w:ind w:left="2"/>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连续</w:t>
            </w:r>
          </w:p>
        </w:tc>
        <w:tc>
          <w:tcPr>
            <w:tcW w:w="590" w:type="pct"/>
            <w:tcBorders>
              <w:tl2br w:val="nil"/>
              <w:tr2bl w:val="nil"/>
            </w:tcBorders>
            <w:noWrap w:val="0"/>
            <w:vAlign w:val="center"/>
          </w:tcPr>
          <w:p>
            <w:pPr>
              <w:pStyle w:val="332"/>
              <w:kinsoku w:val="0"/>
              <w:overflowPunct w:val="0"/>
              <w:ind w:left="2"/>
              <w:jc w:val="center"/>
              <w:rPr>
                <w:rFonts w:hint="eastAsia" w:ascii="Times New Roman" w:hAnsi="Times New Roman" w:cs="Times New Roman"/>
                <w:b w:val="0"/>
                <w:bCs w:val="0"/>
                <w:color w:val="auto"/>
                <w:position w:val="2"/>
                <w:sz w:val="21"/>
                <w:szCs w:val="21"/>
                <w:lang w:val="en-US" w:eastAsia="zh-CN"/>
              </w:rPr>
            </w:pPr>
            <w:r>
              <w:rPr>
                <w:rFonts w:eastAsia="宋体"/>
                <w:color w:val="auto"/>
                <w:sz w:val="21"/>
                <w:szCs w:val="21"/>
              </w:rPr>
              <w:t>1.</w:t>
            </w:r>
            <w:r>
              <w:rPr>
                <w:rFonts w:hint="eastAsia" w:eastAsia="宋体"/>
                <w:color w:val="auto"/>
                <w:sz w:val="21"/>
                <w:szCs w:val="21"/>
                <w:lang w:val="en-US" w:eastAsia="zh-CN"/>
              </w:rPr>
              <w:t>12</w:t>
            </w:r>
            <w:r>
              <w:rPr>
                <w:rFonts w:eastAsia="宋体"/>
                <w:color w:val="auto"/>
                <w:sz w:val="21"/>
                <w:szCs w:val="21"/>
              </w:rPr>
              <w:t>×10</w:t>
            </w:r>
            <w:r>
              <w:rPr>
                <w:rFonts w:eastAsia="宋体"/>
                <w:color w:val="auto"/>
                <w:sz w:val="21"/>
                <w:szCs w:val="21"/>
                <w:vertAlign w:val="superscript"/>
              </w:rPr>
              <w:t>-3</w:t>
            </w:r>
          </w:p>
        </w:tc>
        <w:tc>
          <w:tcPr>
            <w:tcW w:w="439" w:type="pct"/>
            <w:tcBorders>
              <w:tl2br w:val="nil"/>
              <w:tr2bl w:val="nil"/>
            </w:tcBorders>
            <w:noWrap w:val="0"/>
            <w:vAlign w:val="center"/>
          </w:tcPr>
          <w:p>
            <w:pPr>
              <w:pStyle w:val="332"/>
              <w:kinsoku w:val="0"/>
              <w:overflowPunct w:val="0"/>
              <w:ind w:left="2"/>
              <w:jc w:val="center"/>
              <w:rPr>
                <w:rFonts w:hint="eastAsia" w:ascii="Times New Roman" w:hAnsi="Times New Roman" w:cs="Times New Roman"/>
                <w:b w:val="0"/>
                <w:bCs w:val="0"/>
                <w:color w:val="auto"/>
                <w:position w:val="2"/>
                <w:sz w:val="21"/>
                <w:szCs w:val="21"/>
                <w:lang w:val="en-US" w:eastAsia="zh-CN"/>
              </w:rPr>
            </w:pPr>
            <w:r>
              <w:rPr>
                <w:rFonts w:eastAsia="宋体"/>
                <w:color w:val="auto"/>
                <w:sz w:val="21"/>
                <w:szCs w:val="21"/>
              </w:rPr>
              <w:t>4.</w:t>
            </w:r>
            <w:r>
              <w:rPr>
                <w:rFonts w:hint="eastAsia" w:eastAsia="宋体"/>
                <w:color w:val="auto"/>
                <w:sz w:val="21"/>
                <w:szCs w:val="21"/>
                <w:lang w:val="en-US" w:eastAsia="zh-CN"/>
              </w:rPr>
              <w:t>35</w:t>
            </w:r>
            <w:r>
              <w:rPr>
                <w:rFonts w:eastAsia="宋体"/>
                <w:color w:val="auto"/>
                <w:sz w:val="21"/>
                <w:szCs w:val="21"/>
              </w:rPr>
              <w:t>×10</w:t>
            </w:r>
            <w:r>
              <w:rPr>
                <w:rFonts w:eastAsia="宋体"/>
                <w:color w:val="auto"/>
                <w:sz w:val="21"/>
                <w:szCs w:val="21"/>
                <w:vertAlign w:val="superscript"/>
              </w:rPr>
              <w:t>-5</w:t>
            </w:r>
          </w:p>
        </w:tc>
      </w:tr>
    </w:tbl>
    <w:p>
      <w:pPr>
        <w:pStyle w:val="265"/>
        <w:rPr>
          <w:rFonts w:hint="default" w:ascii="Times New Roman" w:hAnsi="Times New Roman" w:eastAsia="宋体" w:cs="Times New Roman"/>
          <w:b/>
          <w:bCs w:val="0"/>
          <w:color w:val="auto"/>
          <w:sz w:val="24"/>
          <w:lang w:val="en-US" w:eastAsia="zh-CN"/>
        </w:rPr>
      </w:pPr>
      <w:r>
        <w:rPr>
          <w:rFonts w:hint="eastAsia" w:ascii="Times New Roman" w:hAnsi="Times New Roman" w:eastAsia="宋体" w:cs="Times New Roman"/>
          <w:b/>
          <w:bCs w:val="0"/>
          <w:color w:val="auto"/>
          <w:sz w:val="24"/>
          <w:lang w:val="en-US" w:eastAsia="zh-CN"/>
        </w:rPr>
        <w:t>7、</w:t>
      </w:r>
      <w:r>
        <w:rPr>
          <w:rFonts w:hint="default" w:ascii="Times New Roman" w:hAnsi="Times New Roman" w:eastAsia="宋体" w:cs="Times New Roman"/>
          <w:b/>
          <w:bCs w:val="0"/>
          <w:color w:val="auto"/>
          <w:sz w:val="24"/>
          <w:lang w:val="en-US" w:eastAsia="zh-CN"/>
        </w:rPr>
        <w:t>大气环境影响预测及评价</w:t>
      </w:r>
    </w:p>
    <w:p>
      <w:pPr>
        <w:pStyle w:val="224"/>
        <w:rPr>
          <w:rFonts w:hint="default" w:ascii="Times New Roman" w:hAnsi="Times New Roman" w:cs="Times New Roman"/>
          <w:color w:val="auto"/>
          <w:sz w:val="24"/>
        </w:rPr>
      </w:pPr>
      <w:r>
        <w:rPr>
          <w:rFonts w:hint="default" w:ascii="Times New Roman" w:hAnsi="Times New Roman" w:cs="Times New Roman"/>
          <w:color w:val="auto"/>
          <w:sz w:val="24"/>
        </w:rPr>
        <w:t>本次评价采用《环境影响评价技术导则—大气环境》（HJ2.2-20</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8），本次评价采用估算模式</w:t>
      </w:r>
      <w:r>
        <w:rPr>
          <w:rFonts w:hint="default" w:ascii="Times New Roman" w:hAnsi="Times New Roman" w:cs="Times New Roman"/>
          <w:color w:val="auto"/>
          <w:sz w:val="24"/>
          <w:lang w:val="en-US" w:eastAsia="zh-CN"/>
        </w:rPr>
        <w:t>AERSCREEN</w:t>
      </w:r>
      <w:r>
        <w:rPr>
          <w:rFonts w:hint="default" w:ascii="Times New Roman" w:hAnsi="Times New Roman" w:cs="Times New Roman"/>
          <w:color w:val="auto"/>
          <w:sz w:val="24"/>
        </w:rPr>
        <w:t>模型，预测</w:t>
      </w:r>
      <w:r>
        <w:rPr>
          <w:rFonts w:hint="default" w:ascii="Times New Roman" w:hAnsi="Times New Roman" w:cs="Times New Roman"/>
          <w:color w:val="auto"/>
          <w:sz w:val="24"/>
          <w:lang w:eastAsia="zh-CN"/>
        </w:rPr>
        <w:t>无组织排放污染物</w:t>
      </w:r>
      <w:r>
        <w:rPr>
          <w:rFonts w:hint="default" w:ascii="Times New Roman" w:hAnsi="Times New Roman" w:cs="Times New Roman"/>
          <w:color w:val="auto"/>
          <w:sz w:val="24"/>
        </w:rPr>
        <w:t>下风向最大小时落地浓度、对应距离最大小时落地浓度。</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eastAsia="宋体"/>
          <w:b/>
          <w:bCs w:val="0"/>
          <w:color w:val="auto"/>
          <w:sz w:val="21"/>
          <w:szCs w:val="21"/>
          <w:lang w:val="en-US" w:eastAsia="zh-CN"/>
        </w:rPr>
        <w:t>表</w:t>
      </w:r>
      <w:r>
        <w:rPr>
          <w:rFonts w:hint="eastAsia"/>
          <w:b/>
          <w:bCs w:val="0"/>
          <w:color w:val="auto"/>
          <w:sz w:val="21"/>
          <w:szCs w:val="21"/>
          <w:lang w:val="en-US" w:eastAsia="zh-CN"/>
        </w:rPr>
        <w:t>5.2</w:t>
      </w:r>
      <w:r>
        <w:rPr>
          <w:rFonts w:hint="eastAsia" w:eastAsia="宋体"/>
          <w:b/>
          <w:bCs w:val="0"/>
          <w:color w:val="auto"/>
          <w:sz w:val="21"/>
          <w:szCs w:val="21"/>
          <w:lang w:val="en-US" w:eastAsia="zh-CN"/>
        </w:rPr>
        <w:t>-20</w:t>
      </w:r>
      <w:r>
        <w:rPr>
          <w:rFonts w:hint="eastAsia" w:ascii="Times New Roman" w:hAnsi="Times New Roman" w:eastAsia="宋体" w:cs="Times New Roman"/>
          <w:b/>
          <w:bCs w:val="0"/>
          <w:color w:val="auto"/>
          <w:sz w:val="21"/>
          <w:szCs w:val="21"/>
          <w:lang w:val="en-US" w:eastAsia="zh-CN"/>
        </w:rPr>
        <w:t xml:space="preserve"> </w:t>
      </w:r>
      <w:r>
        <w:rPr>
          <w:rFonts w:hint="default" w:ascii="Times New Roman" w:hAnsi="Times New Roman" w:eastAsia="宋体" w:cs="Times New Roman"/>
          <w:b/>
          <w:bCs w:val="0"/>
          <w:color w:val="auto"/>
          <w:sz w:val="21"/>
          <w:szCs w:val="21"/>
          <w:lang w:val="en-US" w:eastAsia="zh-CN"/>
        </w:rPr>
        <w:t>项目主要大气污染物的最大地面空气质量浓度占标率</w:t>
      </w:r>
    </w:p>
    <w:tbl>
      <w:tblPr>
        <w:tblStyle w:val="52"/>
        <w:tblW w:w="943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014"/>
        <w:gridCol w:w="1560"/>
        <w:gridCol w:w="1500"/>
        <w:gridCol w:w="1530"/>
        <w:gridCol w:w="1823"/>
        <w:gridCol w:w="113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污染源</w:t>
            </w:r>
          </w:p>
        </w:tc>
        <w:tc>
          <w:tcPr>
            <w:tcW w:w="1014"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污染物</w:t>
            </w:r>
          </w:p>
        </w:tc>
        <w:tc>
          <w:tcPr>
            <w:tcW w:w="156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排放量Qi</w:t>
            </w:r>
            <w:r>
              <w:rPr>
                <w:rFonts w:hint="eastAsia" w:ascii="Times New Roman" w:hAnsi="Times New Roman" w:eastAsia="宋体" w:cs="Times New Roman"/>
                <w:b w:val="0"/>
                <w:bCs w:val="0"/>
                <w:color w:val="auto"/>
                <w:sz w:val="21"/>
                <w:szCs w:val="21"/>
                <w:u w:val="none" w:color="auto"/>
                <w:vertAlign w:val="baseline"/>
                <w:lang w:eastAsia="zh-CN"/>
              </w:rPr>
              <w:t>（</w:t>
            </w:r>
            <w:r>
              <w:rPr>
                <w:rFonts w:hint="eastAsia" w:ascii="Times New Roman" w:hAnsi="Times New Roman" w:eastAsia="宋体" w:cs="Times New Roman"/>
                <w:b w:val="0"/>
                <w:bCs w:val="0"/>
                <w:color w:val="auto"/>
                <w:sz w:val="21"/>
                <w:szCs w:val="21"/>
                <w:u w:val="none" w:color="auto"/>
                <w:vertAlign w:val="baseline"/>
                <w:lang w:val="en-US" w:eastAsia="zh-CN"/>
              </w:rPr>
              <w:t>kg/h</w:t>
            </w:r>
            <w:r>
              <w:rPr>
                <w:rFonts w:hint="eastAsia" w:ascii="Times New Roman" w:hAnsi="Times New Roman" w:eastAsia="宋体" w:cs="Times New Roman"/>
                <w:b w:val="0"/>
                <w:bCs w:val="0"/>
                <w:color w:val="auto"/>
                <w:sz w:val="21"/>
                <w:szCs w:val="21"/>
                <w:u w:val="none" w:color="auto"/>
                <w:vertAlign w:val="baseline"/>
                <w:lang w:eastAsia="zh-CN"/>
              </w:rPr>
              <w:t>）</w:t>
            </w:r>
          </w:p>
        </w:tc>
        <w:tc>
          <w:tcPr>
            <w:tcW w:w="150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评价标准</w:t>
            </w:r>
          </w:p>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Coi</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μg/m</w:t>
            </w:r>
            <w:r>
              <w:rPr>
                <w:rFonts w:hint="default" w:ascii="Times New Roman" w:hAnsi="Times New Roman" w:eastAsia="宋体" w:cs="Times New Roman"/>
                <w:b w:val="0"/>
                <w:bCs w:val="0"/>
                <w:color w:val="auto"/>
                <w:sz w:val="21"/>
                <w:szCs w:val="21"/>
                <w:u w:val="none" w:color="auto"/>
                <w:vertAlign w:val="superscript"/>
              </w:rPr>
              <w:t xml:space="preserve"> 3 </w:t>
            </w:r>
            <w:r>
              <w:rPr>
                <w:rFonts w:hint="eastAsia" w:ascii="Times New Roman" w:hAnsi="Times New Roman" w:eastAsia="宋体" w:cs="Times New Roman"/>
                <w:b w:val="0"/>
                <w:bCs w:val="0"/>
                <w:color w:val="auto"/>
                <w:sz w:val="21"/>
                <w:szCs w:val="21"/>
                <w:u w:val="none" w:color="auto"/>
                <w:vertAlign w:val="baseline"/>
                <w:lang w:eastAsia="zh-CN"/>
              </w:rPr>
              <w:t>）</w:t>
            </w:r>
          </w:p>
        </w:tc>
        <w:tc>
          <w:tcPr>
            <w:tcW w:w="153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最大地面浓度</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μg/m</w:t>
            </w:r>
            <w:r>
              <w:rPr>
                <w:rFonts w:hint="default" w:ascii="Times New Roman" w:hAnsi="Times New Roman" w:eastAsia="宋体" w:cs="Times New Roman"/>
                <w:b w:val="0"/>
                <w:bCs w:val="0"/>
                <w:color w:val="auto"/>
                <w:sz w:val="21"/>
                <w:szCs w:val="21"/>
                <w:u w:val="none" w:color="auto"/>
                <w:vertAlign w:val="superscript"/>
              </w:rPr>
              <w:t xml:space="preserve"> 3 </w:t>
            </w:r>
            <w:r>
              <w:rPr>
                <w:rFonts w:hint="eastAsia" w:ascii="Times New Roman" w:hAnsi="Times New Roman" w:eastAsia="宋体" w:cs="Times New Roman"/>
                <w:b w:val="0"/>
                <w:bCs w:val="0"/>
                <w:color w:val="auto"/>
                <w:sz w:val="21"/>
                <w:szCs w:val="21"/>
                <w:u w:val="none" w:color="auto"/>
                <w:vertAlign w:val="baseline"/>
                <w:lang w:eastAsia="zh-CN"/>
              </w:rPr>
              <w:t>）</w:t>
            </w:r>
          </w:p>
        </w:tc>
        <w:tc>
          <w:tcPr>
            <w:tcW w:w="1823"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 xml:space="preserve">最大地面浓度占标率 Pi </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w:t>
            </w:r>
            <w:r>
              <w:rPr>
                <w:rFonts w:hint="eastAsia" w:ascii="Times New Roman" w:hAnsi="Times New Roman" w:eastAsia="宋体" w:cs="Times New Roman"/>
                <w:b w:val="0"/>
                <w:bCs w:val="0"/>
                <w:color w:val="auto"/>
                <w:sz w:val="21"/>
                <w:szCs w:val="21"/>
                <w:u w:val="none" w:color="auto"/>
                <w:vertAlign w:val="baseline"/>
                <w:lang w:eastAsia="zh-CN"/>
              </w:rPr>
              <w:t>）</w:t>
            </w:r>
          </w:p>
        </w:tc>
        <w:tc>
          <w:tcPr>
            <w:tcW w:w="1138"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r>
              <w:rPr>
                <w:rFonts w:hint="default" w:ascii="Times New Roman" w:hAnsi="Times New Roman" w:eastAsia="宋体" w:cs="Times New Roman"/>
                <w:b w:val="0"/>
                <w:bCs w:val="0"/>
                <w:color w:val="auto"/>
                <w:sz w:val="21"/>
                <w:szCs w:val="21"/>
                <w:u w:val="none" w:color="auto"/>
                <w:vertAlign w:val="baseline"/>
              </w:rPr>
              <w:t>离源距离</w:t>
            </w:r>
            <w:r>
              <w:rPr>
                <w:rFonts w:hint="eastAsia" w:ascii="Times New Roman" w:hAnsi="Times New Roman" w:eastAsia="宋体" w:cs="Times New Roman"/>
                <w:b w:val="0"/>
                <w:bCs w:val="0"/>
                <w:color w:val="auto"/>
                <w:sz w:val="21"/>
                <w:szCs w:val="21"/>
                <w:u w:val="none" w:color="auto"/>
                <w:vertAlign w:val="baseline"/>
                <w:lang w:eastAsia="zh-CN"/>
              </w:rPr>
              <w:t>（</w:t>
            </w:r>
            <w:r>
              <w:rPr>
                <w:rFonts w:hint="default" w:ascii="Times New Roman" w:hAnsi="Times New Roman" w:eastAsia="宋体" w:cs="Times New Roman"/>
                <w:b w:val="0"/>
                <w:bCs w:val="0"/>
                <w:color w:val="auto"/>
                <w:sz w:val="21"/>
                <w:szCs w:val="21"/>
                <w:u w:val="none" w:color="auto"/>
                <w:vertAlign w:val="baseline"/>
              </w:rPr>
              <w:t>m</w:t>
            </w:r>
            <w:r>
              <w:rPr>
                <w:rFonts w:hint="eastAsia" w:ascii="Times New Roman" w:hAnsi="Times New Roman" w:eastAsia="宋体" w:cs="Times New Roman"/>
                <w:b w:val="0"/>
                <w:bCs w:val="0"/>
                <w:color w:val="auto"/>
                <w:sz w:val="21"/>
                <w:szCs w:val="21"/>
                <w:u w:val="none" w:color="auto"/>
                <w:vertAlign w:val="baseline"/>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7" w:type="dxa"/>
            <w:vMerge w:val="restart"/>
            <w:noWrap w:val="0"/>
            <w:vAlign w:val="center"/>
          </w:tcPr>
          <w:p>
            <w:pPr>
              <w:pStyle w:val="332"/>
              <w:kinsoku w:val="0"/>
              <w:overflowPunct w:val="0"/>
              <w:ind w:firstLine="0" w:firstLineChars="0"/>
              <w:jc w:val="center"/>
              <w:rPr>
                <w:rFonts w:hint="default" w:ascii="Times New Roman" w:hAnsi="Times New Roman" w:eastAsia="宋体" w:cs="Times New Roman"/>
                <w:b w:val="0"/>
                <w:bCs w:val="0"/>
                <w:color w:val="auto"/>
                <w:sz w:val="21"/>
                <w:szCs w:val="21"/>
                <w:u w:val="none" w:color="auto"/>
                <w:vertAlign w:val="baseline"/>
              </w:rPr>
            </w:pPr>
            <w:r>
              <w:rPr>
                <w:color w:val="auto"/>
                <w:sz w:val="20"/>
                <w:szCs w:val="20"/>
              </w:rPr>
              <w:t>生产养殖区</w:t>
            </w:r>
          </w:p>
        </w:tc>
        <w:tc>
          <w:tcPr>
            <w:tcW w:w="1014" w:type="dxa"/>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b w:val="0"/>
                <w:bCs w:val="0"/>
                <w:color w:val="auto"/>
                <w:sz w:val="21"/>
                <w:szCs w:val="21"/>
                <w:u w:val="none" w:color="auto"/>
                <w:vertAlign w:val="baseline"/>
                <w:lang w:eastAsia="zh-CN"/>
              </w:rPr>
            </w:pP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3</w:t>
            </w:r>
          </w:p>
        </w:tc>
        <w:tc>
          <w:tcPr>
            <w:tcW w:w="1560" w:type="dxa"/>
            <w:noWrap w:val="0"/>
            <w:vAlign w:val="center"/>
          </w:tcPr>
          <w:p>
            <w:pPr>
              <w:pStyle w:val="297"/>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eastAsia="等线"/>
                <w:color w:val="auto"/>
                <w:sz w:val="21"/>
                <w:szCs w:val="21"/>
                <w:lang w:val="en-US" w:eastAsia="zh-CN"/>
              </w:rPr>
              <w:t>0.0200</w:t>
            </w:r>
          </w:p>
        </w:tc>
        <w:tc>
          <w:tcPr>
            <w:tcW w:w="150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200</w:t>
            </w:r>
          </w:p>
        </w:tc>
        <w:tc>
          <w:tcPr>
            <w:tcW w:w="153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c>
          <w:tcPr>
            <w:tcW w:w="1823"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c>
          <w:tcPr>
            <w:tcW w:w="1138"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Merge w:val="continue"/>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p>
        </w:tc>
        <w:tc>
          <w:tcPr>
            <w:tcW w:w="1014" w:type="dxa"/>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b w:val="0"/>
                <w:bCs w:val="0"/>
                <w:color w:val="auto"/>
                <w:sz w:val="21"/>
                <w:szCs w:val="21"/>
                <w:lang w:val="en-US" w:eastAsia="zh-CN"/>
              </w:rPr>
              <w:t>H</w:t>
            </w:r>
            <w:r>
              <w:rPr>
                <w:rFonts w:hint="eastAsia"/>
                <w:b w:val="0"/>
                <w:bCs w:val="0"/>
                <w:color w:val="auto"/>
                <w:sz w:val="21"/>
                <w:szCs w:val="21"/>
                <w:vertAlign w:val="subscript"/>
                <w:lang w:val="en-US" w:eastAsia="zh-CN"/>
              </w:rPr>
              <w:t>2</w:t>
            </w:r>
            <w:r>
              <w:rPr>
                <w:rFonts w:hint="eastAsia"/>
                <w:b w:val="0"/>
                <w:bCs w:val="0"/>
                <w:color w:val="auto"/>
                <w:sz w:val="21"/>
                <w:szCs w:val="21"/>
                <w:lang w:val="en-US" w:eastAsia="zh-CN"/>
              </w:rPr>
              <w:t>S</w:t>
            </w:r>
          </w:p>
        </w:tc>
        <w:tc>
          <w:tcPr>
            <w:tcW w:w="1560" w:type="dxa"/>
            <w:noWrap w:val="0"/>
            <w:vAlign w:val="center"/>
          </w:tcPr>
          <w:p>
            <w:pPr>
              <w:pStyle w:val="297"/>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eastAsia="等线"/>
                <w:color w:val="auto"/>
                <w:sz w:val="21"/>
                <w:szCs w:val="21"/>
                <w:lang w:val="en-US" w:eastAsia="zh-CN"/>
              </w:rPr>
              <w:t>0.0014</w:t>
            </w:r>
          </w:p>
        </w:tc>
        <w:tc>
          <w:tcPr>
            <w:tcW w:w="150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10</w:t>
            </w:r>
          </w:p>
        </w:tc>
        <w:tc>
          <w:tcPr>
            <w:tcW w:w="153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823"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138"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Merge w:val="restart"/>
            <w:noWrap w:val="0"/>
            <w:vAlign w:val="center"/>
          </w:tcPr>
          <w:p>
            <w:pPr>
              <w:pStyle w:val="332"/>
              <w:kinsoku w:val="0"/>
              <w:overflowPunct w:val="0"/>
              <w:jc w:val="center"/>
              <w:rPr>
                <w:rFonts w:hint="default" w:ascii="Times New Roman" w:hAnsi="Times New Roman" w:eastAsia="宋体" w:cs="Times New Roman"/>
                <w:b w:val="0"/>
                <w:bCs w:val="0"/>
                <w:color w:val="auto"/>
                <w:sz w:val="21"/>
                <w:szCs w:val="21"/>
                <w:u w:val="none" w:color="auto"/>
                <w:vertAlign w:val="baseline"/>
              </w:rPr>
            </w:pPr>
            <w:r>
              <w:rPr>
                <w:rFonts w:hint="eastAsia" w:ascii="Times New Roman" w:hAnsi="Times New Roman" w:cs="Times New Roman"/>
                <w:b w:val="0"/>
                <w:bCs w:val="0"/>
                <w:color w:val="auto"/>
                <w:position w:val="2"/>
                <w:sz w:val="21"/>
                <w:szCs w:val="21"/>
                <w:lang w:val="en-US" w:eastAsia="zh-CN"/>
              </w:rPr>
              <w:t>污水处理系统</w:t>
            </w:r>
          </w:p>
        </w:tc>
        <w:tc>
          <w:tcPr>
            <w:tcW w:w="1014" w:type="dxa"/>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3</w:t>
            </w:r>
          </w:p>
        </w:tc>
        <w:tc>
          <w:tcPr>
            <w:tcW w:w="1560" w:type="dxa"/>
            <w:noWrap w:val="0"/>
            <w:vAlign w:val="center"/>
          </w:tcPr>
          <w:p>
            <w:pPr>
              <w:pStyle w:val="297"/>
              <w:jc w:val="center"/>
              <w:rPr>
                <w:rFonts w:hint="eastAsia" w:ascii="Times New Roman" w:hAnsi="Times New Roman" w:cs="Times New Roman"/>
                <w:b w:val="0"/>
                <w:bCs w:val="0"/>
                <w:color w:val="auto"/>
                <w:position w:val="2"/>
                <w:sz w:val="21"/>
                <w:szCs w:val="21"/>
                <w:lang w:val="en-US" w:eastAsia="zh-CN"/>
              </w:rPr>
            </w:pPr>
            <w:r>
              <w:rPr>
                <w:rFonts w:eastAsia="宋体"/>
                <w:color w:val="auto"/>
              </w:rPr>
              <w:t>1.</w:t>
            </w:r>
            <w:r>
              <w:rPr>
                <w:rFonts w:hint="eastAsia" w:eastAsia="宋体"/>
                <w:color w:val="auto"/>
                <w:lang w:val="en-US" w:eastAsia="zh-CN"/>
              </w:rPr>
              <w:t>12</w:t>
            </w:r>
            <w:r>
              <w:rPr>
                <w:rFonts w:eastAsia="宋体"/>
                <w:color w:val="auto"/>
              </w:rPr>
              <w:t>×10</w:t>
            </w:r>
            <w:r>
              <w:rPr>
                <w:rFonts w:eastAsia="宋体"/>
                <w:color w:val="auto"/>
                <w:vertAlign w:val="superscript"/>
              </w:rPr>
              <w:t>-3</w:t>
            </w:r>
          </w:p>
        </w:tc>
        <w:tc>
          <w:tcPr>
            <w:tcW w:w="150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200</w:t>
            </w:r>
          </w:p>
        </w:tc>
        <w:tc>
          <w:tcPr>
            <w:tcW w:w="153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823"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138"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vMerge w:val="continue"/>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default" w:ascii="Times New Roman" w:hAnsi="Times New Roman" w:eastAsia="宋体" w:cs="Times New Roman"/>
                <w:b w:val="0"/>
                <w:bCs w:val="0"/>
                <w:color w:val="auto"/>
                <w:sz w:val="21"/>
                <w:szCs w:val="21"/>
                <w:u w:val="none" w:color="auto"/>
                <w:vertAlign w:val="baseline"/>
              </w:rPr>
            </w:pPr>
          </w:p>
        </w:tc>
        <w:tc>
          <w:tcPr>
            <w:tcW w:w="1014" w:type="dxa"/>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b w:val="0"/>
                <w:bCs w:val="0"/>
                <w:color w:val="auto"/>
                <w:sz w:val="21"/>
                <w:szCs w:val="21"/>
                <w:lang w:val="en-US" w:eastAsia="zh-CN"/>
              </w:rPr>
            </w:pPr>
            <w:r>
              <w:rPr>
                <w:rFonts w:hint="eastAsia"/>
                <w:b w:val="0"/>
                <w:bCs w:val="0"/>
                <w:color w:val="auto"/>
                <w:sz w:val="21"/>
                <w:szCs w:val="21"/>
                <w:lang w:val="en-US" w:eastAsia="zh-CN"/>
              </w:rPr>
              <w:t>H</w:t>
            </w:r>
            <w:r>
              <w:rPr>
                <w:rFonts w:hint="eastAsia"/>
                <w:b w:val="0"/>
                <w:bCs w:val="0"/>
                <w:color w:val="auto"/>
                <w:sz w:val="21"/>
                <w:szCs w:val="21"/>
                <w:vertAlign w:val="subscript"/>
                <w:lang w:val="en-US" w:eastAsia="zh-CN"/>
              </w:rPr>
              <w:t>2</w:t>
            </w:r>
            <w:r>
              <w:rPr>
                <w:rFonts w:hint="eastAsia"/>
                <w:b w:val="0"/>
                <w:bCs w:val="0"/>
                <w:color w:val="auto"/>
                <w:sz w:val="21"/>
                <w:szCs w:val="21"/>
                <w:lang w:val="en-US" w:eastAsia="zh-CN"/>
              </w:rPr>
              <w:t>S</w:t>
            </w:r>
          </w:p>
        </w:tc>
        <w:tc>
          <w:tcPr>
            <w:tcW w:w="1560" w:type="dxa"/>
            <w:noWrap w:val="0"/>
            <w:vAlign w:val="center"/>
          </w:tcPr>
          <w:p>
            <w:pPr>
              <w:pStyle w:val="297"/>
              <w:jc w:val="center"/>
              <w:rPr>
                <w:rFonts w:hint="eastAsia" w:ascii="Times New Roman" w:hAnsi="Times New Roman" w:cs="Times New Roman"/>
                <w:b w:val="0"/>
                <w:bCs w:val="0"/>
                <w:color w:val="auto"/>
                <w:position w:val="2"/>
                <w:sz w:val="21"/>
                <w:szCs w:val="21"/>
                <w:lang w:val="en-US" w:eastAsia="zh-CN"/>
              </w:rPr>
            </w:pPr>
            <w:r>
              <w:rPr>
                <w:rFonts w:eastAsia="宋体"/>
                <w:color w:val="auto"/>
              </w:rPr>
              <w:t>4.</w:t>
            </w:r>
            <w:r>
              <w:rPr>
                <w:rFonts w:hint="eastAsia" w:eastAsia="宋体"/>
                <w:color w:val="auto"/>
                <w:lang w:val="en-US" w:eastAsia="zh-CN"/>
              </w:rPr>
              <w:t>35</w:t>
            </w:r>
            <w:r>
              <w:rPr>
                <w:rFonts w:eastAsia="宋体"/>
                <w:color w:val="auto"/>
              </w:rPr>
              <w:t>×10</w:t>
            </w:r>
            <w:r>
              <w:rPr>
                <w:rFonts w:eastAsia="宋体"/>
                <w:color w:val="auto"/>
                <w:vertAlign w:val="superscript"/>
              </w:rPr>
              <w:t>-5</w:t>
            </w:r>
          </w:p>
        </w:tc>
        <w:tc>
          <w:tcPr>
            <w:tcW w:w="150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b w:val="0"/>
                <w:bCs w:val="0"/>
                <w:color w:val="auto"/>
                <w:sz w:val="21"/>
                <w:szCs w:val="21"/>
                <w:u w:val="none" w:color="auto"/>
                <w:vertAlign w:val="baseline"/>
                <w:lang w:val="en-US" w:eastAsia="zh-CN"/>
              </w:rPr>
            </w:pPr>
            <w:r>
              <w:rPr>
                <w:rFonts w:hint="eastAsia" w:cs="Times New Roman"/>
                <w:b w:val="0"/>
                <w:bCs w:val="0"/>
                <w:color w:val="auto"/>
                <w:sz w:val="21"/>
                <w:szCs w:val="21"/>
                <w:u w:val="none" w:color="auto"/>
                <w:vertAlign w:val="baseline"/>
                <w:lang w:val="en-US" w:eastAsia="zh-CN"/>
              </w:rPr>
              <w:t>10</w:t>
            </w:r>
          </w:p>
        </w:tc>
        <w:tc>
          <w:tcPr>
            <w:tcW w:w="1530"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823" w:type="dxa"/>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c>
          <w:tcPr>
            <w:tcW w:w="1138"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outlineLvl w:val="9"/>
              <w:rPr>
                <w:rFonts w:hint="eastAsia" w:ascii="Times New Roman" w:hAnsi="Times New Roman" w:eastAsia="宋体" w:cs="Times New Roman"/>
                <w:b w:val="0"/>
                <w:bCs w:val="0"/>
                <w:color w:val="auto"/>
                <w:sz w:val="21"/>
                <w:szCs w:val="21"/>
                <w:u w:val="none" w:color="auto"/>
                <w:vertAlign w:val="baseline"/>
                <w:lang w:val="en-US" w:eastAsia="zh-CN"/>
              </w:rPr>
            </w:pPr>
          </w:p>
        </w:tc>
      </w:tr>
    </w:tbl>
    <w:p>
      <w:pPr>
        <w:pStyle w:val="224"/>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通过</w:t>
      </w:r>
      <w:r>
        <w:rPr>
          <w:rFonts w:hint="default" w:ascii="Times New Roman" w:hAnsi="Times New Roman" w:cs="Times New Roman"/>
          <w:color w:val="auto"/>
          <w:sz w:val="24"/>
          <w:szCs w:val="24"/>
          <w:lang w:eastAsia="zh-CN"/>
        </w:rPr>
        <w:t>表</w:t>
      </w:r>
      <w:r>
        <w:rPr>
          <w:rFonts w:hint="default" w:ascii="Times New Roman" w:hAnsi="Times New Roman" w:cs="Times New Roman"/>
          <w:color w:val="auto"/>
          <w:sz w:val="24"/>
          <w:szCs w:val="24"/>
        </w:rPr>
        <w:t>可以看出，采用</w:t>
      </w:r>
      <w:r>
        <w:rPr>
          <w:rFonts w:hint="default" w:ascii="Times New Roman" w:hAnsi="Times New Roman" w:cs="Times New Roman"/>
          <w:color w:val="auto"/>
          <w:sz w:val="24"/>
          <w:szCs w:val="24"/>
          <w:lang w:val="en-US" w:eastAsia="zh-CN"/>
        </w:rPr>
        <w:t>ARE</w:t>
      </w:r>
      <w:r>
        <w:rPr>
          <w:rFonts w:hint="default" w:ascii="Times New Roman" w:hAnsi="Times New Roman" w:cs="Times New Roman"/>
          <w:color w:val="auto"/>
          <w:sz w:val="24"/>
          <w:szCs w:val="24"/>
        </w:rPr>
        <w:t>SCREEN估算模式计算结果显示，在正常工况下，项目</w:t>
      </w:r>
      <w:r>
        <w:rPr>
          <w:rFonts w:hint="default" w:ascii="Times New Roman" w:hAnsi="Times New Roman" w:cs="Times New Roman"/>
          <w:color w:val="auto"/>
          <w:sz w:val="24"/>
          <w:szCs w:val="24"/>
          <w:lang w:eastAsia="zh-CN"/>
        </w:rPr>
        <w:t>无组织排放</w:t>
      </w:r>
      <w:r>
        <w:rPr>
          <w:rFonts w:hint="default" w:ascii="Times New Roman" w:hAnsi="Times New Roman" w:cs="Times New Roman"/>
          <w:color w:val="auto"/>
          <w:sz w:val="24"/>
          <w:szCs w:val="24"/>
        </w:rPr>
        <w:t>的大气污染物的最大落地浓度P</w:t>
      </w:r>
      <w:r>
        <w:rPr>
          <w:rFonts w:hint="default" w:ascii="Times New Roman" w:hAnsi="Times New Roman" w:cs="Times New Roman"/>
          <w:color w:val="auto"/>
          <w:sz w:val="24"/>
          <w:szCs w:val="24"/>
          <w:vertAlign w:val="subscript"/>
        </w:rPr>
        <w:t>MAX</w:t>
      </w:r>
      <w:r>
        <w:rPr>
          <w:rFonts w:hint="default" w:ascii="Times New Roman" w:hAnsi="Times New Roman" w:cs="Times New Roman"/>
          <w:color w:val="auto"/>
          <w:sz w:val="24"/>
          <w:szCs w:val="24"/>
        </w:rPr>
        <w:t>均小于10%，因此本项目大气评价等级为</w:t>
      </w:r>
      <w:r>
        <w:rPr>
          <w:rFonts w:hint="default" w:ascii="Times New Roman" w:hAnsi="Times New Roman" w:cs="Times New Roman"/>
          <w:color w:val="auto"/>
          <w:sz w:val="24"/>
          <w:szCs w:val="24"/>
          <w:lang w:eastAsia="zh-CN"/>
        </w:rPr>
        <w:t>二</w:t>
      </w:r>
      <w:r>
        <w:rPr>
          <w:rFonts w:hint="default" w:ascii="Times New Roman" w:hAnsi="Times New Roman" w:cs="Times New Roman"/>
          <w:color w:val="auto"/>
          <w:sz w:val="24"/>
          <w:szCs w:val="24"/>
        </w:rPr>
        <w:t>级。</w:t>
      </w:r>
    </w:p>
    <w:p>
      <w:pPr>
        <w:pStyle w:val="26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项目排放的</w:t>
      </w:r>
      <w:r>
        <w:rPr>
          <w:rFonts w:hint="default" w:ascii="Times New Roman" w:hAnsi="Times New Roman" w:cs="Times New Roman"/>
          <w:color w:val="auto"/>
          <w:sz w:val="24"/>
          <w:szCs w:val="24"/>
          <w:lang w:eastAsia="zh-CN"/>
        </w:rPr>
        <w:t>各项</w:t>
      </w:r>
      <w:r>
        <w:rPr>
          <w:rFonts w:hint="default" w:ascii="Times New Roman" w:hAnsi="Times New Roman" w:cs="Times New Roman"/>
          <w:color w:val="auto"/>
          <w:sz w:val="24"/>
          <w:szCs w:val="24"/>
        </w:rPr>
        <w:t>污染物均未出现超标现象，项目废气污染物贡献值较小。因此项目建成后不会改变评价范围内的大气环境功能，不会对评价范围内的环境保护目标造成明显不利影响。</w:t>
      </w:r>
    </w:p>
    <w:p>
      <w:pPr>
        <w:pStyle w:val="265"/>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rFonts w:hint="eastAsia"/>
          <w:color w:val="auto"/>
          <w:lang w:val="en-US" w:eastAsia="zh-CN"/>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 xml:space="preserve">8 </w:t>
      </w:r>
      <w:r>
        <w:rPr>
          <w:color w:val="auto"/>
        </w:rPr>
        <w:t>项目</w:t>
      </w:r>
      <w:r>
        <w:rPr>
          <w:rFonts w:hint="eastAsia"/>
          <w:color w:val="auto"/>
          <w:lang w:val="en-US" w:eastAsia="zh-CN"/>
        </w:rPr>
        <w:t>大气预测截图（最大落地浓度占标率）</w:t>
      </w:r>
    </w:p>
    <w:p>
      <w:pPr>
        <w:pStyle w:val="166"/>
        <w:keepNext w:val="0"/>
        <w:keepLines w:val="0"/>
        <w:pageBreakBefore w:val="0"/>
        <w:widowControl w:val="0"/>
        <w:kinsoku/>
        <w:wordWrap/>
        <w:overflowPunct/>
        <w:topLinePunct w:val="0"/>
        <w:autoSpaceDE/>
        <w:autoSpaceDN/>
        <w:bidi w:val="0"/>
        <w:adjustRightInd/>
        <w:snapToGrid/>
        <w:spacing w:before="0" w:beforeLines="0" w:line="240" w:lineRule="auto"/>
        <w:textAlignment w:val="auto"/>
        <w:outlineLvl w:val="9"/>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rFonts w:hint="eastAsia"/>
          <w:color w:val="auto"/>
          <w:lang w:val="en-US" w:eastAsia="zh-CN"/>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 xml:space="preserve">9 </w:t>
      </w:r>
      <w:r>
        <w:rPr>
          <w:color w:val="auto"/>
        </w:rPr>
        <w:t>项目</w:t>
      </w:r>
      <w:r>
        <w:rPr>
          <w:rFonts w:hint="eastAsia"/>
          <w:color w:val="auto"/>
          <w:lang w:val="en-US" w:eastAsia="zh-CN"/>
        </w:rPr>
        <w:t>大气预测截图（最大落地浓度）</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rFonts w:hint="eastAsia"/>
          <w:color w:val="auto"/>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 xml:space="preserve">10 </w:t>
      </w:r>
      <w:r>
        <w:rPr>
          <w:rFonts w:hint="eastAsia"/>
          <w:color w:val="auto"/>
        </w:rPr>
        <w:t>项目育肥区各污染物浓度</w:t>
      </w:r>
      <w:r>
        <w:rPr>
          <w:rFonts w:hint="eastAsia"/>
          <w:color w:val="auto"/>
          <w:lang w:val="en-US" w:eastAsia="zh-CN"/>
        </w:rPr>
        <w:t>占标率</w:t>
      </w:r>
      <w:r>
        <w:rPr>
          <w:rFonts w:hint="default" w:ascii="Times New Roman" w:hAnsi="Times New Roman" w:cs="Times New Roman"/>
          <w:color w:val="auto"/>
          <w:lang w:val="en-US" w:eastAsia="zh-CN"/>
        </w:rPr>
        <w:t>——</w:t>
      </w:r>
      <w:r>
        <w:rPr>
          <w:rFonts w:hint="eastAsia"/>
          <w:color w:val="auto"/>
        </w:rPr>
        <w:t>距离曲线图</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bCs w:val="0"/>
          <w:color w:val="auto"/>
          <w:sz w:val="24"/>
          <w:lang w:val="en-US" w:eastAsia="zh-CN"/>
        </w:rPr>
      </w:pPr>
      <w:r>
        <w:rPr>
          <w:color w:val="auto"/>
        </w:rPr>
        <w:drawing>
          <wp:inline distT="0" distB="0" distL="114300" distR="114300">
            <wp:extent cx="38100" cy="38100"/>
            <wp:effectExtent l="0" t="0" r="0" b="0"/>
            <wp:docPr id="33"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7"/>
                    <pic:cNvPicPr>
                      <a:picLocks noChangeAspect="1"/>
                    </pic:cNvPicPr>
                  </pic:nvPicPr>
                  <pic:blipFill>
                    <a:blip r:embed="rId75"/>
                    <a:stretch>
                      <a:fillRect/>
                    </a:stretch>
                  </pic:blipFill>
                  <pic:spPr>
                    <a:xfrm>
                      <a:off x="0" y="0"/>
                      <a:ext cx="38100" cy="38100"/>
                    </a:xfrm>
                    <a:prstGeom prst="rect">
                      <a:avLst/>
                    </a:prstGeom>
                    <a:noFill/>
                    <a:ln>
                      <a:noFill/>
                    </a:ln>
                  </pic:spPr>
                </pic:pic>
              </a:graphicData>
            </a:graphic>
          </wp:inline>
        </w:drawing>
      </w: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rFonts w:hint="eastAsia"/>
          <w:color w:val="auto"/>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 xml:space="preserve">-11 </w:t>
      </w:r>
      <w:r>
        <w:rPr>
          <w:rFonts w:hint="eastAsia"/>
          <w:color w:val="auto"/>
        </w:rPr>
        <w:t>项目育肥区各污染物浓度</w:t>
      </w:r>
      <w:r>
        <w:rPr>
          <w:rFonts w:hint="default" w:ascii="Times New Roman" w:hAnsi="Times New Roman" w:cs="Times New Roman"/>
          <w:color w:val="auto"/>
        </w:rPr>
        <w:t>——</w:t>
      </w:r>
      <w:r>
        <w:rPr>
          <w:rFonts w:hint="eastAsia"/>
          <w:color w:val="auto"/>
        </w:rPr>
        <w:t>距离曲线图</w:t>
      </w:r>
    </w:p>
    <w:p>
      <w:pPr>
        <w:pStyle w:val="265"/>
        <w:rPr>
          <w:rFonts w:hint="default" w:ascii="Times New Roman" w:hAnsi="Times New Roman" w:eastAsia="宋体" w:cs="Times New Roman"/>
          <w:b/>
          <w:bCs w:val="0"/>
          <w:color w:val="auto"/>
          <w:sz w:val="24"/>
          <w:lang w:val="en-US" w:eastAsia="zh-CN"/>
        </w:rPr>
      </w:pPr>
      <w:r>
        <w:rPr>
          <w:rFonts w:hint="eastAsia" w:cs="Times New Roman"/>
          <w:b/>
          <w:bCs w:val="0"/>
          <w:color w:val="auto"/>
          <w:sz w:val="24"/>
          <w:lang w:val="en-US" w:eastAsia="zh-CN"/>
        </w:rPr>
        <w:t>8、</w:t>
      </w:r>
      <w:r>
        <w:rPr>
          <w:rFonts w:hint="eastAsia" w:ascii="Times New Roman" w:hAnsi="Times New Roman" w:eastAsia="宋体" w:cs="Times New Roman"/>
          <w:b/>
          <w:bCs w:val="0"/>
          <w:color w:val="auto"/>
          <w:sz w:val="24"/>
          <w:lang w:val="en-US" w:eastAsia="zh-CN"/>
        </w:rPr>
        <w:t>臭气浓度</w:t>
      </w:r>
      <w:r>
        <w:rPr>
          <w:rFonts w:hint="default" w:ascii="Times New Roman" w:hAnsi="Times New Roman" w:eastAsia="宋体" w:cs="Times New Roman"/>
          <w:b/>
          <w:bCs w:val="0"/>
          <w:color w:val="auto"/>
          <w:sz w:val="24"/>
          <w:lang w:val="en-US" w:eastAsia="zh-CN"/>
        </w:rPr>
        <w:t>环境影响分析</w:t>
      </w:r>
    </w:p>
    <w:p>
      <w:pPr>
        <w:ind w:firstLine="480"/>
        <w:rPr>
          <w:rFonts w:hint="default" w:ascii="Times New Roman" w:hAnsi="Times New Roman" w:cs="Times New Roman"/>
          <w:color w:val="auto"/>
          <w:szCs w:val="24"/>
        </w:rPr>
      </w:pPr>
      <w:r>
        <w:rPr>
          <w:rFonts w:hint="default" w:ascii="Times New Roman" w:hAnsi="Times New Roman" w:cs="Times New Roman"/>
          <w:color w:val="auto"/>
          <w:szCs w:val="24"/>
        </w:rPr>
        <w:t>恶臭强度分类详见表</w:t>
      </w:r>
      <w:r>
        <w:rPr>
          <w:rFonts w:hint="eastAsia" w:ascii="Times New Roman" w:hAnsi="Times New Roman" w:cs="Times New Roman"/>
          <w:color w:val="auto"/>
          <w:szCs w:val="24"/>
          <w:lang w:val="en-US" w:eastAsia="zh-CN"/>
        </w:rPr>
        <w:t>5</w:t>
      </w:r>
      <w:r>
        <w:rPr>
          <w:rFonts w:hint="default" w:ascii="Times New Roman" w:hAnsi="Times New Roman" w:cs="Times New Roman"/>
          <w:color w:val="auto"/>
          <w:szCs w:val="24"/>
        </w:rPr>
        <w:t>.2-</w:t>
      </w:r>
      <w:r>
        <w:rPr>
          <w:rFonts w:hint="eastAsia" w:ascii="Times New Roman" w:hAnsi="Times New Roman" w:cs="Times New Roman"/>
          <w:color w:val="auto"/>
          <w:szCs w:val="24"/>
          <w:lang w:val="en-US" w:eastAsia="zh-CN"/>
        </w:rPr>
        <w:t>2</w:t>
      </w:r>
      <w:r>
        <w:rPr>
          <w:rFonts w:hint="eastAsia" w:cs="Times New Roman"/>
          <w:color w:val="auto"/>
          <w:szCs w:val="24"/>
          <w:lang w:val="en-US" w:eastAsia="zh-CN"/>
        </w:rPr>
        <w:t>1</w:t>
      </w:r>
      <w:r>
        <w:rPr>
          <w:rFonts w:hint="default" w:ascii="Times New Roman" w:hAnsi="Times New Roman" w:cs="Times New Roman"/>
          <w:color w:val="auto"/>
          <w:szCs w:val="24"/>
        </w:rPr>
        <w:t>。</w:t>
      </w:r>
    </w:p>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ascii="Times New Roman" w:hAnsi="Times New Roman" w:cs="Times New Roman"/>
          <w:b/>
          <w:color w:val="auto"/>
          <w:sz w:val="21"/>
          <w:szCs w:val="21"/>
          <w:lang w:val="en-US" w:eastAsia="zh-CN"/>
        </w:rPr>
        <w:t xml:space="preserve">21 </w:t>
      </w:r>
      <w:r>
        <w:rPr>
          <w:rFonts w:hint="default" w:ascii="Times New Roman" w:hAnsi="Times New Roman" w:cs="Times New Roman"/>
          <w:b/>
          <w:color w:val="auto"/>
          <w:sz w:val="21"/>
          <w:szCs w:val="21"/>
        </w:rPr>
        <w:t>恶臭强度分类</w:t>
      </w:r>
    </w:p>
    <w:tbl>
      <w:tblPr>
        <w:tblStyle w:val="51"/>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711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恶臭强度级别</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嗅觉对臭气的反应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0</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未闻到任何气味，无任何反映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1</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勉强闻到有气味，易辨认臭气性质（感觉阈值），感到无所谓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2</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能闻到有较弱的气味，能辨认气味性质（识别阈值）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3</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很容易闻到气味，有所不快，但不反感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4</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有很强的气味，很反感，想离开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5</w:t>
            </w:r>
          </w:p>
        </w:tc>
        <w:tc>
          <w:tcPr>
            <w:tcW w:w="3950" w:type="pct"/>
            <w:tcBorders>
              <w:tl2br w:val="nil"/>
              <w:tr2bl w:val="nil"/>
            </w:tcBorders>
            <w:noWrap w:val="0"/>
            <w:vAlign w:val="center"/>
          </w:tcPr>
          <w:p>
            <w:pPr>
              <w:pStyle w:val="250"/>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有极强的气味，无法忍受，立即离开</w:t>
            </w:r>
          </w:p>
        </w:tc>
      </w:tr>
    </w:tbl>
    <w:p>
      <w:pPr>
        <w:pStyle w:val="26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各主要恶臭污染物质浓度与恶臭强度的关系见表</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.2-</w:t>
      </w:r>
      <w:r>
        <w:rPr>
          <w:rFonts w:hint="eastAsia" w:cs="Times New Roman"/>
          <w:color w:val="auto"/>
          <w:sz w:val="24"/>
          <w:szCs w:val="24"/>
          <w:lang w:val="en-US" w:eastAsia="zh-CN"/>
        </w:rPr>
        <w:t>22</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 xml:space="preserve">22 </w:t>
      </w:r>
      <w:r>
        <w:rPr>
          <w:rFonts w:hint="default" w:ascii="Times New Roman" w:hAnsi="Times New Roman" w:cs="Times New Roman"/>
          <w:b/>
          <w:color w:val="auto"/>
          <w:sz w:val="21"/>
          <w:szCs w:val="21"/>
        </w:rPr>
        <w:t>恶臭污染物浓度（ppm）与恶臭强度关系</w:t>
      </w:r>
    </w:p>
    <w:tbl>
      <w:tblPr>
        <w:tblStyle w:val="51"/>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1113"/>
        <w:gridCol w:w="1061"/>
        <w:gridCol w:w="996"/>
        <w:gridCol w:w="996"/>
        <w:gridCol w:w="1104"/>
        <w:gridCol w:w="1174"/>
        <w:gridCol w:w="11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61" w:type="pct"/>
            <w:vMerge w:val="restar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恶臭污染物</w:t>
            </w:r>
          </w:p>
        </w:tc>
        <w:tc>
          <w:tcPr>
            <w:tcW w:w="4238" w:type="pct"/>
            <w:gridSpan w:val="7"/>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恶臭强度分级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61" w:type="pct"/>
            <w:vMerge w:val="continue"/>
            <w:tcBorders>
              <w:tl2br w:val="nil"/>
              <w:tr2bl w:val="nil"/>
            </w:tcBorders>
            <w:noWrap w:val="0"/>
            <w:vAlign w:val="center"/>
          </w:tcPr>
          <w:p>
            <w:pPr>
              <w:ind w:firstLine="422"/>
              <w:jc w:val="center"/>
              <w:rPr>
                <w:rFonts w:hint="eastAsia" w:ascii="宋体" w:hAnsi="宋体" w:eastAsia="宋体" w:cs="宋体"/>
                <w:b w:val="0"/>
                <w:bCs/>
                <w:color w:val="auto"/>
                <w:sz w:val="21"/>
                <w:szCs w:val="21"/>
              </w:rPr>
            </w:pPr>
          </w:p>
        </w:tc>
        <w:tc>
          <w:tcPr>
            <w:tcW w:w="61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w:t>
            </w:r>
          </w:p>
        </w:tc>
        <w:tc>
          <w:tcPr>
            <w:tcW w:w="589"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2.5</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c>
          <w:tcPr>
            <w:tcW w:w="61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3.5</w:t>
            </w:r>
          </w:p>
        </w:tc>
        <w:tc>
          <w:tcPr>
            <w:tcW w:w="652"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c>
          <w:tcPr>
            <w:tcW w:w="65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761"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NH</w:t>
            </w:r>
            <w:r>
              <w:rPr>
                <w:rFonts w:hint="eastAsia" w:ascii="宋体" w:hAnsi="宋体" w:eastAsia="宋体" w:cs="宋体"/>
                <w:b w:val="0"/>
                <w:bCs/>
                <w:color w:val="auto"/>
                <w:sz w:val="21"/>
                <w:szCs w:val="21"/>
                <w:vertAlign w:val="subscript"/>
                <w:lang w:val="en-US" w:eastAsia="zh-CN"/>
              </w:rPr>
              <w:t>3</w:t>
            </w:r>
            <w:r>
              <w:rPr>
                <w:rFonts w:hint="eastAsia" w:ascii="宋体" w:hAnsi="宋体" w:eastAsia="宋体" w:cs="宋体"/>
                <w:b w:val="0"/>
                <w:bCs/>
                <w:color w:val="auto"/>
                <w:sz w:val="21"/>
                <w:szCs w:val="21"/>
                <w:vertAlign w:val="baseline"/>
                <w:lang w:val="en-US" w:eastAsia="zh-CN"/>
              </w:rPr>
              <w:t>（mg/m</w:t>
            </w:r>
            <w:r>
              <w:rPr>
                <w:rFonts w:hint="eastAsia" w:ascii="宋体" w:hAnsi="宋体" w:eastAsia="宋体" w:cs="宋体"/>
                <w:b w:val="0"/>
                <w:bCs/>
                <w:color w:val="auto"/>
                <w:sz w:val="21"/>
                <w:szCs w:val="21"/>
                <w:vertAlign w:val="superscript"/>
                <w:lang w:val="en-US" w:eastAsia="zh-CN"/>
              </w:rPr>
              <w:t>3</w:t>
            </w:r>
            <w:r>
              <w:rPr>
                <w:rFonts w:hint="eastAsia" w:ascii="宋体" w:hAnsi="宋体" w:eastAsia="宋体" w:cs="宋体"/>
                <w:b w:val="0"/>
                <w:bCs/>
                <w:color w:val="auto"/>
                <w:sz w:val="21"/>
                <w:szCs w:val="21"/>
                <w:vertAlign w:val="baseline"/>
                <w:lang w:val="en-US" w:eastAsia="zh-CN"/>
              </w:rPr>
              <w:t>）</w:t>
            </w:r>
          </w:p>
        </w:tc>
        <w:tc>
          <w:tcPr>
            <w:tcW w:w="61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0.1</w:t>
            </w:r>
          </w:p>
        </w:tc>
        <w:tc>
          <w:tcPr>
            <w:tcW w:w="589"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0.6</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2.0</w:t>
            </w:r>
          </w:p>
        </w:tc>
        <w:tc>
          <w:tcPr>
            <w:tcW w:w="61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5.0</w:t>
            </w:r>
          </w:p>
        </w:tc>
        <w:tc>
          <w:tcPr>
            <w:tcW w:w="652"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10.0</w:t>
            </w:r>
          </w:p>
        </w:tc>
        <w:tc>
          <w:tcPr>
            <w:tcW w:w="65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jc w:val="center"/>
        </w:trPr>
        <w:tc>
          <w:tcPr>
            <w:tcW w:w="761"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H</w:t>
            </w:r>
            <w:r>
              <w:rPr>
                <w:rFonts w:hint="eastAsia" w:ascii="宋体" w:hAnsi="宋体" w:eastAsia="宋体" w:cs="宋体"/>
                <w:b w:val="0"/>
                <w:bCs/>
                <w:color w:val="auto"/>
                <w:sz w:val="21"/>
                <w:szCs w:val="21"/>
                <w:vertAlign w:val="subscript"/>
                <w:lang w:val="en-US" w:eastAsia="zh-CN"/>
              </w:rPr>
              <w:t>2</w:t>
            </w:r>
            <w:r>
              <w:rPr>
                <w:rFonts w:hint="eastAsia" w:ascii="宋体" w:hAnsi="宋体" w:eastAsia="宋体" w:cs="宋体"/>
                <w:b w:val="0"/>
                <w:bCs/>
                <w:color w:val="auto"/>
                <w:sz w:val="21"/>
                <w:szCs w:val="21"/>
                <w:lang w:val="en-US" w:eastAsia="zh-CN"/>
              </w:rPr>
              <w:t>S</w:t>
            </w:r>
            <w:r>
              <w:rPr>
                <w:rFonts w:hint="eastAsia" w:ascii="宋体" w:hAnsi="宋体" w:eastAsia="宋体" w:cs="宋体"/>
                <w:b w:val="0"/>
                <w:bCs/>
                <w:color w:val="auto"/>
                <w:sz w:val="21"/>
                <w:szCs w:val="21"/>
                <w:vertAlign w:val="baseline"/>
                <w:lang w:val="en-US" w:eastAsia="zh-CN"/>
              </w:rPr>
              <w:t>（mg/m</w:t>
            </w:r>
            <w:r>
              <w:rPr>
                <w:rFonts w:hint="eastAsia" w:ascii="宋体" w:hAnsi="宋体" w:eastAsia="宋体" w:cs="宋体"/>
                <w:b w:val="0"/>
                <w:bCs/>
                <w:color w:val="auto"/>
                <w:sz w:val="21"/>
                <w:szCs w:val="21"/>
                <w:vertAlign w:val="superscript"/>
                <w:lang w:val="en-US" w:eastAsia="zh-CN"/>
              </w:rPr>
              <w:t>3</w:t>
            </w:r>
            <w:r>
              <w:rPr>
                <w:rFonts w:hint="eastAsia" w:ascii="宋体" w:hAnsi="宋体" w:eastAsia="宋体" w:cs="宋体"/>
                <w:b w:val="0"/>
                <w:bCs/>
                <w:color w:val="auto"/>
                <w:sz w:val="21"/>
                <w:szCs w:val="21"/>
                <w:vertAlign w:val="baseline"/>
                <w:lang w:val="en-US" w:eastAsia="zh-CN"/>
              </w:rPr>
              <w:t>）</w:t>
            </w:r>
          </w:p>
        </w:tc>
        <w:tc>
          <w:tcPr>
            <w:tcW w:w="61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0.0005</w:t>
            </w:r>
          </w:p>
        </w:tc>
        <w:tc>
          <w:tcPr>
            <w:tcW w:w="589"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0.006</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0.02</w:t>
            </w:r>
          </w:p>
        </w:tc>
        <w:tc>
          <w:tcPr>
            <w:tcW w:w="55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0.06</w:t>
            </w:r>
          </w:p>
        </w:tc>
        <w:tc>
          <w:tcPr>
            <w:tcW w:w="613"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0.2</w:t>
            </w:r>
          </w:p>
        </w:tc>
        <w:tc>
          <w:tcPr>
            <w:tcW w:w="652"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0.7</w:t>
            </w:r>
          </w:p>
        </w:tc>
        <w:tc>
          <w:tcPr>
            <w:tcW w:w="658" w:type="pct"/>
            <w:tcBorders>
              <w:tl2br w:val="nil"/>
              <w:tr2bl w:val="nil"/>
            </w:tcBorders>
            <w:noWrap w:val="0"/>
            <w:vAlign w:val="center"/>
          </w:tcPr>
          <w:p>
            <w:pPr>
              <w:pStyle w:val="250"/>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3.0</w:t>
            </w:r>
          </w:p>
        </w:tc>
      </w:tr>
    </w:tbl>
    <w:p>
      <w:pPr>
        <w:ind w:firstLine="480"/>
        <w:rPr>
          <w:rFonts w:hint="default" w:ascii="Times New Roman" w:hAnsi="Times New Roman" w:cs="Times New Roman"/>
          <w:color w:val="auto"/>
        </w:rPr>
      </w:pPr>
      <w:r>
        <w:rPr>
          <w:rFonts w:hint="default" w:ascii="Times New Roman" w:hAnsi="Times New Roman" w:cs="Times New Roman"/>
          <w:color w:val="auto"/>
        </w:rPr>
        <w:t>恶臭气体浓度对人体的影响大致可以分为四种情况：</w:t>
      </w:r>
    </w:p>
    <w:p>
      <w:pPr>
        <w:numPr>
          <w:ilvl w:val="0"/>
          <w:numId w:val="19"/>
        </w:numPr>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不产生直接或间接的影响；</w:t>
      </w:r>
    </w:p>
    <w:p>
      <w:pPr>
        <w:numPr>
          <w:ilvl w:val="0"/>
          <w:numId w:val="19"/>
        </w:numPr>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恶臭气体的浓度已对植物产生危害，则将影响人的眼睛，使其视力下降；</w:t>
      </w:r>
    </w:p>
    <w:p>
      <w:pPr>
        <w:numPr>
          <w:ilvl w:val="0"/>
          <w:numId w:val="19"/>
        </w:numPr>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对人的中枢神经产生障碍和病变，并引起慢性病及缩短生命</w:t>
      </w:r>
      <w:r>
        <w:rPr>
          <w:rFonts w:hint="eastAsia" w:cs="Times New Roman"/>
          <w:color w:val="auto"/>
          <w:lang w:eastAsia="zh-CN"/>
        </w:rPr>
        <w:t>；</w:t>
      </w:r>
    </w:p>
    <w:p>
      <w:pPr>
        <w:numPr>
          <w:ilvl w:val="0"/>
          <w:numId w:val="19"/>
        </w:numPr>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引发急性病，并有可能引起死亡。</w:t>
      </w:r>
    </w:p>
    <w:p>
      <w:pPr>
        <w:ind w:firstLine="480"/>
        <w:rPr>
          <w:rFonts w:hint="default" w:ascii="Times New Roman" w:hAnsi="Times New Roman" w:cs="Times New Roman"/>
          <w:color w:val="auto"/>
        </w:rPr>
      </w:pPr>
      <w:r>
        <w:rPr>
          <w:rFonts w:hint="default" w:ascii="Times New Roman" w:hAnsi="Times New Roman" w:cs="Times New Roman"/>
          <w:color w:val="auto"/>
        </w:rPr>
        <w:t>恶臭气体污染对人体的影响一般仅停留在①、②浓度水平。当然，如果发生大规模恶臭污染事件，会使恶臭气体污染的浓度达到③、④水平。</w:t>
      </w:r>
    </w:p>
    <w:p>
      <w:pPr>
        <w:ind w:firstLine="480"/>
        <w:rPr>
          <w:rFonts w:hint="default" w:ascii="Times New Roman" w:hAnsi="Times New Roman" w:cs="Times New Roman"/>
          <w:color w:val="auto"/>
        </w:rPr>
      </w:pPr>
      <w:r>
        <w:rPr>
          <w:rFonts w:hint="default" w:ascii="Times New Roman" w:hAnsi="Times New Roman" w:cs="Times New Roman"/>
          <w:color w:val="auto"/>
        </w:rPr>
        <w:t>恶臭污染影响一般有两个方面：</w:t>
      </w:r>
    </w:p>
    <w:p>
      <w:pPr>
        <w:numPr>
          <w:ilvl w:val="0"/>
          <w:numId w:val="20"/>
        </w:numPr>
        <w:ind w:left="0" w:leftChars="0" w:firstLine="400" w:firstLineChars="0"/>
        <w:rPr>
          <w:rFonts w:hint="default" w:ascii="Times New Roman" w:hAnsi="Times New Roman" w:cs="Times New Roman"/>
          <w:color w:val="auto"/>
        </w:rPr>
      </w:pPr>
      <w:r>
        <w:rPr>
          <w:rFonts w:hint="default" w:ascii="Times New Roman" w:hAnsi="Times New Roman" w:cs="Times New Roman"/>
          <w:color w:val="auto"/>
        </w:rPr>
        <w:t>使人感到不快、恶心、头疼、食欲不振、</w:t>
      </w:r>
      <w:r>
        <w:rPr>
          <w:rFonts w:hint="eastAsia" w:cs="Times New Roman"/>
          <w:color w:val="auto"/>
          <w:lang w:val="en-US" w:eastAsia="zh-CN"/>
        </w:rPr>
        <w:t xml:space="preserve">                                                                                                                                                                                                                                                                                                                                                                                                                                                                                                                                                                                                                                                                                                                                                                                                                                                                                                                                                                                                                                                                                                                                                                                                                                                                                                                                                                                                                                                                                                                                                                                                                                                                                                                                                                                                                                                                                                                                                                                                                                                                                                                                                                                                                                                                                                                                                                                                                                                                                                                                </w:t>
      </w:r>
      <w:r>
        <w:rPr>
          <w:rFonts w:hint="default" w:ascii="Times New Roman" w:hAnsi="Times New Roman" w:cs="Times New Roman"/>
          <w:color w:val="auto"/>
        </w:rPr>
        <w:t>营养不良。喝水减少、妨碍睡眠、嗅觉失调、情绪不振，爱发脾气以及诱发哮喘。</w:t>
      </w:r>
    </w:p>
    <w:p>
      <w:pPr>
        <w:numPr>
          <w:ilvl w:val="0"/>
          <w:numId w:val="20"/>
        </w:numPr>
        <w:ind w:left="0" w:leftChars="0" w:firstLine="400" w:firstLineChars="0"/>
        <w:rPr>
          <w:rFonts w:hint="default" w:ascii="Times New Roman" w:hAnsi="Times New Roman" w:cs="Times New Roman"/>
          <w:color w:val="auto"/>
        </w:rPr>
      </w:pPr>
      <w:r>
        <w:rPr>
          <w:rFonts w:hint="default" w:ascii="Times New Roman" w:hAnsi="Times New Roman" w:cs="Times New Roman"/>
          <w:color w:val="auto"/>
        </w:rPr>
        <w:t>社会经济受到损害，如由于恶臭污染使工作人员工作效率降低，受到恶臭污染的地区经济建设商业销售额、旅游事业将受到影响，从而使经济效益受到影响。</w:t>
      </w:r>
    </w:p>
    <w:p>
      <w:pPr>
        <w:ind w:firstLine="48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根据《恶臭污染物排放标准》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GB14554-93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中新污染源二级标准要求及《畜禽养殖业污染物排放标准》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GB18596-2001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中集约化畜禽养殖业恶臭污染物排放标准要求，项 目场界恶臭污染物排放标准值见表。</w:t>
      </w:r>
    </w:p>
    <w:p>
      <w:pPr>
        <w:pStyle w:val="265"/>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default"/>
          <w:color w:val="auto"/>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23</w:t>
      </w:r>
      <w:r>
        <w:rPr>
          <w:rFonts w:hint="eastAsia" w:cs="Times New Roman"/>
          <w:b/>
          <w:color w:val="auto"/>
          <w:sz w:val="21"/>
          <w:szCs w:val="21"/>
          <w:lang w:val="en-US" w:eastAsia="zh-CN"/>
        </w:rPr>
        <w:t xml:space="preserve"> </w:t>
      </w:r>
      <w:r>
        <w:rPr>
          <w:rFonts w:hint="default" w:ascii="Times New Roman" w:hAnsi="Times New Roman" w:cs="Times New Roman"/>
          <w:b/>
          <w:color w:val="auto"/>
          <w:sz w:val="21"/>
          <w:szCs w:val="21"/>
        </w:rPr>
        <w:t>恶臭污染物浓度（ppm）与恶臭强度关系</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00"/>
        <w:gridCol w:w="3000"/>
        <w:gridCol w:w="30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控制项目</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单位</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标准值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氨</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mg/m</w:t>
            </w:r>
            <w:r>
              <w:rPr>
                <w:rFonts w:hint="eastAsia" w:cs="Times New Roman"/>
                <w:color w:val="auto"/>
                <w:sz w:val="21"/>
                <w:szCs w:val="21"/>
                <w:vertAlign w:val="superscript"/>
                <w:lang w:val="en-US" w:eastAsia="zh-CN"/>
              </w:rPr>
              <w:t>3</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vertAlign w:val="baseline"/>
              </w:rPr>
            </w:pPr>
            <w:r>
              <w:rPr>
                <w:rFonts w:hint="eastAsia" w:cs="Times New Roman"/>
                <w:color w:val="auto"/>
                <w:sz w:val="21"/>
                <w:szCs w:val="21"/>
                <w:vertAlign w:val="baseline"/>
                <w:lang w:val="en-US" w:eastAsia="zh-CN"/>
              </w:rPr>
              <w:t>mg/m</w:t>
            </w:r>
            <w:r>
              <w:rPr>
                <w:rFonts w:hint="eastAsia" w:cs="Times New Roman"/>
                <w:color w:val="auto"/>
                <w:sz w:val="21"/>
                <w:szCs w:val="21"/>
                <w:vertAlign w:val="superscript"/>
                <w:lang w:val="en-US" w:eastAsia="zh-CN"/>
              </w:rPr>
              <w:t>3</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无量纲</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70</w:t>
            </w:r>
          </w:p>
        </w:tc>
      </w:tr>
    </w:tbl>
    <w:p>
      <w:pPr>
        <w:ind w:firstLine="480" w:firstLineChars="0"/>
        <w:rPr>
          <w:rFonts w:ascii="宋体" w:hAnsi="宋体" w:eastAsia="宋体" w:cs="宋体"/>
          <w:color w:val="auto"/>
          <w:sz w:val="24"/>
          <w:szCs w:val="24"/>
        </w:rPr>
      </w:pPr>
      <w:r>
        <w:rPr>
          <w:rFonts w:ascii="宋体" w:hAnsi="宋体" w:eastAsia="宋体" w:cs="宋体"/>
          <w:color w:val="auto"/>
          <w:sz w:val="24"/>
          <w:szCs w:val="24"/>
        </w:rPr>
        <w:t>本项目</w:t>
      </w: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、H</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S</w:t>
      </w:r>
      <w:r>
        <w:rPr>
          <w:rFonts w:ascii="宋体" w:hAnsi="宋体" w:eastAsia="宋体" w:cs="宋体"/>
          <w:color w:val="auto"/>
          <w:sz w:val="24"/>
          <w:szCs w:val="24"/>
        </w:rPr>
        <w:t>最大落地浓度处影响值见表。</w:t>
      </w:r>
    </w:p>
    <w:p>
      <w:pPr>
        <w:pStyle w:val="265"/>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default"/>
          <w:color w:val="auto"/>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24</w:t>
      </w:r>
      <w:r>
        <w:rPr>
          <w:rFonts w:hint="eastAsia" w:cs="Times New Roman"/>
          <w:b/>
          <w:color w:val="auto"/>
          <w:sz w:val="21"/>
          <w:szCs w:val="21"/>
          <w:lang w:val="en-US" w:eastAsia="zh-CN"/>
        </w:rPr>
        <w:t xml:space="preserve"> </w:t>
      </w:r>
      <w:r>
        <w:rPr>
          <w:rFonts w:hint="default" w:ascii="Times New Roman" w:hAnsi="Times New Roman" w:cs="Times New Roman"/>
          <w:b/>
          <w:color w:val="auto"/>
          <w:sz w:val="21"/>
          <w:szCs w:val="21"/>
        </w:rPr>
        <w:t>臭气强度预测值</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500"/>
        <w:gridCol w:w="1500"/>
        <w:gridCol w:w="1500"/>
        <w:gridCol w:w="1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控制项目</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距离厂界</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最大落地浓度</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本底值</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预测值</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臭气强度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氨</w:t>
            </w:r>
          </w:p>
        </w:tc>
        <w:tc>
          <w:tcPr>
            <w:tcW w:w="833" w:type="pct"/>
            <w:tcBorders>
              <w:tl2br w:val="nil"/>
              <w:tr2bl w:val="nil"/>
            </w:tcBorders>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color w:val="auto"/>
                <w:sz w:val="21"/>
                <w:szCs w:val="21"/>
                <w:vertAlign w:val="baseline"/>
                <w:lang w:val="en-US" w:eastAsia="zh-CN"/>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83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2级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833" w:type="pct"/>
            <w:tcBorders>
              <w:tl2br w:val="nil"/>
              <w:tr2bl w:val="nil"/>
            </w:tcBorders>
            <w:noWrap w:val="0"/>
            <w:vAlign w:val="center"/>
          </w:tcPr>
          <w:p>
            <w:pPr>
              <w:pStyle w:val="224"/>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center"/>
              <w:textAlignment w:val="baseline"/>
              <w:outlineLvl w:val="9"/>
              <w:rPr>
                <w:rFonts w:hint="eastAsia" w:cs="Times New Roman"/>
                <w:color w:val="auto"/>
                <w:sz w:val="21"/>
                <w:szCs w:val="21"/>
                <w:vertAlign w:val="baseline"/>
                <w:lang w:val="en-US" w:eastAsia="zh-CN"/>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83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p>
        </w:tc>
      </w:tr>
    </w:tbl>
    <w:p>
      <w:pPr>
        <w:ind w:firstLine="480" w:firstLineChars="0"/>
        <w:rPr>
          <w:rFonts w:hint="default" w:ascii="Times New Roman" w:hAnsi="Times New Roman" w:cs="Times New Roman"/>
          <w:color w:val="auto"/>
        </w:rPr>
      </w:pPr>
      <w:r>
        <w:rPr>
          <w:rFonts w:hint="default" w:ascii="Times New Roman" w:hAnsi="Times New Roman" w:eastAsia="宋体" w:cs="Times New Roman"/>
          <w:color w:val="auto"/>
          <w:sz w:val="24"/>
          <w:szCs w:val="24"/>
        </w:rPr>
        <w:t>由表可以看出，项目恶臭污染物最大落地浓度叠加本底最大值，对应臭气浓度为</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级水平，介于刚能分辨出是什么臭味与明显感到臭味之间；项目最大落地浓度较低，场界臭气强度主要由环境本底值决定。单项恶臭气体对人体影响，如硫化氢（H</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S）气体浓度为0.007ppm时，影响人眼睛对光的反射。硫化氢气体浓度为10ppm是刺激人眼睛的最小浓度。又如氨气浓度为17ppm时，人在此环境中暴露7</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8小时，则尿中NH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量增加，同时氧的消耗量降低，呼吸频率下降。为减轻恶臭影响的程度和范围，本工程采用通风、清洗、消毒、合理搭配日粮、喷洒除臭剂、按计划设置绿化（防疫隔离带）的方式减少恶臭源强度。经治理后，本项目无组织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、H</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S场界外浓度均低于《恶臭污染物排放标准》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GB14554-93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中新污染源二级标准要求（H</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S</w:t>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rPr>
        <w:t>0.06mg/m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eastAsia" w:cs="Times New Roman"/>
          <w:color w:val="auto"/>
          <w:sz w:val="24"/>
          <w:szCs w:val="24"/>
          <w:vertAlign w:val="subscript"/>
          <w:lang w:val="en-US" w:eastAsia="zh-CN"/>
        </w:rPr>
        <w:t xml:space="preserve"> </w:t>
      </w:r>
      <w:r>
        <w:rPr>
          <w:rFonts w:hint="default" w:ascii="Times New Roman" w:hAnsi="Times New Roman" w:eastAsia="宋体" w:cs="Times New Roman"/>
          <w:color w:val="auto"/>
          <w:sz w:val="24"/>
          <w:szCs w:val="24"/>
        </w:rPr>
        <w:t>1.5mg/m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pStyle w:val="9"/>
        <w:rPr>
          <w:rFonts w:hint="eastAsia" w:cs="Times New Roman"/>
          <w:color w:val="auto"/>
          <w:lang w:val="en-US" w:eastAsia="zh-CN"/>
        </w:rPr>
      </w:pPr>
      <w:r>
        <w:rPr>
          <w:rFonts w:hint="eastAsia" w:cs="Times New Roman"/>
          <w:color w:val="auto"/>
          <w:lang w:val="en-US" w:eastAsia="zh-CN"/>
        </w:rPr>
        <w:t>6.2.2.3 污染物排放核算</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color w:val="auto"/>
          <w:spacing w:val="0"/>
          <w:sz w:val="24"/>
          <w:u w:val="none"/>
          <w:lang w:val="en-US" w:eastAsia="zh-CN"/>
        </w:rPr>
      </w:pPr>
      <w:r>
        <w:rPr>
          <w:rFonts w:hint="eastAsia" w:cs="Times New Roman"/>
          <w:color w:val="auto"/>
          <w:spacing w:val="0"/>
          <w:sz w:val="24"/>
          <w:u w:val="none"/>
          <w:lang w:val="en-US" w:eastAsia="zh-CN"/>
        </w:rPr>
        <w:t>根据</w:t>
      </w:r>
      <w:r>
        <w:rPr>
          <w:rFonts w:hint="default" w:ascii="Times New Roman" w:hAnsi="Times New Roman" w:cs="Times New Roman"/>
          <w:color w:val="auto"/>
          <w:sz w:val="24"/>
        </w:rPr>
        <w:t>《环境影响评价技术导则</w:t>
      </w:r>
      <w:r>
        <w:rPr>
          <w:rFonts w:hint="eastAsia" w:cs="Times New Roman"/>
          <w:color w:val="auto"/>
          <w:sz w:val="24"/>
          <w:lang w:eastAsia="zh-CN"/>
        </w:rPr>
        <w:t>—</w:t>
      </w:r>
      <w:r>
        <w:rPr>
          <w:rFonts w:hint="default" w:ascii="Times New Roman" w:hAnsi="Times New Roman" w:cs="Times New Roman"/>
          <w:color w:val="auto"/>
          <w:sz w:val="24"/>
        </w:rPr>
        <w:t>大气环境》（HJ2.2-20</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8）</w:t>
      </w:r>
      <w:r>
        <w:rPr>
          <w:rFonts w:hint="eastAsia" w:cs="Times New Roman"/>
          <w:color w:val="auto"/>
          <w:sz w:val="24"/>
          <w:lang w:eastAsia="zh-CN"/>
        </w:rPr>
        <w:t>要求</w:t>
      </w:r>
      <w:r>
        <w:rPr>
          <w:rFonts w:hint="default" w:ascii="Times New Roman" w:hAnsi="Times New Roman" w:cs="Times New Roman"/>
          <w:color w:val="auto"/>
          <w:sz w:val="24"/>
        </w:rPr>
        <w:t>，</w:t>
      </w:r>
      <w:r>
        <w:rPr>
          <w:rFonts w:hint="eastAsia" w:cs="Times New Roman"/>
          <w:color w:val="auto"/>
          <w:sz w:val="24"/>
          <w:lang w:eastAsia="zh-CN"/>
        </w:rPr>
        <w:t>二级评价项目不进行进一步预测与评价，只对污染物排放量进行核算。因此，本次大气环境影响评价不进行进一步预测与评价，仅对大气污染物排放量进行核算，包括项目有组织及无组织排放量、大气污染物年排放量、非正常排放量等的核算，</w:t>
      </w:r>
      <w:r>
        <w:rPr>
          <w:rFonts w:hint="eastAsia" w:cs="Times New Roman"/>
          <w:color w:val="auto"/>
          <w:spacing w:val="0"/>
          <w:sz w:val="24"/>
          <w:u w:val="none"/>
          <w:lang w:val="en-US" w:eastAsia="zh-CN"/>
        </w:rPr>
        <w:t>具体如下</w:t>
      </w:r>
      <w:r>
        <w:rPr>
          <w:rFonts w:hint="eastAsia" w:ascii="Times New Roman" w:hAnsi="Times New Roman" w:cs="Times New Roman"/>
          <w:color w:val="auto"/>
          <w:spacing w:val="0"/>
          <w:sz w:val="24"/>
          <w:u w:val="none"/>
          <w:lang w:val="en-US" w:eastAsia="zh-CN"/>
        </w:rPr>
        <w:t>。</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cs="Times New Roman"/>
          <w:b/>
          <w:bCs/>
          <w:color w:val="auto"/>
          <w:spacing w:val="0"/>
          <w:sz w:val="24"/>
          <w:u w:val="none"/>
          <w:lang w:val="en-US" w:eastAsia="zh-CN"/>
        </w:rPr>
      </w:pPr>
      <w:r>
        <w:rPr>
          <w:rFonts w:hint="eastAsia" w:cs="Times New Roman"/>
          <w:b/>
          <w:bCs/>
          <w:color w:val="auto"/>
          <w:spacing w:val="0"/>
          <w:sz w:val="24"/>
          <w:u w:val="none"/>
          <w:lang w:val="en-US" w:eastAsia="zh-CN"/>
        </w:rPr>
        <w:t>1、本项目无组织排放量核算</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cs="Times New Roman"/>
          <w:color w:val="auto"/>
          <w:spacing w:val="0"/>
          <w:sz w:val="24"/>
          <w:u w:val="none"/>
          <w:lang w:val="en-US" w:eastAsia="zh-CN"/>
        </w:rPr>
      </w:pPr>
      <w:r>
        <w:rPr>
          <w:rFonts w:hint="eastAsia" w:cs="Times New Roman"/>
          <w:color w:val="auto"/>
          <w:spacing w:val="0"/>
          <w:sz w:val="24"/>
          <w:u w:val="none"/>
          <w:lang w:val="en-US" w:eastAsia="zh-CN"/>
        </w:rPr>
        <w:t>项目无组织排放量核算具体情况详见下表：</w:t>
      </w:r>
    </w:p>
    <w:p>
      <w:pPr>
        <w:keepNext w:val="0"/>
        <w:keepLines w:val="0"/>
        <w:pageBreakBefore w:val="0"/>
        <w:widowControl w:val="0"/>
        <w:kinsoku/>
        <w:wordWrap/>
        <w:overflowPunct/>
        <w:topLinePunct/>
        <w:autoSpaceDE/>
        <w:autoSpaceDN/>
        <w:bidi w:val="0"/>
        <w:adjustRightInd/>
        <w:snapToGrid/>
        <w:spacing w:before="157" w:beforeLines="50"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25</w:t>
      </w:r>
      <w:r>
        <w:rPr>
          <w:rFonts w:hint="eastAsia" w:ascii="Times New Roman" w:hAnsi="Times New Roman" w:eastAsia="宋体" w:cs="Times New Roman"/>
          <w:b/>
          <w:bCs/>
          <w:color w:val="auto"/>
          <w:sz w:val="21"/>
          <w:szCs w:val="21"/>
          <w:vertAlign w:val="baseline"/>
          <w:lang w:val="en-US" w:eastAsia="zh-CN"/>
        </w:rPr>
        <w:t xml:space="preserve"> 本项目</w:t>
      </w:r>
      <w:r>
        <w:rPr>
          <w:rFonts w:hint="default" w:ascii="Times New Roman" w:hAnsi="Times New Roman" w:eastAsia="宋体" w:cs="Times New Roman"/>
          <w:b/>
          <w:bCs/>
          <w:color w:val="auto"/>
          <w:sz w:val="21"/>
          <w:szCs w:val="21"/>
          <w:vertAlign w:val="baseline"/>
          <w:lang w:val="en-US" w:eastAsia="zh-CN"/>
        </w:rPr>
        <w:t>大气污染物无组织排放量核算表</w:t>
      </w:r>
    </w:p>
    <w:tbl>
      <w:tblPr>
        <w:tblStyle w:val="5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2"/>
        <w:gridCol w:w="973"/>
        <w:gridCol w:w="742"/>
        <w:gridCol w:w="2413"/>
        <w:gridCol w:w="1932"/>
        <w:gridCol w:w="1201"/>
        <w:gridCol w:w="116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318"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序号</w:t>
            </w:r>
          </w:p>
        </w:tc>
        <w:tc>
          <w:tcPr>
            <w:tcW w:w="541"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产污环节</w:t>
            </w:r>
          </w:p>
        </w:tc>
        <w:tc>
          <w:tcPr>
            <w:tcW w:w="412"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污染物</w:t>
            </w:r>
          </w:p>
        </w:tc>
        <w:tc>
          <w:tcPr>
            <w:tcW w:w="134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主要污染防治</w:t>
            </w:r>
          </w:p>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措施</w:t>
            </w:r>
          </w:p>
        </w:tc>
        <w:tc>
          <w:tcPr>
            <w:tcW w:w="1073"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国家或地方污染物排放标准标准名称</w:t>
            </w: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浓度限值/</w:t>
            </w:r>
          </w:p>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vertAlign w:val="baseline"/>
                <w:lang w:val="en-US" w:eastAsia="zh-CN"/>
              </w:rPr>
              <w:t>）</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年排放量/</w:t>
            </w:r>
          </w:p>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318"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541"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猪舍、干粪堆场</w:t>
            </w:r>
          </w:p>
        </w:tc>
        <w:tc>
          <w:tcPr>
            <w:tcW w:w="4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NH</w:t>
            </w:r>
            <w:r>
              <w:rPr>
                <w:rFonts w:hint="eastAsia" w:cs="Times New Roman"/>
                <w:color w:val="auto"/>
                <w:sz w:val="21"/>
                <w:szCs w:val="21"/>
                <w:vertAlign w:val="subscript"/>
                <w:lang w:val="en-US" w:eastAsia="zh-CN"/>
              </w:rPr>
              <w:t>3</w:t>
            </w:r>
          </w:p>
        </w:tc>
        <w:tc>
          <w:tcPr>
            <w:tcW w:w="1340" w:type="pct"/>
            <w:vMerge w:val="restart"/>
            <w:tcBorders>
              <w:tl2br w:val="nil"/>
              <w:tr2bl w:val="nil"/>
            </w:tcBorders>
            <w:noWrap w:val="0"/>
            <w:vAlign w:val="center"/>
          </w:tcPr>
          <w:p>
            <w:pPr>
              <w:pStyle w:val="332"/>
              <w:ind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olor w:val="auto"/>
                <w:sz w:val="20"/>
                <w:szCs w:val="20"/>
                <w:lang w:val="en-US" w:eastAsia="zh-CN"/>
              </w:rPr>
              <w:t>科学设计日粮，</w:t>
            </w:r>
            <w:r>
              <w:rPr>
                <w:rFonts w:hint="eastAsia"/>
                <w:color w:val="auto"/>
                <w:sz w:val="20"/>
                <w:szCs w:val="20"/>
              </w:rPr>
              <w:t>选用益生菌配方饲料</w:t>
            </w:r>
            <w:r>
              <w:rPr>
                <w:rFonts w:hint="eastAsia"/>
                <w:color w:val="auto"/>
                <w:sz w:val="20"/>
                <w:szCs w:val="20"/>
                <w:lang w:eastAsia="zh-CN"/>
              </w:rPr>
              <w:t>；</w:t>
            </w:r>
            <w:r>
              <w:rPr>
                <w:rFonts w:hint="eastAsia"/>
                <w:color w:val="auto"/>
                <w:sz w:val="20"/>
                <w:szCs w:val="20"/>
                <w:lang w:val="en-US" w:eastAsia="zh-CN"/>
              </w:rPr>
              <w:t>采用干清粪工艺，</w:t>
            </w:r>
            <w:r>
              <w:rPr>
                <w:rFonts w:hint="eastAsia"/>
                <w:color w:val="auto"/>
                <w:sz w:val="20"/>
                <w:szCs w:val="20"/>
                <w:lang w:eastAsia="zh-CN"/>
              </w:rPr>
              <w:t>猪舍、</w:t>
            </w:r>
            <w:r>
              <w:rPr>
                <w:rFonts w:hint="eastAsia"/>
                <w:color w:val="auto"/>
                <w:sz w:val="20"/>
                <w:szCs w:val="20"/>
                <w:lang w:val="en-US" w:eastAsia="zh-CN"/>
              </w:rPr>
              <w:t>干粪堆场及时清运粪污并喷洒除臭剂；加强绿化；污水管道地埋式；猪舍密闭，安装负压通风机，加强舍内通风；保持圈舍清洁卫生</w:t>
            </w:r>
          </w:p>
        </w:tc>
        <w:tc>
          <w:tcPr>
            <w:tcW w:w="1073"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《恶臭污染物排放标准》（GB14554-93）中表1新扩改建二级标准</w:t>
            </w: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w:t>
            </w:r>
          </w:p>
        </w:tc>
        <w:tc>
          <w:tcPr>
            <w:tcW w:w="647" w:type="pct"/>
            <w:tcBorders>
              <w:tl2br w:val="nil"/>
              <w:tr2bl w:val="nil"/>
            </w:tcBorders>
            <w:noWrap w:val="0"/>
            <w:vAlign w:val="center"/>
          </w:tcPr>
          <w:p>
            <w:pPr>
              <w:pStyle w:val="297"/>
              <w:jc w:val="center"/>
              <w:rPr>
                <w:rFonts w:hint="default" w:ascii="Times New Roman" w:hAnsi="Times New Roman" w:eastAsia="宋体" w:cs="Times New Roman"/>
                <w:color w:val="auto"/>
                <w:sz w:val="21"/>
                <w:szCs w:val="21"/>
                <w:vertAlign w:val="baseline"/>
                <w:lang w:val="en-US" w:eastAsia="zh-CN"/>
              </w:rPr>
            </w:pPr>
            <w:r>
              <w:rPr>
                <w:rFonts w:hint="eastAsia"/>
                <w:color w:val="auto"/>
                <w:sz w:val="21"/>
                <w:szCs w:val="21"/>
                <w:lang w:val="en-US" w:eastAsia="zh-CN"/>
              </w:rPr>
              <w:t>0.1</w:t>
            </w:r>
            <w:r>
              <w:rPr>
                <w:rFonts w:hint="eastAsia"/>
                <w:color w:val="auto"/>
                <w:sz w:val="21"/>
                <w:szCs w:val="21"/>
              </w:rPr>
              <w:t>72</w:t>
            </w:r>
            <w:r>
              <w:rPr>
                <w:rFonts w:hint="eastAsia"/>
                <w:color w:val="auto"/>
                <w:sz w:val="21"/>
                <w:szCs w:val="21"/>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541"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4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S</w:t>
            </w:r>
          </w:p>
        </w:tc>
        <w:tc>
          <w:tcPr>
            <w:tcW w:w="1340"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073"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0.06</w:t>
            </w:r>
          </w:p>
        </w:tc>
        <w:tc>
          <w:tcPr>
            <w:tcW w:w="647" w:type="pct"/>
            <w:tcBorders>
              <w:tl2br w:val="nil"/>
              <w:tr2bl w:val="nil"/>
            </w:tcBorders>
            <w:noWrap w:val="0"/>
            <w:vAlign w:val="center"/>
          </w:tcPr>
          <w:p>
            <w:pPr>
              <w:pStyle w:val="297"/>
              <w:jc w:val="center"/>
              <w:rPr>
                <w:rFonts w:hint="default" w:ascii="Times New Roman" w:hAnsi="Times New Roman" w:eastAsia="宋体" w:cs="Times New Roman"/>
                <w:color w:val="auto"/>
                <w:sz w:val="21"/>
                <w:szCs w:val="21"/>
                <w:vertAlign w:val="baseline"/>
                <w:lang w:val="en-US" w:eastAsia="zh-CN"/>
              </w:rPr>
            </w:pPr>
            <w:r>
              <w:rPr>
                <w:rFonts w:hint="eastAsia" w:eastAsia="宋体"/>
                <w:color w:val="auto"/>
                <w:sz w:val="21"/>
                <w:szCs w:val="21"/>
              </w:rPr>
              <w:t>0.</w:t>
            </w:r>
            <w:r>
              <w:rPr>
                <w:rFonts w:hint="eastAsia" w:eastAsia="宋体"/>
                <w:color w:val="auto"/>
                <w:sz w:val="21"/>
                <w:szCs w:val="21"/>
                <w:lang w:val="en-US" w:eastAsia="zh-CN"/>
              </w:rPr>
              <w:t>0</w:t>
            </w:r>
            <w:r>
              <w:rPr>
                <w:rFonts w:hint="eastAsia" w:eastAsia="宋体"/>
                <w:color w:val="auto"/>
                <w:sz w:val="21"/>
                <w:szCs w:val="21"/>
              </w:rPr>
              <w:t>117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18"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w:t>
            </w:r>
          </w:p>
        </w:tc>
        <w:tc>
          <w:tcPr>
            <w:tcW w:w="541"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污水处理区</w:t>
            </w:r>
          </w:p>
        </w:tc>
        <w:tc>
          <w:tcPr>
            <w:tcW w:w="4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NH</w:t>
            </w:r>
            <w:r>
              <w:rPr>
                <w:rFonts w:hint="eastAsia" w:cs="Times New Roman"/>
                <w:color w:val="auto"/>
                <w:sz w:val="21"/>
                <w:szCs w:val="21"/>
                <w:vertAlign w:val="subscript"/>
                <w:lang w:val="en-US" w:eastAsia="zh-CN"/>
              </w:rPr>
              <w:t>3</w:t>
            </w:r>
          </w:p>
        </w:tc>
        <w:tc>
          <w:tcPr>
            <w:tcW w:w="1340" w:type="pct"/>
            <w:vMerge w:val="restart"/>
            <w:tcBorders>
              <w:tl2br w:val="nil"/>
              <w:tr2bl w:val="nil"/>
            </w:tcBorders>
            <w:noWrap w:val="0"/>
            <w:vAlign w:val="center"/>
          </w:tcPr>
          <w:p>
            <w:pPr>
              <w:pStyle w:val="332"/>
              <w:kinsoku w:val="0"/>
              <w:overflowPunct w:val="0"/>
              <w:ind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olor w:val="auto"/>
                <w:sz w:val="20"/>
                <w:szCs w:val="20"/>
              </w:rPr>
              <w:t>收集池加盖；黑膜沼气池采取黑膜加盖封闭；恶臭产气区域喷洒除臭剂</w:t>
            </w:r>
          </w:p>
        </w:tc>
        <w:tc>
          <w:tcPr>
            <w:tcW w:w="1073"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w:t>
            </w:r>
          </w:p>
        </w:tc>
        <w:tc>
          <w:tcPr>
            <w:tcW w:w="647" w:type="pct"/>
            <w:tcBorders>
              <w:tl2br w:val="nil"/>
              <w:tr2bl w:val="nil"/>
            </w:tcBorders>
            <w:noWrap w:val="0"/>
            <w:vAlign w:val="center"/>
          </w:tcPr>
          <w:p>
            <w:pPr>
              <w:pStyle w:val="297"/>
              <w:jc w:val="center"/>
              <w:rPr>
                <w:rFonts w:hint="default" w:ascii="Times New Roman" w:hAnsi="Times New Roman" w:eastAsia="宋体" w:cs="Times New Roman"/>
                <w:color w:val="auto"/>
                <w:sz w:val="21"/>
                <w:szCs w:val="21"/>
                <w:vertAlign w:val="baseline"/>
                <w:lang w:val="en-US" w:eastAsia="zh-CN"/>
              </w:rPr>
            </w:pPr>
            <w:r>
              <w:rPr>
                <w:rFonts w:eastAsia="等线"/>
                <w:color w:val="auto"/>
              </w:rPr>
              <w:t>0.0</w:t>
            </w:r>
            <w:r>
              <w:rPr>
                <w:rFonts w:hint="eastAsia" w:eastAsia="等线"/>
                <w:color w:val="auto"/>
                <w:lang w:val="en-US" w:eastAsia="zh-CN"/>
              </w:rPr>
              <w:t>097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541"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4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S</w:t>
            </w:r>
          </w:p>
        </w:tc>
        <w:tc>
          <w:tcPr>
            <w:tcW w:w="1340"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073"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0.06</w:t>
            </w:r>
          </w:p>
        </w:tc>
        <w:tc>
          <w:tcPr>
            <w:tcW w:w="647" w:type="pct"/>
            <w:tcBorders>
              <w:tl2br w:val="nil"/>
              <w:tr2bl w:val="nil"/>
            </w:tcBorders>
            <w:noWrap w:val="0"/>
            <w:vAlign w:val="center"/>
          </w:tcPr>
          <w:p>
            <w:pPr>
              <w:pStyle w:val="297"/>
              <w:jc w:val="center"/>
              <w:rPr>
                <w:rFonts w:hint="default" w:ascii="Times New Roman" w:hAnsi="Times New Roman" w:eastAsia="宋体" w:cs="Times New Roman"/>
                <w:color w:val="auto"/>
                <w:sz w:val="21"/>
                <w:szCs w:val="21"/>
                <w:vertAlign w:val="baseline"/>
                <w:lang w:val="en-US" w:eastAsia="zh-CN"/>
              </w:rPr>
            </w:pPr>
            <w:r>
              <w:rPr>
                <w:rFonts w:eastAsia="等线"/>
                <w:color w:val="auto"/>
              </w:rPr>
              <w:t>0.0004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18"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p>
        </w:tc>
        <w:tc>
          <w:tcPr>
            <w:tcW w:w="541"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沼气燃烧</w:t>
            </w:r>
          </w:p>
        </w:tc>
        <w:tc>
          <w:tcPr>
            <w:tcW w:w="412"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SO</w:t>
            </w:r>
            <w:r>
              <w:rPr>
                <w:rFonts w:hint="eastAsia" w:ascii="Times New Roman" w:hAnsi="Times New Roman" w:cs="Times New Roman"/>
                <w:color w:val="auto"/>
                <w:sz w:val="21"/>
                <w:szCs w:val="21"/>
                <w:vertAlign w:val="subscript"/>
                <w:lang w:val="en-US" w:eastAsia="zh-CN"/>
              </w:rPr>
              <w:t>2</w:t>
            </w:r>
          </w:p>
        </w:tc>
        <w:tc>
          <w:tcPr>
            <w:tcW w:w="1340"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沼气脱水、脱硫+火炬燃烧</w:t>
            </w:r>
          </w:p>
        </w:tc>
        <w:tc>
          <w:tcPr>
            <w:tcW w:w="1073"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《大气污染综合排放标准》（GB16297-1996）表2中的无组织排放监控浓度限值要求</w:t>
            </w: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0.50</w:t>
            </w:r>
          </w:p>
        </w:tc>
        <w:tc>
          <w:tcPr>
            <w:tcW w:w="647"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b w:val="0"/>
                <w:bCs w:val="0"/>
                <w:color w:val="auto"/>
                <w:sz w:val="20"/>
                <w:szCs w:val="20"/>
                <w:vertAlign w:val="baseline"/>
                <w:lang w:val="en-US" w:eastAsia="zh-CN"/>
              </w:rPr>
              <w:t>0.2930kg/a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541"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p>
        </w:tc>
        <w:tc>
          <w:tcPr>
            <w:tcW w:w="412"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NO</w:t>
            </w:r>
            <w:r>
              <w:rPr>
                <w:rFonts w:hint="eastAsia" w:ascii="Times New Roman" w:hAnsi="Times New Roman" w:cs="Times New Roman"/>
                <w:color w:val="auto"/>
                <w:sz w:val="21"/>
                <w:szCs w:val="21"/>
                <w:vertAlign w:val="subscript"/>
                <w:lang w:val="en-US" w:eastAsia="zh-CN"/>
              </w:rPr>
              <w:t>X</w:t>
            </w:r>
          </w:p>
        </w:tc>
        <w:tc>
          <w:tcPr>
            <w:tcW w:w="1340"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1073"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0.15</w:t>
            </w:r>
          </w:p>
        </w:tc>
        <w:tc>
          <w:tcPr>
            <w:tcW w:w="647" w:type="pc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b w:val="0"/>
                <w:bCs w:val="0"/>
                <w:color w:val="auto"/>
                <w:sz w:val="20"/>
                <w:szCs w:val="20"/>
                <w:vertAlign w:val="baseline"/>
                <w:lang w:val="en-US" w:eastAsia="zh-CN"/>
              </w:rPr>
              <w:t>4.9042kg/a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18"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w:t>
            </w:r>
          </w:p>
        </w:tc>
        <w:tc>
          <w:tcPr>
            <w:tcW w:w="541"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食堂</w:t>
            </w:r>
          </w:p>
        </w:tc>
        <w:tc>
          <w:tcPr>
            <w:tcW w:w="412"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油烟</w:t>
            </w:r>
          </w:p>
        </w:tc>
        <w:tc>
          <w:tcPr>
            <w:tcW w:w="1340"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油烟净化器+排烟管道</w:t>
            </w:r>
          </w:p>
        </w:tc>
        <w:tc>
          <w:tcPr>
            <w:tcW w:w="1073"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《饮食业油烟排放标准》（试行）（GB18483-2001）</w:t>
            </w:r>
          </w:p>
        </w:tc>
        <w:tc>
          <w:tcPr>
            <w:tcW w:w="666"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2.0</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color w:val="auto"/>
                <w:sz w:val="20"/>
                <w:szCs w:val="20"/>
              </w:rPr>
              <w:t>0.9198</w:t>
            </w:r>
            <w:r>
              <w:rPr>
                <w:color w:val="auto"/>
                <w:sz w:val="20"/>
                <w:szCs w:val="20"/>
              </w:rPr>
              <w:t>kg/a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18" w:type="pct"/>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合计</w:t>
            </w:r>
          </w:p>
        </w:tc>
        <w:tc>
          <w:tcPr>
            <w:tcW w:w="403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NH</w:t>
            </w:r>
            <w:r>
              <w:rPr>
                <w:rFonts w:hint="eastAsia" w:cs="Times New Roman"/>
                <w:color w:val="auto"/>
                <w:sz w:val="21"/>
                <w:szCs w:val="21"/>
                <w:vertAlign w:val="subscript"/>
                <w:lang w:val="en-US" w:eastAsia="zh-CN"/>
              </w:rPr>
              <w:t>3</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0.1821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403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S</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0.0121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4033" w:type="pct"/>
            <w:gridSpan w:val="5"/>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SO</w:t>
            </w:r>
            <w:r>
              <w:rPr>
                <w:rFonts w:hint="eastAsia" w:ascii="Times New Roman" w:hAnsi="Times New Roman" w:cs="Times New Roman"/>
                <w:color w:val="auto"/>
                <w:sz w:val="21"/>
                <w:szCs w:val="21"/>
                <w:vertAlign w:val="subscript"/>
                <w:lang w:val="en-US" w:eastAsia="zh-CN"/>
              </w:rPr>
              <w:t>2</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4033" w:type="pct"/>
            <w:gridSpan w:val="5"/>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NO</w:t>
            </w:r>
            <w:r>
              <w:rPr>
                <w:rFonts w:hint="eastAsia" w:ascii="Times New Roman" w:hAnsi="Times New Roman" w:cs="Times New Roman"/>
                <w:color w:val="auto"/>
                <w:sz w:val="21"/>
                <w:szCs w:val="21"/>
                <w:vertAlign w:val="subscript"/>
                <w:lang w:val="en-US" w:eastAsia="zh-CN"/>
              </w:rPr>
              <w:t>X</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0.0049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18" w:type="pct"/>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p>
        </w:tc>
        <w:tc>
          <w:tcPr>
            <w:tcW w:w="4033" w:type="pct"/>
            <w:gridSpan w:val="5"/>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油烟</w:t>
            </w:r>
          </w:p>
        </w:tc>
        <w:tc>
          <w:tcPr>
            <w:tcW w:w="647" w:type="pc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0.0009</w:t>
            </w:r>
          </w:p>
        </w:tc>
      </w:tr>
    </w:tbl>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cs="Times New Roman"/>
          <w:b/>
          <w:bCs/>
          <w:color w:val="auto"/>
          <w:spacing w:val="0"/>
          <w:sz w:val="24"/>
          <w:u w:val="none"/>
          <w:lang w:val="en-US" w:eastAsia="zh-CN"/>
        </w:rPr>
      </w:pPr>
      <w:r>
        <w:rPr>
          <w:rFonts w:hint="eastAsia" w:cs="Times New Roman"/>
          <w:b/>
          <w:bCs/>
          <w:color w:val="auto"/>
          <w:spacing w:val="0"/>
          <w:sz w:val="24"/>
          <w:u w:val="none"/>
          <w:lang w:val="en-US" w:eastAsia="zh-CN"/>
        </w:rPr>
        <w:t>2、本</w:t>
      </w:r>
      <w:r>
        <w:rPr>
          <w:rFonts w:hint="eastAsia" w:ascii="Times New Roman" w:hAnsi="Times New Roman" w:cs="Times New Roman"/>
          <w:b/>
          <w:bCs/>
          <w:color w:val="auto"/>
          <w:spacing w:val="0"/>
          <w:sz w:val="24"/>
          <w:u w:val="none"/>
          <w:lang w:val="en-US" w:eastAsia="zh-CN"/>
        </w:rPr>
        <w:t>项目大气污染物年排放量核算</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cs="Times New Roman"/>
          <w:color w:val="auto"/>
          <w:spacing w:val="0"/>
          <w:sz w:val="24"/>
          <w:u w:val="none"/>
          <w:lang w:val="en-US" w:eastAsia="zh-CN"/>
        </w:rPr>
      </w:pPr>
      <w:r>
        <w:rPr>
          <w:rFonts w:hint="eastAsia" w:ascii="Times New Roman" w:hAnsi="Times New Roman" w:cs="Times New Roman"/>
          <w:color w:val="auto"/>
          <w:spacing w:val="0"/>
          <w:sz w:val="24"/>
          <w:u w:val="none"/>
          <w:lang w:val="en-US" w:eastAsia="zh-CN"/>
        </w:rPr>
        <w:t>项目大气污染物年排放量核算</w:t>
      </w:r>
      <w:r>
        <w:rPr>
          <w:rFonts w:hint="eastAsia" w:cs="Times New Roman"/>
          <w:color w:val="auto"/>
          <w:spacing w:val="0"/>
          <w:sz w:val="24"/>
          <w:u w:val="none"/>
          <w:lang w:val="en-US" w:eastAsia="zh-CN"/>
        </w:rPr>
        <w:t>具体情况详见下表：</w:t>
      </w:r>
    </w:p>
    <w:p>
      <w:pPr>
        <w:keepNext w:val="0"/>
        <w:keepLines w:val="0"/>
        <w:pageBreakBefore w:val="0"/>
        <w:widowControl w:val="0"/>
        <w:kinsoku/>
        <w:wordWrap/>
        <w:overflowPunct/>
        <w:topLinePunct/>
        <w:autoSpaceDE/>
        <w:autoSpaceDN/>
        <w:bidi w:val="0"/>
        <w:adjustRightInd/>
        <w:snapToGrid/>
        <w:spacing w:before="157" w:beforeLines="50"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26</w:t>
      </w:r>
      <w:r>
        <w:rPr>
          <w:rFonts w:hint="eastAsia" w:ascii="Times New Roman" w:hAnsi="Times New Roman" w:eastAsia="宋体" w:cs="Times New Roman"/>
          <w:b/>
          <w:bCs/>
          <w:color w:val="auto"/>
          <w:sz w:val="21"/>
          <w:szCs w:val="21"/>
          <w:vertAlign w:val="baseline"/>
          <w:lang w:val="en-US" w:eastAsia="zh-CN"/>
        </w:rPr>
        <w:t xml:space="preserve"> </w:t>
      </w:r>
      <w:r>
        <w:rPr>
          <w:rFonts w:hint="default" w:ascii="Times New Roman" w:hAnsi="Times New Roman" w:eastAsia="宋体" w:cs="Times New Roman"/>
          <w:b/>
          <w:bCs/>
          <w:color w:val="auto"/>
          <w:sz w:val="21"/>
          <w:szCs w:val="21"/>
          <w:vertAlign w:val="baseline"/>
          <w:lang w:val="en-US" w:eastAsia="zh-CN"/>
        </w:rPr>
        <w:t>项目大气污染物年排放量核算表</w:t>
      </w:r>
    </w:p>
    <w:tbl>
      <w:tblPr>
        <w:tblStyle w:val="52"/>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00"/>
        <w:gridCol w:w="3000"/>
        <w:gridCol w:w="30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tcBorders>
              <w:tl2br w:val="nil"/>
              <w:tr2bl w:val="nil"/>
            </w:tcBorders>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序号</w:t>
            </w:r>
          </w:p>
        </w:tc>
        <w:tc>
          <w:tcPr>
            <w:tcW w:w="1666" w:type="pct"/>
            <w:tcBorders>
              <w:tl2br w:val="nil"/>
              <w:tr2bl w:val="nil"/>
            </w:tcBorders>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污染物</w:t>
            </w:r>
          </w:p>
        </w:tc>
        <w:tc>
          <w:tcPr>
            <w:tcW w:w="1666" w:type="pct"/>
            <w:tcBorders>
              <w:tl2br w:val="nil"/>
              <w:tr2bl w:val="nil"/>
            </w:tcBorders>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年排放量（t/a）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tcBorders>
              <w:tl2br w:val="nil"/>
              <w:tr2bl w:val="nil"/>
            </w:tcBorders>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1</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color w:val="auto"/>
                <w:sz w:val="21"/>
                <w:szCs w:val="21"/>
                <w:vertAlign w:val="baseline"/>
                <w:lang w:val="en-US" w:eastAsia="zh-CN"/>
              </w:rPr>
              <w:t>NH</w:t>
            </w:r>
            <w:r>
              <w:rPr>
                <w:rFonts w:hint="eastAsia" w:cs="Times New Roman"/>
                <w:color w:val="auto"/>
                <w:sz w:val="21"/>
                <w:szCs w:val="21"/>
                <w:vertAlign w:val="subscript"/>
                <w:lang w:val="en-US" w:eastAsia="zh-CN"/>
              </w:rPr>
              <w:t>3</w:t>
            </w:r>
          </w:p>
        </w:tc>
        <w:tc>
          <w:tcPr>
            <w:tcW w:w="3001"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kern w:val="2"/>
                <w:sz w:val="21"/>
                <w:szCs w:val="21"/>
                <w:vertAlign w:val="baseline"/>
                <w:lang w:val="en-US" w:eastAsia="zh-CN" w:bidi="ar-SA"/>
              </w:rPr>
              <w:t>0.1821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tcBorders>
              <w:tl2br w:val="nil"/>
              <w:tr2bl w:val="nil"/>
            </w:tcBorders>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2</w:t>
            </w:r>
          </w:p>
        </w:tc>
        <w:tc>
          <w:tcPr>
            <w:tcW w:w="16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S</w:t>
            </w:r>
          </w:p>
        </w:tc>
        <w:tc>
          <w:tcPr>
            <w:tcW w:w="3001"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0.0121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3</w:t>
            </w:r>
          </w:p>
        </w:tc>
        <w:tc>
          <w:tcPr>
            <w:tcW w:w="1666" w:type="pct"/>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SO</w:t>
            </w:r>
            <w:r>
              <w:rPr>
                <w:rFonts w:hint="eastAsia" w:ascii="Times New Roman" w:hAnsi="Times New Roman" w:cs="Times New Roman"/>
                <w:color w:val="auto"/>
                <w:sz w:val="21"/>
                <w:szCs w:val="21"/>
                <w:vertAlign w:val="subscript"/>
                <w:lang w:val="en-US" w:eastAsia="zh-CN"/>
              </w:rPr>
              <w:t>2</w:t>
            </w:r>
          </w:p>
        </w:tc>
        <w:tc>
          <w:tcPr>
            <w:tcW w:w="3001" w:type="dxa"/>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4</w:t>
            </w:r>
          </w:p>
        </w:tc>
        <w:tc>
          <w:tcPr>
            <w:tcW w:w="1666" w:type="pct"/>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NO</w:t>
            </w:r>
            <w:r>
              <w:rPr>
                <w:rFonts w:hint="eastAsia" w:ascii="Times New Roman" w:hAnsi="Times New Roman" w:cs="Times New Roman"/>
                <w:color w:val="auto"/>
                <w:sz w:val="21"/>
                <w:szCs w:val="21"/>
                <w:vertAlign w:val="subscript"/>
                <w:lang w:val="en-US" w:eastAsia="zh-CN"/>
              </w:rPr>
              <w:t>X</w:t>
            </w:r>
          </w:p>
        </w:tc>
        <w:tc>
          <w:tcPr>
            <w:tcW w:w="3001" w:type="dxa"/>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0.0049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6" w:type="pct"/>
            <w:noWrap w:val="0"/>
            <w:vAlign w:val="center"/>
          </w:tcPr>
          <w:p>
            <w:pPr>
              <w:pStyle w:val="341"/>
              <w:keepNext/>
              <w:keepLines/>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5</w:t>
            </w:r>
          </w:p>
        </w:tc>
        <w:tc>
          <w:tcPr>
            <w:tcW w:w="1666" w:type="pct"/>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油烟</w:t>
            </w:r>
          </w:p>
        </w:tc>
        <w:tc>
          <w:tcPr>
            <w:tcW w:w="3001" w:type="dxa"/>
            <w:noWrap w:val="0"/>
            <w:vAlign w:val="center"/>
          </w:tcPr>
          <w:p>
            <w:pPr>
              <w:pStyle w:val="2"/>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kern w:val="2"/>
                <w:sz w:val="21"/>
                <w:szCs w:val="21"/>
                <w:vertAlign w:val="baseline"/>
                <w:lang w:val="en-US" w:eastAsia="zh-CN" w:bidi="ar-SA"/>
              </w:rPr>
              <w:t>0.0009</w:t>
            </w:r>
          </w:p>
        </w:tc>
      </w:tr>
    </w:tbl>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cs="Times New Roman"/>
          <w:b/>
          <w:bCs/>
          <w:color w:val="auto"/>
          <w:spacing w:val="0"/>
          <w:sz w:val="24"/>
          <w:u w:val="none"/>
          <w:lang w:val="en-US" w:eastAsia="zh-CN"/>
        </w:rPr>
      </w:pPr>
      <w:r>
        <w:rPr>
          <w:rFonts w:hint="eastAsia" w:cs="Times New Roman"/>
          <w:b/>
          <w:bCs/>
          <w:color w:val="auto"/>
          <w:spacing w:val="0"/>
          <w:sz w:val="24"/>
          <w:u w:val="none"/>
          <w:lang w:val="en-US" w:eastAsia="zh-CN"/>
        </w:rPr>
        <w:t>3、非正常</w:t>
      </w:r>
      <w:r>
        <w:rPr>
          <w:rFonts w:hint="eastAsia" w:ascii="Times New Roman" w:hAnsi="Times New Roman" w:cs="Times New Roman"/>
          <w:b/>
          <w:bCs/>
          <w:color w:val="auto"/>
          <w:spacing w:val="0"/>
          <w:sz w:val="24"/>
          <w:u w:val="none"/>
          <w:lang w:val="en-US" w:eastAsia="zh-CN"/>
        </w:rPr>
        <w:t>排放量核算</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color w:val="auto"/>
          <w:spacing w:val="0"/>
          <w:sz w:val="24"/>
          <w:u w:val="none"/>
          <w:lang w:val="en-US" w:eastAsia="zh-CN"/>
        </w:rPr>
      </w:pPr>
      <w:r>
        <w:rPr>
          <w:rFonts w:hint="eastAsia" w:ascii="Times New Roman" w:hAnsi="Times New Roman" w:cs="Times New Roman"/>
          <w:color w:val="auto"/>
          <w:spacing w:val="0"/>
          <w:sz w:val="24"/>
          <w:u w:val="none"/>
          <w:lang w:val="en-US" w:eastAsia="zh-CN"/>
        </w:rPr>
        <w:t>项目</w:t>
      </w:r>
      <w:r>
        <w:rPr>
          <w:rFonts w:hint="eastAsia" w:cs="Times New Roman"/>
          <w:color w:val="auto"/>
          <w:spacing w:val="0"/>
          <w:sz w:val="24"/>
          <w:u w:val="none"/>
          <w:lang w:val="en-US" w:eastAsia="zh-CN"/>
        </w:rPr>
        <w:t>非正常工况主要考虑废气处理设施处理效率达不到设计要求时的情况，按最不利环境影响计，废气处理设施完全失效时作为废气非正常工况。按此条件核算，本项目废气污染源非正常排放量详见下表。</w:t>
      </w:r>
    </w:p>
    <w:p>
      <w:pPr>
        <w:keepNext w:val="0"/>
        <w:keepLines w:val="0"/>
        <w:pageBreakBefore w:val="0"/>
        <w:widowControl w:val="0"/>
        <w:kinsoku/>
        <w:wordWrap/>
        <w:overflowPunct/>
        <w:topLinePunct/>
        <w:autoSpaceDE/>
        <w:autoSpaceDN/>
        <w:bidi w:val="0"/>
        <w:adjustRightInd/>
        <w:snapToGrid/>
        <w:spacing w:before="157" w:beforeLines="50"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27</w:t>
      </w:r>
      <w:r>
        <w:rPr>
          <w:rFonts w:hint="eastAsia" w:ascii="Times New Roman" w:hAnsi="Times New Roman" w:eastAsia="宋体" w:cs="Times New Roman"/>
          <w:b/>
          <w:bCs/>
          <w:color w:val="auto"/>
          <w:sz w:val="21"/>
          <w:szCs w:val="21"/>
          <w:vertAlign w:val="baseline"/>
          <w:lang w:val="en-US" w:eastAsia="zh-CN"/>
        </w:rPr>
        <w:t xml:space="preserve"> </w:t>
      </w:r>
      <w:r>
        <w:rPr>
          <w:rFonts w:hint="default" w:ascii="Times New Roman" w:hAnsi="Times New Roman" w:eastAsia="宋体" w:cs="Times New Roman"/>
          <w:b/>
          <w:bCs/>
          <w:color w:val="auto"/>
          <w:sz w:val="21"/>
          <w:szCs w:val="21"/>
          <w:vertAlign w:val="baseline"/>
          <w:lang w:val="en-US" w:eastAsia="zh-CN"/>
        </w:rPr>
        <w:t>项目大气污染物</w:t>
      </w:r>
      <w:r>
        <w:rPr>
          <w:rFonts w:hint="eastAsia" w:ascii="Times New Roman" w:hAnsi="Times New Roman" w:eastAsia="宋体" w:cs="Times New Roman"/>
          <w:b/>
          <w:bCs/>
          <w:color w:val="auto"/>
          <w:sz w:val="21"/>
          <w:szCs w:val="21"/>
          <w:vertAlign w:val="baseline"/>
          <w:lang w:val="en-US" w:eastAsia="zh-CN"/>
        </w:rPr>
        <w:t>非正常工况</w:t>
      </w:r>
      <w:r>
        <w:rPr>
          <w:rFonts w:hint="default" w:ascii="Times New Roman" w:hAnsi="Times New Roman" w:eastAsia="宋体" w:cs="Times New Roman"/>
          <w:b/>
          <w:bCs/>
          <w:color w:val="auto"/>
          <w:sz w:val="21"/>
          <w:szCs w:val="21"/>
          <w:vertAlign w:val="baseline"/>
          <w:lang w:val="en-US" w:eastAsia="zh-CN"/>
        </w:rPr>
        <w:t>排放量核算表</w:t>
      </w:r>
    </w:p>
    <w:tbl>
      <w:tblPr>
        <w:tblStyle w:val="5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969"/>
        <w:gridCol w:w="1014"/>
        <w:gridCol w:w="744"/>
        <w:gridCol w:w="1187"/>
        <w:gridCol w:w="1226"/>
        <w:gridCol w:w="774"/>
        <w:gridCol w:w="1027"/>
        <w:gridCol w:w="13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367"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序号</w:t>
            </w:r>
          </w:p>
        </w:tc>
        <w:tc>
          <w:tcPr>
            <w:tcW w:w="538"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污染源</w:t>
            </w:r>
          </w:p>
        </w:tc>
        <w:tc>
          <w:tcPr>
            <w:tcW w:w="563"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非正常排放原因</w:t>
            </w:r>
          </w:p>
        </w:tc>
        <w:tc>
          <w:tcPr>
            <w:tcW w:w="413"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污染物</w:t>
            </w:r>
          </w:p>
        </w:tc>
        <w:tc>
          <w:tcPr>
            <w:tcW w:w="659"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非正常排放浓度mg/m</w:t>
            </w:r>
            <w:r>
              <w:rPr>
                <w:rFonts w:hint="eastAsia"/>
                <w:b w:val="0"/>
                <w:bCs/>
                <w:color w:val="auto"/>
                <w:sz w:val="21"/>
                <w:szCs w:val="21"/>
                <w:vertAlign w:val="superscript"/>
                <w:lang w:val="en-US" w:eastAsia="zh-CN"/>
              </w:rPr>
              <w:t>3</w:t>
            </w:r>
          </w:p>
        </w:tc>
        <w:tc>
          <w:tcPr>
            <w:tcW w:w="681"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非正常排放速率kg/h</w:t>
            </w:r>
          </w:p>
        </w:tc>
        <w:tc>
          <w:tcPr>
            <w:tcW w:w="430"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持续时间h</w:t>
            </w:r>
          </w:p>
        </w:tc>
        <w:tc>
          <w:tcPr>
            <w:tcW w:w="570"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年发生频次（次/a）</w:t>
            </w:r>
          </w:p>
        </w:tc>
        <w:tc>
          <w:tcPr>
            <w:tcW w:w="775"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应对措施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67"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rFonts w:hint="eastAsia"/>
                <w:b w:val="0"/>
                <w:bCs/>
                <w:color w:val="auto"/>
                <w:sz w:val="21"/>
                <w:szCs w:val="21"/>
                <w:lang w:val="en-US" w:eastAsia="zh-CN"/>
              </w:rPr>
              <w:t>1</w:t>
            </w:r>
          </w:p>
        </w:tc>
        <w:tc>
          <w:tcPr>
            <w:tcW w:w="538"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rFonts w:hint="eastAsia"/>
                <w:b w:val="0"/>
                <w:bCs/>
                <w:color w:val="auto"/>
                <w:sz w:val="21"/>
                <w:szCs w:val="21"/>
                <w:lang w:val="en-US" w:eastAsia="zh-CN"/>
              </w:rPr>
              <w:t>餐饮油烟排气筒</w:t>
            </w:r>
          </w:p>
        </w:tc>
        <w:tc>
          <w:tcPr>
            <w:tcW w:w="563"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rFonts w:hint="eastAsia"/>
                <w:b w:val="0"/>
                <w:bCs/>
                <w:color w:val="auto"/>
                <w:sz w:val="21"/>
                <w:szCs w:val="21"/>
                <w:lang w:val="en-US" w:eastAsia="zh-CN"/>
              </w:rPr>
              <w:t>抽油烟机故障</w:t>
            </w:r>
          </w:p>
        </w:tc>
        <w:tc>
          <w:tcPr>
            <w:tcW w:w="413"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rFonts w:hint="eastAsia"/>
                <w:b w:val="0"/>
                <w:bCs/>
                <w:color w:val="auto"/>
                <w:sz w:val="21"/>
                <w:szCs w:val="21"/>
                <w:lang w:val="en-US" w:eastAsia="zh-CN"/>
              </w:rPr>
              <w:t>餐饮油烟</w:t>
            </w:r>
          </w:p>
        </w:tc>
        <w:tc>
          <w:tcPr>
            <w:tcW w:w="659"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default"/>
                <w:b w:val="0"/>
                <w:bCs/>
                <w:color w:val="auto"/>
                <w:sz w:val="21"/>
                <w:szCs w:val="21"/>
                <w:lang w:val="en-US" w:eastAsia="zh-CN"/>
              </w:rPr>
            </w:pPr>
            <w:r>
              <w:rPr>
                <w:rFonts w:hint="eastAsia"/>
                <w:b w:val="0"/>
                <w:bCs/>
                <w:color w:val="auto"/>
                <w:sz w:val="21"/>
                <w:szCs w:val="21"/>
                <w:lang w:val="en-US" w:eastAsia="zh-CN"/>
              </w:rPr>
              <w:t>0.3667</w:t>
            </w:r>
          </w:p>
        </w:tc>
        <w:tc>
          <w:tcPr>
            <w:tcW w:w="681"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color w:val="auto"/>
              </w:rPr>
              <w:t>0.00</w:t>
            </w:r>
            <w:r>
              <w:rPr>
                <w:rFonts w:hint="eastAsia"/>
                <w:color w:val="auto"/>
                <w:lang w:val="en-US" w:eastAsia="zh-CN"/>
              </w:rPr>
              <w:t>11</w:t>
            </w:r>
          </w:p>
        </w:tc>
        <w:tc>
          <w:tcPr>
            <w:tcW w:w="430" w:type="pct"/>
            <w:tcBorders>
              <w:tl2br w:val="nil"/>
              <w:tr2bl w:val="nil"/>
            </w:tcBorders>
            <w:noWrap w:val="0"/>
            <w:vAlign w:val="center"/>
          </w:tcPr>
          <w:p>
            <w:pPr>
              <w:pStyle w:val="206"/>
              <w:keepNext w:val="0"/>
              <w:keepLines w:val="0"/>
              <w:suppressLineNumbers w:val="0"/>
              <w:bidi w:val="0"/>
              <w:spacing w:before="0" w:beforeAutospacing="0" w:after="0" w:afterAutospacing="0"/>
              <w:ind w:left="0" w:leftChars="0" w:right="0" w:rightChars="0" w:firstLine="0" w:firstLineChars="0"/>
              <w:rPr>
                <w:rFonts w:hint="eastAsia"/>
                <w:b w:val="0"/>
                <w:bCs/>
                <w:color w:val="auto"/>
                <w:sz w:val="21"/>
                <w:szCs w:val="21"/>
                <w:lang w:val="en-US" w:eastAsia="zh-CN"/>
              </w:rPr>
            </w:pPr>
            <w:r>
              <w:rPr>
                <w:rFonts w:hint="eastAsia"/>
                <w:b w:val="0"/>
                <w:bCs/>
                <w:color w:val="auto"/>
                <w:sz w:val="21"/>
                <w:szCs w:val="21"/>
                <w:lang w:val="en-US" w:eastAsia="zh-CN"/>
              </w:rPr>
              <w:t>0.5</w:t>
            </w:r>
          </w:p>
        </w:tc>
        <w:tc>
          <w:tcPr>
            <w:tcW w:w="570" w:type="pct"/>
            <w:tcBorders>
              <w:tl2br w:val="nil"/>
              <w:tr2bl w:val="nil"/>
            </w:tcBorders>
            <w:noWrap w:val="0"/>
            <w:vAlign w:val="center"/>
          </w:tcPr>
          <w:p>
            <w:pPr>
              <w:pStyle w:val="206"/>
              <w:keepNext w:val="0"/>
              <w:keepLines w:val="0"/>
              <w:suppressLineNumbers w:val="0"/>
              <w:bidi w:val="0"/>
              <w:spacing w:before="0" w:beforeAutospacing="0" w:after="0" w:afterAutospacing="0"/>
              <w:ind w:left="0" w:leftChars="0" w:right="0" w:rightChars="0" w:firstLine="0" w:firstLineChars="0"/>
              <w:rPr>
                <w:rFonts w:hint="eastAsia"/>
                <w:b w:val="0"/>
                <w:bCs/>
                <w:color w:val="auto"/>
                <w:sz w:val="21"/>
                <w:szCs w:val="21"/>
                <w:lang w:val="en-US" w:eastAsia="zh-CN"/>
              </w:rPr>
            </w:pPr>
            <w:r>
              <w:rPr>
                <w:rFonts w:hint="eastAsia"/>
                <w:b w:val="0"/>
                <w:bCs/>
                <w:color w:val="auto"/>
                <w:sz w:val="21"/>
                <w:szCs w:val="21"/>
                <w:lang w:val="en-US" w:eastAsia="zh-CN"/>
              </w:rPr>
              <w:t>1</w:t>
            </w:r>
          </w:p>
        </w:tc>
        <w:tc>
          <w:tcPr>
            <w:tcW w:w="775" w:type="pct"/>
            <w:tcBorders>
              <w:tl2br w:val="nil"/>
              <w:tr2bl w:val="nil"/>
            </w:tcBorders>
            <w:noWrap w:val="0"/>
            <w:vAlign w:val="center"/>
          </w:tcPr>
          <w:p>
            <w:pPr>
              <w:pStyle w:val="206"/>
              <w:keepNext w:val="0"/>
              <w:keepLines w:val="0"/>
              <w:suppressLineNumbers w:val="0"/>
              <w:bidi w:val="0"/>
              <w:spacing w:before="0" w:beforeAutospacing="0" w:after="0" w:afterAutospacing="0"/>
              <w:ind w:left="0" w:right="0"/>
              <w:rPr>
                <w:rFonts w:hint="eastAsia"/>
                <w:b w:val="0"/>
                <w:bCs/>
                <w:color w:val="auto"/>
                <w:sz w:val="21"/>
                <w:szCs w:val="21"/>
                <w:lang w:val="en-US" w:eastAsia="zh-CN"/>
              </w:rPr>
            </w:pPr>
            <w:r>
              <w:rPr>
                <w:rFonts w:hint="eastAsia"/>
                <w:b w:val="0"/>
                <w:bCs/>
                <w:color w:val="auto"/>
                <w:sz w:val="21"/>
                <w:szCs w:val="21"/>
                <w:lang w:val="en-US" w:eastAsia="zh-CN"/>
              </w:rPr>
              <w:t>立即对抽油烟机进行检修</w:t>
            </w:r>
          </w:p>
        </w:tc>
      </w:tr>
    </w:tbl>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pacing w:val="0"/>
          <w:sz w:val="24"/>
          <w:u w:val="none"/>
          <w:lang w:val="en-US" w:eastAsia="zh-CN"/>
        </w:rPr>
      </w:pPr>
      <w:r>
        <w:rPr>
          <w:rFonts w:hint="eastAsia" w:ascii="Times New Roman" w:hAnsi="Times New Roman" w:eastAsia="宋体" w:cs="Times New Roman"/>
          <w:b/>
          <w:bCs/>
          <w:color w:val="auto"/>
          <w:spacing w:val="0"/>
          <w:sz w:val="24"/>
          <w:u w:val="none"/>
          <w:lang w:val="en-US" w:eastAsia="zh-CN"/>
        </w:rPr>
        <w:t>5</w:t>
      </w:r>
      <w:r>
        <w:rPr>
          <w:rFonts w:hint="default" w:ascii="Times New Roman" w:hAnsi="Times New Roman" w:eastAsia="宋体" w:cs="Times New Roman"/>
          <w:b/>
          <w:bCs/>
          <w:color w:val="auto"/>
          <w:spacing w:val="0"/>
          <w:sz w:val="24"/>
          <w:u w:val="none"/>
          <w:lang w:val="en-US" w:eastAsia="zh-CN"/>
        </w:rPr>
        <w:t>、大气环境防护距离</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s="Times New Roman"/>
          <w:b/>
          <w:bCs/>
          <w:color w:val="auto"/>
          <w:spacing w:val="0"/>
          <w:sz w:val="24"/>
          <w:u w:val="none"/>
          <w:lang w:val="en-US" w:eastAsia="zh-CN"/>
        </w:rPr>
      </w:pPr>
      <w:r>
        <w:rPr>
          <w:rFonts w:hint="default" w:ascii="Times New Roman" w:hAnsi="Times New Roman" w:eastAsia="宋体" w:cs="Times New Roman"/>
          <w:color w:val="auto"/>
          <w:sz w:val="24"/>
          <w:lang w:val="en-US" w:eastAsia="zh-CN"/>
        </w:rPr>
        <w:t>根据《环境影响评价技术导则</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大气环境》</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HJ2.2-2018</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对于项目厂界浓度满足大气污染物厂界浓度限值，但厂界外大气污染物短期浓度贡献值超过环境质量浓度限值的，可以自厂界向外设置一定范围的大气环境防护区域，以确保大气环境防护区域外的污染物贡献浓度满足环境质量标准。结合预测结果，建设项目大气污染物浓度未超过环境质量浓度限值，不需设置</w:t>
      </w:r>
      <w:r>
        <w:rPr>
          <w:rFonts w:hint="default" w:ascii="Times New Roman" w:hAnsi="Times New Roman" w:eastAsia="宋体" w:cs="Times New Roman"/>
          <w:b w:val="0"/>
          <w:bCs w:val="0"/>
          <w:color w:val="auto"/>
          <w:spacing w:val="0"/>
          <w:sz w:val="24"/>
          <w:u w:val="none"/>
          <w:lang w:val="en-US" w:eastAsia="zh-CN"/>
        </w:rPr>
        <w:t>大气</w:t>
      </w:r>
      <w:r>
        <w:rPr>
          <w:rFonts w:hint="eastAsia" w:ascii="Times New Roman" w:hAnsi="Times New Roman" w:eastAsia="宋体" w:cs="Times New Roman"/>
          <w:b w:val="0"/>
          <w:bCs w:val="0"/>
          <w:color w:val="auto"/>
          <w:spacing w:val="0"/>
          <w:sz w:val="24"/>
          <w:u w:val="none"/>
          <w:lang w:val="en-US" w:eastAsia="zh-CN"/>
        </w:rPr>
        <w:t>。</w:t>
      </w:r>
    </w:p>
    <w:p>
      <w:pPr>
        <w:pStyle w:val="340"/>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pacing w:val="0"/>
          <w:sz w:val="24"/>
          <w:u w:val="none"/>
          <w:lang w:val="en-US" w:eastAsia="zh-CN"/>
        </w:rPr>
      </w:pPr>
      <w:r>
        <w:rPr>
          <w:rFonts w:hint="eastAsia" w:ascii="Times New Roman" w:hAnsi="Times New Roman" w:eastAsia="宋体" w:cs="Times New Roman"/>
          <w:b/>
          <w:bCs/>
          <w:color w:val="auto"/>
          <w:spacing w:val="0"/>
          <w:sz w:val="24"/>
          <w:u w:val="none"/>
          <w:lang w:val="en-US" w:eastAsia="zh-CN"/>
        </w:rPr>
        <w:t>6、</w:t>
      </w:r>
      <w:r>
        <w:rPr>
          <w:rFonts w:hint="default" w:ascii="Times New Roman" w:hAnsi="Times New Roman" w:eastAsia="宋体" w:cs="Times New Roman"/>
          <w:b/>
          <w:bCs/>
          <w:color w:val="auto"/>
          <w:spacing w:val="0"/>
          <w:sz w:val="24"/>
          <w:u w:val="none"/>
          <w:lang w:val="en-US" w:eastAsia="zh-CN"/>
        </w:rPr>
        <w:t>卫生防护距离：</w:t>
      </w:r>
    </w:p>
    <w:p>
      <w:pPr>
        <w:spacing w:line="360" w:lineRule="auto"/>
        <w:ind w:firstLine="480"/>
        <w:rPr>
          <w:rFonts w:hint="default" w:ascii="Times New Roman" w:hAnsi="Times New Roman" w:cs="Times New Roman"/>
          <w:color w:val="auto"/>
          <w:sz w:val="24"/>
        </w:rPr>
      </w:pPr>
      <w:r>
        <w:rPr>
          <w:rFonts w:hint="default" w:ascii="Times New Roman" w:hAnsi="Times New Roman" w:eastAsia="宋体" w:cs="Times New Roman"/>
          <w:color w:val="auto"/>
          <w:sz w:val="24"/>
          <w:lang w:val="en-US" w:eastAsia="zh-CN"/>
        </w:rPr>
        <w:t>国家《制定地方大气污染物排放标准的技术方法》（GB/T3840-1991）中</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有害气体无组织排放控制与工业企业卫生防护距离标准的制定方法</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，凡不通过排气筒或通过15m高度以下排气筒的有害气体排放，均属无组织排放。</w:t>
      </w:r>
      <w:r>
        <w:rPr>
          <w:rFonts w:hint="default" w:ascii="Times New Roman" w:hAnsi="Times New Roman" w:cs="Times New Roman"/>
          <w:color w:val="auto"/>
          <w:sz w:val="24"/>
        </w:rPr>
        <w:t>根据《制定地方大气污染物排放标准的技术方法》（GB/T3840-91）的要求，当无组织排放的有害气体进入呼吸带大气层时，其浓度超过《环境空气质量标准》GB3095-2012和《工业企业设计卫生标准》TJ36-79规定的居住区允许浓度限值，则无组织排放源所在地的生产单元与居住区之间应设置卫生防护距离。卫生防护距离计算如下：</w:t>
      </w:r>
    </w:p>
    <w:p>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outlineLvl w:val="9"/>
        <w:rPr>
          <w:rFonts w:hint="default" w:ascii="Times New Roman" w:hAnsi="Times New Roman" w:cs="Times New Roman"/>
          <w:color w:val="auto"/>
          <w:sz w:val="24"/>
        </w:rPr>
      </w:pPr>
      <w:r>
        <w:rPr>
          <w:rFonts w:hint="default" w:ascii="Times New Roman" w:hAnsi="Times New Roman" w:cs="Times New Roman"/>
          <w:color w:val="auto"/>
          <w:position w:val="-30"/>
          <w:sz w:val="24"/>
        </w:rPr>
        <w:object>
          <v:shape id="_x0000_i1125" o:spt="75" type="#_x0000_t75" style="height:34pt;width:156pt;" o:ole="t" filled="f" o:preferrelative="t" stroked="f" coordsize="21600,21600">
            <v:path/>
            <v:fill on="f" focussize="0,0"/>
            <v:stroke on="f"/>
            <v:imagedata r:id="rId77" o:title=""/>
            <o:lock v:ext="edit" aspectratio="t"/>
            <w10:wrap type="none"/>
            <w10:anchorlock/>
          </v:shape>
          <o:OLEObject Type="Embed" ProgID="Equation.KSEE3" ShapeID="_x0000_i1125" DrawAspect="Content" ObjectID="_1468075740" r:id="rId76">
            <o:LockedField>false</o:LockedField>
          </o:OLEObject>
        </w:objec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式中：</w:t>
      </w:r>
      <m:oMath>
        <m:r>
          <m:rPr>
            <m:sty m:val="p"/>
          </m:rPr>
          <w:rPr>
            <w:rFonts w:hint="eastAsia" w:ascii="Times New Roman" w:hAnsi="Times New Roman" w:cs="Times New Roman"/>
            <w:sz w:val="24"/>
            <w:lang w:val="en-US" w:eastAsia="zh-CN"/>
          </w:rPr>
          <m:t>Q</m:t>
        </m:r>
      </m:oMath>
      <w:r>
        <w:rPr>
          <w:rFonts w:hint="default" w:ascii="Times New Roman" w:hAnsi="Times New Roman" w:cs="Times New Roman"/>
          <w:i w:val="0"/>
          <w:iCs/>
          <w:color w:val="auto"/>
          <w:sz w:val="24"/>
          <w:vertAlign w:val="subscript"/>
          <w:lang w:val="en-US" w:eastAsia="zh-CN"/>
        </w:rPr>
        <w:t>m</w:t>
      </w:r>
      <w:r>
        <w:rPr>
          <w:rFonts w:hint="default" w:ascii="Times New Roman" w:hAnsi="Times New Roman" w:cs="Times New Roman"/>
          <w:color w:val="auto"/>
          <w:sz w:val="24"/>
        </w:rPr>
        <w:t>——标准浓度限值。</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w:t>
      </w:r>
      <w:r>
        <w:rPr>
          <w:rFonts w:hint="eastAsia" w:ascii="Times New Roman" w:hAnsi="Times New Roman" w:cs="Times New Roman"/>
          <w:color w:val="auto"/>
          <w:sz w:val="24"/>
          <w:lang w:val="en-US" w:eastAsia="zh-CN"/>
        </w:rPr>
        <w:t>L</w:t>
      </w:r>
      <w:r>
        <w:rPr>
          <w:rFonts w:hint="default" w:ascii="Times New Roman" w:hAnsi="Times New Roman" w:cs="Times New Roman"/>
          <w:color w:val="auto"/>
          <w:sz w:val="24"/>
        </w:rPr>
        <w:t>——工业企业所需卫生防护距离，m。</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w:t>
      </w:r>
      <m:oMath>
        <m:r>
          <m:rPr>
            <m:sty m:val="p"/>
          </m:rPr>
          <w:rPr>
            <w:rFonts w:hint="default" w:ascii="Times New Roman" w:hAnsi="Times New Roman" w:cs="Times New Roman"/>
            <w:sz w:val="24"/>
            <w:lang w:val="en-US" w:eastAsia="zh-CN"/>
          </w:rPr>
          <m:t>r</m:t>
        </m:r>
      </m:oMath>
      <w:r>
        <w:rPr>
          <w:rFonts w:hint="default" w:ascii="Times New Roman" w:hAnsi="Times New Roman" w:cs="Times New Roman"/>
          <w:color w:val="auto"/>
          <w:sz w:val="24"/>
        </w:rPr>
        <w:t>——有害气体无组织排放源所在生产单元的等效半径，m。</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w:t>
      </w:r>
      <m:oMath>
        <m:r>
          <m:rPr>
            <m:sty m:val="p"/>
          </m:rPr>
          <w:rPr>
            <w:rFonts w:hint="default" w:ascii="Times New Roman" w:hAnsi="Times New Roman" w:cs="Times New Roman"/>
            <w:sz w:val="24"/>
            <w:lang w:val="en-US" w:eastAsia="zh-CN"/>
          </w:rPr>
          <m:t>Q</m:t>
        </m:r>
      </m:oMath>
      <w:r>
        <w:rPr>
          <w:rFonts w:hint="default" w:ascii="Times New Roman" w:hAnsi="Times New Roman" w:cs="Times New Roman"/>
          <w:i w:val="0"/>
          <w:iCs w:val="0"/>
          <w:color w:val="auto"/>
          <w:sz w:val="24"/>
          <w:vertAlign w:val="subscript"/>
          <w:lang w:val="en-US" w:eastAsia="zh-CN"/>
        </w:rPr>
        <w:t>c</w:t>
      </w:r>
      <w:r>
        <w:rPr>
          <w:rFonts w:hint="default" w:ascii="Times New Roman" w:hAnsi="Times New Roman" w:cs="Times New Roman"/>
          <w:color w:val="auto"/>
          <w:sz w:val="24"/>
        </w:rPr>
        <w:t>——工业企业有害气体无组织排放量可达到的控制水平。</w:t>
      </w:r>
    </w:p>
    <w:p>
      <w:pPr>
        <w:numPr>
          <w:ilvl w:val="0"/>
          <w:numId w:val="21"/>
        </w:numPr>
        <w:spacing w:line="360" w:lineRule="auto"/>
        <w:ind w:left="826" w:leftChars="0" w:firstLine="0" w:firstLineChars="0"/>
        <w:rPr>
          <w:rFonts w:hint="default" w:ascii="Times New Roman" w:hAnsi="Times New Roman" w:cs="Times New Roman"/>
          <w:color w:val="auto"/>
          <w:sz w:val="24"/>
        </w:rPr>
      </w:pPr>
      <w:r>
        <w:rPr>
          <w:rFonts w:hint="default" w:ascii="Times New Roman" w:hAnsi="Times New Roman" w:cs="Times New Roman"/>
          <w:color w:val="auto"/>
          <w:sz w:val="24"/>
        </w:rPr>
        <w:t>B，C，D——计算系数，从GB/T13201-91中查取。</w:t>
      </w:r>
    </w:p>
    <w:p>
      <w:pPr>
        <w:pStyle w:val="166"/>
        <w:spacing w:before="120" w:beforeLines="0" w:line="240" w:lineRule="auto"/>
        <w:rPr>
          <w:rFonts w:hint="eastAsia"/>
          <w:color w:val="auto"/>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28</w:t>
      </w:r>
      <w:r>
        <w:rPr>
          <w:rFonts w:hint="eastAsia"/>
          <w:color w:val="auto"/>
          <w:lang w:val="en-US" w:eastAsia="zh-CN"/>
        </w:rPr>
        <w:t xml:space="preserve"> </w:t>
      </w:r>
      <w:r>
        <w:rPr>
          <w:rFonts w:hint="eastAsia"/>
          <w:color w:val="auto"/>
        </w:rPr>
        <w:t>卫生防护距离计算系数</w:t>
      </w:r>
    </w:p>
    <w:tbl>
      <w:tblPr>
        <w:tblStyle w:val="51"/>
        <w:tblW w:w="4998"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78"/>
        <w:gridCol w:w="1737"/>
        <w:gridCol w:w="638"/>
        <w:gridCol w:w="638"/>
        <w:gridCol w:w="513"/>
        <w:gridCol w:w="766"/>
        <w:gridCol w:w="797"/>
        <w:gridCol w:w="641"/>
        <w:gridCol w:w="574"/>
        <w:gridCol w:w="511"/>
        <w:gridCol w:w="990"/>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557"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计算系数</w:t>
            </w:r>
          </w:p>
        </w:tc>
        <w:tc>
          <w:tcPr>
            <w:tcW w:w="989"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工业企业所在地区近五年平均风速m/s</w:t>
            </w:r>
          </w:p>
        </w:tc>
        <w:tc>
          <w:tcPr>
            <w:tcW w:w="3452" w:type="pct"/>
            <w:gridSpan w:val="9"/>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卫生防护距离 L，m</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vMerge w:val="continue"/>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1018" w:type="pct"/>
            <w:gridSpan w:val="3"/>
            <w:tcBorders>
              <w:tl2br w:val="nil"/>
              <w:tr2bl w:val="nil"/>
            </w:tcBorders>
            <w:noWrap w:val="0"/>
            <w:vAlign w:val="center"/>
          </w:tcPr>
          <w:p>
            <w:pPr>
              <w:pStyle w:val="332"/>
              <w:keepNext w:val="0"/>
              <w:keepLines w:val="0"/>
              <w:pageBreakBefore w:val="0"/>
              <w:widowControl w:val="0"/>
              <w:tabs>
                <w:tab w:val="left" w:pos="1200"/>
              </w:tabs>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L&lt;200</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200&lt;L&lt;2000</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L&gt;2000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vMerge w:val="continue"/>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3452" w:type="pct"/>
            <w:gridSpan w:val="9"/>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工业企业大气污染源构成类别</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vMerge w:val="continue"/>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kern w:val="2"/>
                <w:sz w:val="21"/>
                <w:szCs w:val="21"/>
              </w:rPr>
              <w:t>Ⅰ</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kern w:val="2"/>
                <w:sz w:val="21"/>
                <w:szCs w:val="21"/>
              </w:rPr>
              <w:t>Ⅱ</w:t>
            </w:r>
          </w:p>
        </w:tc>
        <w:tc>
          <w:tcPr>
            <w:tcW w:w="29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Ⅲ</w:t>
            </w:r>
          </w:p>
        </w:tc>
        <w:tc>
          <w:tcPr>
            <w:tcW w:w="436"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Ⅰ</w:t>
            </w:r>
          </w:p>
        </w:tc>
        <w:tc>
          <w:tcPr>
            <w:tcW w:w="45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Ⅱ</w:t>
            </w:r>
          </w:p>
        </w:tc>
        <w:tc>
          <w:tcPr>
            <w:tcW w:w="36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Ⅲ</w:t>
            </w:r>
          </w:p>
        </w:tc>
        <w:tc>
          <w:tcPr>
            <w:tcW w:w="327"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Ⅰ</w:t>
            </w:r>
          </w:p>
        </w:tc>
        <w:tc>
          <w:tcPr>
            <w:tcW w:w="291"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Ⅱ</w:t>
            </w:r>
          </w:p>
        </w:tc>
        <w:tc>
          <w:tcPr>
            <w:tcW w:w="56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Ⅲ</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w w:val="99"/>
                <w:sz w:val="21"/>
                <w:szCs w:val="21"/>
              </w:rPr>
              <w:t>A</w:t>
            </w: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&lt;2</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29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436"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45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36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400</w:t>
            </w:r>
          </w:p>
        </w:tc>
        <w:tc>
          <w:tcPr>
            <w:tcW w:w="327"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80</w:t>
            </w:r>
          </w:p>
        </w:tc>
        <w:tc>
          <w:tcPr>
            <w:tcW w:w="291"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80</w:t>
            </w:r>
          </w:p>
        </w:tc>
        <w:tc>
          <w:tcPr>
            <w:tcW w:w="56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80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2~4</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700</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470</w:t>
            </w:r>
          </w:p>
        </w:tc>
        <w:tc>
          <w:tcPr>
            <w:tcW w:w="29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350</w:t>
            </w:r>
          </w:p>
        </w:tc>
        <w:tc>
          <w:tcPr>
            <w:tcW w:w="436"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700</w:t>
            </w:r>
          </w:p>
        </w:tc>
        <w:tc>
          <w:tcPr>
            <w:tcW w:w="45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470</w:t>
            </w:r>
          </w:p>
        </w:tc>
        <w:tc>
          <w:tcPr>
            <w:tcW w:w="36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350</w:t>
            </w:r>
          </w:p>
        </w:tc>
        <w:tc>
          <w:tcPr>
            <w:tcW w:w="327"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380</w:t>
            </w:r>
          </w:p>
        </w:tc>
        <w:tc>
          <w:tcPr>
            <w:tcW w:w="291"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250</w:t>
            </w:r>
          </w:p>
        </w:tc>
        <w:tc>
          <w:tcPr>
            <w:tcW w:w="56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190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&gt;4</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530</w:t>
            </w:r>
          </w:p>
        </w:tc>
        <w:tc>
          <w:tcPr>
            <w:tcW w:w="363"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350</w:t>
            </w:r>
          </w:p>
        </w:tc>
        <w:tc>
          <w:tcPr>
            <w:tcW w:w="29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260</w:t>
            </w:r>
          </w:p>
        </w:tc>
        <w:tc>
          <w:tcPr>
            <w:tcW w:w="436"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530</w:t>
            </w:r>
          </w:p>
        </w:tc>
        <w:tc>
          <w:tcPr>
            <w:tcW w:w="45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350</w:t>
            </w:r>
          </w:p>
        </w:tc>
        <w:tc>
          <w:tcPr>
            <w:tcW w:w="364"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260</w:t>
            </w:r>
          </w:p>
        </w:tc>
        <w:tc>
          <w:tcPr>
            <w:tcW w:w="327"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290</w:t>
            </w:r>
          </w:p>
        </w:tc>
        <w:tc>
          <w:tcPr>
            <w:tcW w:w="291"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190</w:t>
            </w:r>
          </w:p>
        </w:tc>
        <w:tc>
          <w:tcPr>
            <w:tcW w:w="560"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w w:val="99"/>
                <w:sz w:val="21"/>
                <w:szCs w:val="21"/>
              </w:rPr>
              <w:t>B</w:t>
            </w: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0.01</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0.015</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0.015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&gt;2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0.021</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0.036</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0.036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w w:val="99"/>
                <w:sz w:val="21"/>
                <w:szCs w:val="21"/>
              </w:rPr>
              <w:t>C</w:t>
            </w: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1.85</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1.79</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&gt;2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1.85</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1.77</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restar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w w:val="99"/>
                <w:sz w:val="21"/>
                <w:szCs w:val="21"/>
              </w:rPr>
              <w:t>D</w:t>
            </w: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&lt;2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0.78</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0.78</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0.57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7" w:type="pct"/>
            <w:vMerge w:val="continue"/>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uto"/>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p>
        </w:tc>
        <w:tc>
          <w:tcPr>
            <w:tcW w:w="989" w:type="pct"/>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&gt;2</w:t>
            </w:r>
          </w:p>
        </w:tc>
        <w:tc>
          <w:tcPr>
            <w:tcW w:w="101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0.84</w:t>
            </w:r>
          </w:p>
        </w:tc>
        <w:tc>
          <w:tcPr>
            <w:tcW w:w="1255"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0.84</w:t>
            </w:r>
          </w:p>
        </w:tc>
        <w:tc>
          <w:tcPr>
            <w:tcW w:w="1178" w:type="pct"/>
            <w:gridSpan w:val="3"/>
            <w:tcBorders>
              <w:tl2br w:val="nil"/>
              <w:tr2bl w:val="nil"/>
            </w:tcBorders>
            <w:noWrap w:val="0"/>
            <w:vAlign w:val="center"/>
          </w:tcPr>
          <w:p>
            <w:pPr>
              <w:pStyle w:val="332"/>
              <w:keepNext w:val="0"/>
              <w:keepLines w:val="0"/>
              <w:pageBreakBefore w:val="0"/>
              <w:widowControl w:val="0"/>
              <w:kinsoku/>
              <w:wordWrap/>
              <w:overflowPunct/>
              <w:topLinePunct w:val="0"/>
              <w:bidi w:val="0"/>
              <w:snapToGrid/>
              <w:ind w:left="0" w:right="0" w:rightChars="0" w:firstLine="0" w:firstLineChars="0"/>
              <w:jc w:val="center"/>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0.76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00" w:type="pct"/>
            <w:gridSpan w:val="11"/>
            <w:tcBorders>
              <w:tl2br w:val="nil"/>
              <w:tr2bl w:val="nil"/>
            </w:tcBorders>
            <w:noWrap w:val="0"/>
            <w:vAlign w:val="top"/>
          </w:tcPr>
          <w:p>
            <w:pPr>
              <w:keepNext w:val="0"/>
              <w:keepLines w:val="0"/>
              <w:pageBreakBefore w:val="0"/>
              <w:widowControl w:val="0"/>
              <w:kinsoku/>
              <w:wordWrap/>
              <w:overflowPunct/>
              <w:topLinePunct w:val="0"/>
              <w:bidi w:val="0"/>
              <w:snapToGrid/>
              <w:spacing w:line="240" w:lineRule="auto"/>
              <w:ind w:left="0" w:right="0" w:rightChars="0" w:firstLine="0" w:firstLineChars="0"/>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注</w:t>
            </w:r>
            <w:r>
              <w:rPr>
                <w:rFonts w:hint="eastAsia"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1）工业企业大气污染源构成分为三类：</w:t>
            </w:r>
          </w:p>
          <w:p>
            <w:pPr>
              <w:keepNext w:val="0"/>
              <w:keepLines w:val="0"/>
              <w:pageBreakBefore w:val="0"/>
              <w:widowControl w:val="0"/>
              <w:kinsoku/>
              <w:wordWrap/>
              <w:overflowPunct/>
              <w:topLinePunct w:val="0"/>
              <w:bidi w:val="0"/>
              <w:snapToGrid/>
              <w:spacing w:line="240" w:lineRule="auto"/>
              <w:ind w:left="0" w:right="0" w:rightChars="0" w:firstLine="0" w:firstLineChars="0"/>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Ⅰ类：与无组织排放源共存的排放同种有害气体的排气筒的排放量，大于标准规定的允许排放量的三分之一者。</w:t>
            </w:r>
          </w:p>
          <w:p>
            <w:pPr>
              <w:keepNext w:val="0"/>
              <w:keepLines w:val="0"/>
              <w:pageBreakBefore w:val="0"/>
              <w:widowControl w:val="0"/>
              <w:kinsoku/>
              <w:wordWrap/>
              <w:overflowPunct/>
              <w:topLinePunct w:val="0"/>
              <w:bidi w:val="0"/>
              <w:snapToGrid/>
              <w:spacing w:line="240" w:lineRule="auto"/>
              <w:ind w:left="0" w:right="0" w:rightChars="0" w:firstLine="0" w:firstLineChars="0"/>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keepNext w:val="0"/>
              <w:keepLines w:val="0"/>
              <w:pageBreakBefore w:val="0"/>
              <w:widowControl w:val="0"/>
              <w:kinsoku/>
              <w:wordWrap/>
              <w:overflowPunct/>
              <w:topLinePunct w:val="0"/>
              <w:bidi w:val="0"/>
              <w:snapToGrid/>
              <w:spacing w:line="240" w:lineRule="auto"/>
              <w:ind w:left="0" w:right="0" w:rightChars="0" w:firstLine="0" w:firstLineChars="0"/>
              <w:textAlignment w:val="auto"/>
              <w:outlineLvl w:val="9"/>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Ⅲ类：无排放同种有害物质的排气筒与无组织排放源共存，且无组织排放的有害物质的容许浓度是按慢性反应指标确定者。</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cs="Times New Roman"/>
          <w:color w:val="auto"/>
          <w:sz w:val="24"/>
        </w:rPr>
      </w:pPr>
      <w:r>
        <w:rPr>
          <w:rFonts w:hint="eastAsia"/>
          <w:color w:val="auto"/>
        </w:rPr>
        <w:t>本项目在生产过程中的无组织排放废气主要是各生产单元无组织排放的恶臭，其污染因子主要是NH</w:t>
      </w:r>
      <w:r>
        <w:rPr>
          <w:rFonts w:hint="eastAsia"/>
          <w:color w:val="auto"/>
          <w:vertAlign w:val="subscript"/>
        </w:rPr>
        <w:t>3</w:t>
      </w:r>
      <w:r>
        <w:rPr>
          <w:rFonts w:hint="eastAsia"/>
          <w:color w:val="auto"/>
        </w:rPr>
        <w:t>、H</w:t>
      </w:r>
      <w:r>
        <w:rPr>
          <w:rFonts w:hint="eastAsia"/>
          <w:color w:val="auto"/>
          <w:vertAlign w:val="subscript"/>
        </w:rPr>
        <w:t>2</w:t>
      </w:r>
      <w:r>
        <w:rPr>
          <w:rFonts w:hint="eastAsia"/>
          <w:color w:val="auto"/>
        </w:rPr>
        <w:t>S，评价标准执行《环境影响评价技术导则  大气环境》（HJ 2.2-2018）附录D表D.1其他污染物空气质量浓度参考限值。根据上述公式计算，可得出无组织排放恶臭的卫生防护距离，计算结果</w:t>
      </w:r>
      <w:r>
        <w:rPr>
          <w:rFonts w:hint="default" w:ascii="Times New Roman" w:hAnsi="Times New Roman" w:cs="Times New Roman"/>
          <w:color w:val="auto"/>
          <w:sz w:val="24"/>
        </w:rPr>
        <w:t>见下表。</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outlineLvl w:val="9"/>
        <w:rPr>
          <w:rFonts w:hint="default" w:ascii="Times New Roman" w:hAnsi="Times New Roman" w:eastAsia="宋体" w:cs="Times New Roman"/>
          <w:b/>
          <w:bCs w:val="0"/>
          <w:color w:val="auto"/>
          <w:szCs w:val="21"/>
          <w:lang w:val="en-US" w:eastAsia="zh-CN"/>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29</w:t>
      </w:r>
      <w:r>
        <w:rPr>
          <w:rFonts w:hint="eastAsia" w:ascii="Times New Roman" w:hAnsi="Times New Roman" w:eastAsia="宋体" w:cs="Times New Roman"/>
          <w:b/>
          <w:bCs w:val="0"/>
          <w:color w:val="auto"/>
          <w:sz w:val="21"/>
          <w:szCs w:val="21"/>
          <w:lang w:val="en-US" w:eastAsia="zh-CN"/>
        </w:rPr>
        <w:t xml:space="preserve"> </w:t>
      </w:r>
      <w:r>
        <w:rPr>
          <w:rFonts w:hint="default" w:ascii="Times New Roman" w:hAnsi="Times New Roman" w:eastAsia="宋体" w:cs="Times New Roman"/>
          <w:b/>
          <w:bCs w:val="0"/>
          <w:color w:val="auto"/>
          <w:sz w:val="21"/>
          <w:szCs w:val="21"/>
          <w:lang w:val="en-US" w:eastAsia="zh-CN"/>
        </w:rPr>
        <w:t>卫生防护距离计算结果</w:t>
      </w:r>
    </w:p>
    <w:tbl>
      <w:tblPr>
        <w:tblStyle w:val="5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255"/>
        <w:gridCol w:w="940"/>
        <w:gridCol w:w="1309"/>
        <w:gridCol w:w="1282"/>
        <w:gridCol w:w="1159"/>
        <w:gridCol w:w="10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 xml:space="preserve">无组织源位置 </w:t>
            </w:r>
          </w:p>
        </w:tc>
        <w:tc>
          <w:tcPr>
            <w:tcW w:w="69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面积（m²）</w:t>
            </w:r>
          </w:p>
        </w:tc>
        <w:tc>
          <w:tcPr>
            <w:tcW w:w="52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主要污染因子</w:t>
            </w:r>
          </w:p>
        </w:tc>
        <w:tc>
          <w:tcPr>
            <w:tcW w:w="7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小时评价标准（</w:t>
            </w:r>
            <w:r>
              <w:rPr>
                <w:rFonts w:hint="eastAsia" w:ascii="Times New Roman" w:hAnsi="Times New Roman" w:cs="Times New Roman"/>
                <w:color w:val="auto"/>
                <w:kern w:val="0"/>
                <w:sz w:val="21"/>
                <w:szCs w:val="21"/>
                <w:lang w:val="en-US" w:eastAsia="zh-CN"/>
              </w:rPr>
              <w:t>u</w:t>
            </w:r>
            <w:r>
              <w:rPr>
                <w:rFonts w:hint="default" w:ascii="Times New Roman" w:hAnsi="Times New Roman" w:cs="Times New Roman"/>
                <w:color w:val="auto"/>
                <w:kern w:val="0"/>
                <w:sz w:val="21"/>
                <w:szCs w:val="21"/>
              </w:rPr>
              <w:t>g/m³）</w:t>
            </w:r>
          </w:p>
        </w:tc>
        <w:tc>
          <w:tcPr>
            <w:tcW w:w="7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无组织排放速率（kg/h）</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rPr>
            </w:pPr>
            <w:r>
              <w:rPr>
                <w:rFonts w:hint="default"/>
                <w:color w:val="auto"/>
                <w:sz w:val="21"/>
                <w:szCs w:val="21"/>
              </w:rPr>
              <w:t>计算距离</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jc w:val="center"/>
              <w:textAlignment w:val="auto"/>
              <w:rPr>
                <w:rFonts w:hint="default"/>
                <w:color w:val="auto"/>
                <w:sz w:val="21"/>
                <w:szCs w:val="21"/>
              </w:rPr>
            </w:pPr>
            <w:r>
              <w:rPr>
                <w:rFonts w:hint="default"/>
                <w:color w:val="auto"/>
                <w:sz w:val="21"/>
                <w:szCs w:val="21"/>
              </w:rPr>
              <w:t>（m）</w:t>
            </w: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卫生防护距离（m）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961" w:type="dxa"/>
            <w:vMerge w:val="restart"/>
            <w:tcBorders>
              <w:tl2br w:val="nil"/>
              <w:tr2bl w:val="nil"/>
            </w:tcBorders>
            <w:noWrap w:val="0"/>
            <w:vAlign w:val="center"/>
          </w:tcPr>
          <w:p>
            <w:pPr>
              <w:pStyle w:val="332"/>
              <w:kinsoku w:val="0"/>
              <w:overflowPunct w:val="0"/>
              <w:ind w:firstLine="0" w:firstLineChars="0"/>
              <w:jc w:val="center"/>
              <w:rPr>
                <w:rFonts w:hint="default" w:ascii="Times New Roman" w:hAnsi="Times New Roman" w:cs="Times New Roman"/>
                <w:color w:val="auto"/>
                <w:kern w:val="0"/>
                <w:sz w:val="21"/>
                <w:szCs w:val="21"/>
              </w:rPr>
            </w:pPr>
            <w:r>
              <w:rPr>
                <w:color w:val="auto"/>
                <w:sz w:val="20"/>
                <w:szCs w:val="20"/>
              </w:rPr>
              <w:t>生产养殖区</w:t>
            </w:r>
          </w:p>
        </w:tc>
        <w:tc>
          <w:tcPr>
            <w:tcW w:w="1255" w:type="dxa"/>
            <w:vMerge w:val="restart"/>
            <w:tcBorders>
              <w:tl2br w:val="nil"/>
              <w:tr2bl w:val="nil"/>
            </w:tcBorders>
            <w:noWrap w:val="0"/>
            <w:vAlign w:val="center"/>
          </w:tcPr>
          <w:p>
            <w:pPr>
              <w:pStyle w:val="332"/>
              <w:kinsoku w:val="0"/>
              <w:overflowPunct w:val="0"/>
              <w:ind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b w:val="0"/>
                <w:bCs w:val="0"/>
                <w:color w:val="auto"/>
                <w:sz w:val="21"/>
                <w:szCs w:val="21"/>
                <w:lang w:val="en-US" w:eastAsia="zh-CN"/>
              </w:rPr>
              <w:t>9050m</w:t>
            </w:r>
            <w:r>
              <w:rPr>
                <w:rFonts w:hint="eastAsia" w:ascii="Times New Roman" w:hAnsi="Times New Roman" w:cs="Times New Roman"/>
                <w:b w:val="0"/>
                <w:bCs w:val="0"/>
                <w:color w:val="auto"/>
                <w:sz w:val="21"/>
                <w:szCs w:val="21"/>
                <w:vertAlign w:val="superscript"/>
                <w:lang w:val="en-US" w:eastAsia="zh-CN"/>
              </w:rPr>
              <w:t>2</w:t>
            </w:r>
          </w:p>
        </w:tc>
        <w:tc>
          <w:tcPr>
            <w:tcW w:w="52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NH</w:t>
            </w:r>
            <w:r>
              <w:rPr>
                <w:rFonts w:hint="default" w:ascii="Times New Roman" w:hAnsi="Times New Roman" w:cs="Times New Roman"/>
                <w:color w:val="auto"/>
                <w:kern w:val="0"/>
                <w:sz w:val="21"/>
                <w:szCs w:val="21"/>
                <w:vertAlign w:val="subscript"/>
                <w:lang w:val="en-US" w:eastAsia="zh-CN"/>
              </w:rPr>
              <w:t>3</w:t>
            </w:r>
            <w:r>
              <w:rPr>
                <w:rFonts w:hint="default" w:ascii="Times New Roman" w:hAnsi="Times New Roman" w:cs="Times New Roman"/>
                <w:color w:val="auto"/>
                <w:kern w:val="0"/>
                <w:sz w:val="21"/>
                <w:szCs w:val="21"/>
                <w:lang w:val="en-US" w:eastAsia="zh-CN"/>
              </w:rPr>
              <w:t xml:space="preserve"> </w:t>
            </w:r>
          </w:p>
        </w:tc>
        <w:tc>
          <w:tcPr>
            <w:tcW w:w="1309"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ascii="Times New Roman" w:hAnsi="Times New Roman" w:eastAsia="宋体" w:cs="Times New Roman"/>
                <w:color w:val="auto"/>
                <w:kern w:val="0"/>
                <w:sz w:val="21"/>
                <w:szCs w:val="21"/>
                <w:lang w:val="en-US" w:eastAsia="zh-CN"/>
              </w:rPr>
            </w:pPr>
            <w:r>
              <w:rPr>
                <w:rFonts w:hint="eastAsia"/>
                <w:b w:val="0"/>
                <w:bCs w:val="0"/>
                <w:color w:val="auto"/>
                <w:sz w:val="21"/>
                <w:szCs w:val="21"/>
                <w:lang w:val="en-US" w:eastAsia="zh-CN"/>
              </w:rPr>
              <w:t>200</w:t>
            </w:r>
          </w:p>
        </w:tc>
        <w:tc>
          <w:tcPr>
            <w:tcW w:w="7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eastAsia="等线"/>
                <w:color w:val="auto"/>
                <w:sz w:val="21"/>
                <w:szCs w:val="21"/>
                <w:lang w:val="en-US" w:eastAsia="zh-CN"/>
              </w:rPr>
              <w:t>0.0200</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08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p>
        </w:tc>
        <w:tc>
          <w:tcPr>
            <w:tcW w:w="69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p>
        </w:tc>
        <w:tc>
          <w:tcPr>
            <w:tcW w:w="52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H</w:t>
            </w:r>
            <w:r>
              <w:rPr>
                <w:rFonts w:hint="eastAsia" w:ascii="Times New Roman" w:hAnsi="Times New Roman" w:cs="Times New Roman"/>
                <w:color w:val="auto"/>
                <w:kern w:val="0"/>
                <w:sz w:val="21"/>
                <w:szCs w:val="21"/>
                <w:vertAlign w:val="subscript"/>
                <w:lang w:val="en-US" w:eastAsia="zh-CN"/>
              </w:rPr>
              <w:t>2</w:t>
            </w:r>
            <w:r>
              <w:rPr>
                <w:rFonts w:hint="eastAsia" w:ascii="Times New Roman" w:hAnsi="Times New Roman" w:cs="Times New Roman"/>
                <w:color w:val="auto"/>
                <w:kern w:val="0"/>
                <w:sz w:val="21"/>
                <w:szCs w:val="21"/>
                <w:lang w:val="en-US" w:eastAsia="zh-CN"/>
              </w:rPr>
              <w:t xml:space="preserve">S </w:t>
            </w:r>
          </w:p>
        </w:tc>
        <w:tc>
          <w:tcPr>
            <w:tcW w:w="1309"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default" w:ascii="Times New Roman" w:hAnsi="Times New Roman" w:eastAsia="宋体" w:cs="Times New Roman"/>
                <w:color w:val="auto"/>
                <w:kern w:val="0"/>
                <w:sz w:val="21"/>
                <w:szCs w:val="21"/>
                <w:lang w:val="en-US" w:eastAsia="zh-CN"/>
              </w:rPr>
            </w:pPr>
            <w:r>
              <w:rPr>
                <w:rFonts w:hint="eastAsia"/>
                <w:b w:val="0"/>
                <w:bCs w:val="0"/>
                <w:color w:val="auto"/>
                <w:sz w:val="21"/>
                <w:szCs w:val="21"/>
                <w:lang w:val="en-US" w:eastAsia="zh-CN"/>
              </w:rPr>
              <w:t>10</w:t>
            </w:r>
          </w:p>
        </w:tc>
        <w:tc>
          <w:tcPr>
            <w:tcW w:w="7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eastAsia="等线"/>
                <w:color w:val="auto"/>
                <w:sz w:val="21"/>
                <w:szCs w:val="21"/>
                <w:lang w:val="en-US" w:eastAsia="zh-CN"/>
              </w:rPr>
              <w:t>0.0014</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961" w:type="dxa"/>
            <w:vMerge w:val="restart"/>
            <w:tcBorders>
              <w:tl2br w:val="nil"/>
              <w:tr2bl w:val="nil"/>
            </w:tcBorders>
            <w:noWrap w:val="0"/>
            <w:vAlign w:val="center"/>
          </w:tcPr>
          <w:p>
            <w:pPr>
              <w:pStyle w:val="332"/>
              <w:kinsoku w:val="0"/>
              <w:overflowPunct w:val="0"/>
              <w:jc w:val="center"/>
              <w:rPr>
                <w:rFonts w:hint="default" w:ascii="Times New Roman" w:hAnsi="Times New Roman" w:cs="Times New Roman"/>
                <w:color w:val="auto"/>
                <w:kern w:val="0"/>
                <w:sz w:val="21"/>
                <w:szCs w:val="21"/>
              </w:rPr>
            </w:pPr>
            <w:r>
              <w:rPr>
                <w:rFonts w:hint="eastAsia" w:ascii="Times New Roman" w:hAnsi="Times New Roman" w:cs="Times New Roman"/>
                <w:b w:val="0"/>
                <w:bCs w:val="0"/>
                <w:color w:val="auto"/>
                <w:position w:val="2"/>
                <w:sz w:val="21"/>
                <w:szCs w:val="21"/>
                <w:lang w:val="en-US" w:eastAsia="zh-CN"/>
              </w:rPr>
              <w:t>污水治理区</w:t>
            </w:r>
          </w:p>
        </w:tc>
        <w:tc>
          <w:tcPr>
            <w:tcW w:w="1255" w:type="dxa"/>
            <w:vMerge w:val="restart"/>
            <w:tcBorders>
              <w:tl2br w:val="nil"/>
              <w:tr2bl w:val="nil"/>
            </w:tcBorders>
            <w:noWrap w:val="0"/>
            <w:vAlign w:val="center"/>
          </w:tcPr>
          <w:p>
            <w:pPr>
              <w:pStyle w:val="332"/>
              <w:kinsoku w:val="0"/>
              <w:overflowPunct w:val="0"/>
              <w:ind w:firstLine="0" w:firstLineChars="0"/>
              <w:jc w:val="center"/>
              <w:rPr>
                <w:rFonts w:hint="default" w:ascii="Times New Roman" w:hAnsi="Times New Roman" w:cs="Times New Roman"/>
                <w:color w:val="auto"/>
                <w:kern w:val="0"/>
                <w:sz w:val="21"/>
                <w:szCs w:val="21"/>
              </w:rPr>
            </w:pPr>
            <w:r>
              <w:rPr>
                <w:rFonts w:hint="eastAsia" w:ascii="Times New Roman" w:hAnsi="Times New Roman" w:cs="Times New Roman"/>
                <w:b w:val="0"/>
                <w:bCs w:val="0"/>
                <w:color w:val="auto"/>
                <w:sz w:val="21"/>
                <w:szCs w:val="21"/>
                <w:lang w:val="en-US" w:eastAsia="zh-CN"/>
              </w:rPr>
              <w:t>1800m</w:t>
            </w:r>
            <w:r>
              <w:rPr>
                <w:rFonts w:hint="eastAsia" w:ascii="Times New Roman" w:hAnsi="Times New Roman" w:cs="Times New Roman"/>
                <w:b w:val="0"/>
                <w:bCs w:val="0"/>
                <w:color w:val="auto"/>
                <w:sz w:val="21"/>
                <w:szCs w:val="21"/>
                <w:vertAlign w:val="superscript"/>
                <w:lang w:val="en-US" w:eastAsia="zh-CN"/>
              </w:rPr>
              <w:t>2</w:t>
            </w:r>
          </w:p>
        </w:tc>
        <w:tc>
          <w:tcPr>
            <w:tcW w:w="9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NH</w:t>
            </w:r>
            <w:r>
              <w:rPr>
                <w:rFonts w:hint="default" w:ascii="Times New Roman" w:hAnsi="Times New Roman" w:cs="Times New Roman"/>
                <w:color w:val="auto"/>
                <w:kern w:val="0"/>
                <w:sz w:val="21"/>
                <w:szCs w:val="21"/>
                <w:vertAlign w:val="subscript"/>
                <w:lang w:val="en-US" w:eastAsia="zh-CN"/>
              </w:rPr>
              <w:t>3</w:t>
            </w:r>
            <w:r>
              <w:rPr>
                <w:rFonts w:hint="default" w:ascii="Times New Roman" w:hAnsi="Times New Roman" w:cs="Times New Roman"/>
                <w:color w:val="auto"/>
                <w:kern w:val="0"/>
                <w:sz w:val="21"/>
                <w:szCs w:val="21"/>
                <w:lang w:val="en-US" w:eastAsia="zh-CN"/>
              </w:rPr>
              <w:t xml:space="preserve"> </w:t>
            </w:r>
          </w:p>
        </w:tc>
        <w:tc>
          <w:tcPr>
            <w:tcW w:w="1309"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b w:val="0"/>
                <w:bCs w:val="0"/>
                <w:color w:val="auto"/>
                <w:sz w:val="21"/>
                <w:szCs w:val="21"/>
                <w:lang w:val="en-US" w:eastAsia="zh-CN"/>
              </w:rPr>
              <w:t>200</w:t>
            </w:r>
          </w:p>
        </w:tc>
        <w:tc>
          <w:tcPr>
            <w:tcW w:w="7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r>
              <w:rPr>
                <w:rFonts w:eastAsia="宋体"/>
                <w:color w:val="auto"/>
                <w:sz w:val="21"/>
                <w:szCs w:val="21"/>
              </w:rPr>
              <w:t>1.</w:t>
            </w:r>
            <w:r>
              <w:rPr>
                <w:rFonts w:hint="eastAsia" w:eastAsia="宋体"/>
                <w:color w:val="auto"/>
                <w:sz w:val="21"/>
                <w:szCs w:val="21"/>
                <w:lang w:val="en-US" w:eastAsia="zh-CN"/>
              </w:rPr>
              <w:t>12</w:t>
            </w:r>
            <w:r>
              <w:rPr>
                <w:rFonts w:eastAsia="宋体"/>
                <w:color w:val="auto"/>
                <w:sz w:val="21"/>
                <w:szCs w:val="21"/>
              </w:rPr>
              <w:t>×10</w:t>
            </w:r>
            <w:r>
              <w:rPr>
                <w:rFonts w:eastAsia="宋体"/>
                <w:color w:val="auto"/>
                <w:sz w:val="21"/>
                <w:szCs w:val="21"/>
                <w:vertAlign w:val="superscript"/>
              </w:rPr>
              <w:t>-3</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08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p>
        </w:tc>
        <w:tc>
          <w:tcPr>
            <w:tcW w:w="69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p>
        </w:tc>
        <w:tc>
          <w:tcPr>
            <w:tcW w:w="9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H</w:t>
            </w:r>
            <w:r>
              <w:rPr>
                <w:rFonts w:hint="eastAsia" w:ascii="Times New Roman" w:hAnsi="Times New Roman" w:cs="Times New Roman"/>
                <w:color w:val="auto"/>
                <w:kern w:val="0"/>
                <w:sz w:val="21"/>
                <w:szCs w:val="21"/>
                <w:vertAlign w:val="subscript"/>
                <w:lang w:val="en-US" w:eastAsia="zh-CN"/>
              </w:rPr>
              <w:t>2</w:t>
            </w:r>
            <w:r>
              <w:rPr>
                <w:rFonts w:hint="eastAsia" w:ascii="Times New Roman" w:hAnsi="Times New Roman" w:cs="Times New Roman"/>
                <w:color w:val="auto"/>
                <w:kern w:val="0"/>
                <w:sz w:val="21"/>
                <w:szCs w:val="21"/>
                <w:lang w:val="en-US" w:eastAsia="zh-CN"/>
              </w:rPr>
              <w:t xml:space="preserve">S </w:t>
            </w:r>
          </w:p>
        </w:tc>
        <w:tc>
          <w:tcPr>
            <w:tcW w:w="1309" w:type="dxa"/>
            <w:tcBorders>
              <w:tl2br w:val="nil"/>
              <w:tr2bl w:val="nil"/>
            </w:tcBorders>
            <w:noWrap w:val="0"/>
            <w:vAlign w:val="center"/>
          </w:tcPr>
          <w:p>
            <w:pPr>
              <w:pStyle w:val="20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textAlignment w:val="auto"/>
              <w:outlineLvl w:val="9"/>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b w:val="0"/>
                <w:bCs w:val="0"/>
                <w:color w:val="auto"/>
                <w:sz w:val="21"/>
                <w:szCs w:val="21"/>
                <w:lang w:val="en-US" w:eastAsia="zh-CN"/>
              </w:rPr>
              <w:t>10</w:t>
            </w:r>
          </w:p>
        </w:tc>
        <w:tc>
          <w:tcPr>
            <w:tcW w:w="71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r>
              <w:rPr>
                <w:rFonts w:eastAsia="宋体"/>
                <w:color w:val="auto"/>
                <w:sz w:val="21"/>
                <w:szCs w:val="21"/>
              </w:rPr>
              <w:t>4.</w:t>
            </w:r>
            <w:r>
              <w:rPr>
                <w:rFonts w:hint="eastAsia" w:eastAsia="宋体"/>
                <w:color w:val="auto"/>
                <w:sz w:val="21"/>
                <w:szCs w:val="21"/>
                <w:lang w:val="en-US" w:eastAsia="zh-CN"/>
              </w:rPr>
              <w:t>35</w:t>
            </w:r>
            <w:r>
              <w:rPr>
                <w:rFonts w:eastAsia="宋体"/>
                <w:color w:val="auto"/>
                <w:sz w:val="21"/>
                <w:szCs w:val="21"/>
              </w:rPr>
              <w:t>×10</w:t>
            </w:r>
            <w:r>
              <w:rPr>
                <w:rFonts w:eastAsia="宋体"/>
                <w:color w:val="auto"/>
                <w:sz w:val="21"/>
                <w:szCs w:val="21"/>
                <w:vertAlign w:val="superscript"/>
              </w:rPr>
              <w:t>-5</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p>
        </w:tc>
        <w:tc>
          <w:tcPr>
            <w:tcW w:w="6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50</w:t>
            </w:r>
          </w:p>
        </w:tc>
      </w:tr>
    </w:tbl>
    <w:p>
      <w:pPr>
        <w:ind w:firstLine="480"/>
        <w:rPr>
          <w:rFonts w:hint="eastAsia"/>
          <w:color w:val="auto"/>
        </w:rPr>
      </w:pPr>
      <w:r>
        <w:rPr>
          <w:rFonts w:hint="eastAsia"/>
          <w:color w:val="auto"/>
        </w:rPr>
        <w:t>根据《制定地方大气污染物排放标准的技术方法》</w:t>
      </w:r>
      <w:r>
        <w:rPr>
          <w:color w:val="auto"/>
        </w:rPr>
        <w:t>(GB/T13201-91)</w:t>
      </w:r>
      <w:r>
        <w:rPr>
          <w:rFonts w:hint="eastAsia"/>
          <w:color w:val="auto"/>
        </w:rPr>
        <w:t>的有关规定：无组织排放多种有害气体的工业企业，按</w:t>
      </w:r>
      <w:r>
        <w:rPr>
          <w:i/>
          <w:color w:val="auto"/>
        </w:rPr>
        <w:t>Qc</w:t>
      </w:r>
      <w:r>
        <w:rPr>
          <w:color w:val="auto"/>
        </w:rPr>
        <w:t>/</w:t>
      </w:r>
      <w:r>
        <w:rPr>
          <w:i/>
          <w:color w:val="auto"/>
        </w:rPr>
        <w:t>Cm</w:t>
      </w:r>
      <w:r>
        <w:rPr>
          <w:rFonts w:hint="eastAsia"/>
          <w:color w:val="auto"/>
        </w:rPr>
        <w:t>的最大值计算其所需卫生防护距离；但当按两种或两种以上的有害气体的</w:t>
      </w:r>
      <w:r>
        <w:rPr>
          <w:i/>
          <w:color w:val="auto"/>
        </w:rPr>
        <w:t>Qc</w:t>
      </w:r>
      <w:r>
        <w:rPr>
          <w:color w:val="auto"/>
        </w:rPr>
        <w:t>/</w:t>
      </w:r>
      <w:r>
        <w:rPr>
          <w:i/>
          <w:color w:val="auto"/>
        </w:rPr>
        <w:t>Cm</w:t>
      </w:r>
      <w:r>
        <w:rPr>
          <w:rFonts w:hint="eastAsia"/>
          <w:color w:val="auto"/>
        </w:rPr>
        <w:t>值计算的卫生防护距离在同一级别时，该类工业企业的卫生防护距离级别应该高一级。卫生防护距离在100m以内时，级差为50m，超过100m，但小于1000m时，级差为100m，超过1000m以上时，级差为200m。因此，本项目通过计算，本项目猪舍、治污区分别设置100m卫生防护距离。</w:t>
      </w:r>
    </w:p>
    <w:p>
      <w:pPr>
        <w:pStyle w:val="265"/>
        <w:rPr>
          <w:rFonts w:hint="eastAsia"/>
          <w:b/>
          <w:bCs/>
          <w:color w:val="auto"/>
        </w:rPr>
      </w:pPr>
      <w:r>
        <w:rPr>
          <w:rFonts w:hint="eastAsia"/>
          <w:color w:val="auto"/>
        </w:rPr>
        <w:t>同时参考《村镇规划卫生规范》（</w:t>
      </w:r>
      <w:r>
        <w:rPr>
          <w:color w:val="auto"/>
        </w:rPr>
        <w:t>GB18055-2012</w:t>
      </w:r>
      <w:r>
        <w:rPr>
          <w:rFonts w:hint="eastAsia"/>
          <w:color w:val="auto"/>
        </w:rPr>
        <w:t>）中关于养殖场卫生防护距离的规定：养猪场年存栏</w:t>
      </w:r>
      <w:r>
        <w:rPr>
          <w:color w:val="auto"/>
        </w:rPr>
        <w:t>500</w:t>
      </w:r>
      <w:r>
        <w:rPr>
          <w:rFonts w:hint="eastAsia"/>
          <w:color w:val="auto"/>
          <w:lang w:val="en-US" w:eastAsia="zh-CN"/>
        </w:rPr>
        <w:t>-</w:t>
      </w:r>
      <w:r>
        <w:rPr>
          <w:color w:val="auto"/>
        </w:rPr>
        <w:t>10000</w:t>
      </w:r>
      <w:r>
        <w:rPr>
          <w:rFonts w:hint="eastAsia"/>
          <w:color w:val="auto"/>
        </w:rPr>
        <w:t>头，卫生防护距离</w:t>
      </w:r>
      <w:r>
        <w:rPr>
          <w:color w:val="auto"/>
        </w:rPr>
        <w:t>200</w:t>
      </w:r>
      <w:r>
        <w:rPr>
          <w:rFonts w:hint="eastAsia"/>
          <w:color w:val="auto"/>
          <w:lang w:val="en-US" w:eastAsia="zh-CN"/>
        </w:rPr>
        <w:t>-</w:t>
      </w:r>
      <w:r>
        <w:rPr>
          <w:color w:val="auto"/>
        </w:rPr>
        <w:t>800m</w:t>
      </w:r>
      <w:r>
        <w:rPr>
          <w:rFonts w:hint="eastAsia"/>
          <w:color w:val="auto"/>
        </w:rPr>
        <w:t>，养猪场年存栏</w:t>
      </w:r>
      <w:r>
        <w:rPr>
          <w:color w:val="auto"/>
        </w:rPr>
        <w:t>10000</w:t>
      </w:r>
      <w:r>
        <w:rPr>
          <w:rFonts w:hint="eastAsia"/>
          <w:color w:val="auto"/>
          <w:lang w:val="en-US" w:eastAsia="zh-CN"/>
        </w:rPr>
        <w:t>-</w:t>
      </w:r>
      <w:r>
        <w:rPr>
          <w:color w:val="auto"/>
        </w:rPr>
        <w:t>250000</w:t>
      </w:r>
      <w:r>
        <w:rPr>
          <w:rFonts w:hint="eastAsia"/>
          <w:color w:val="auto"/>
        </w:rPr>
        <w:t>头，卫生防护距离</w:t>
      </w:r>
      <w:r>
        <w:rPr>
          <w:color w:val="auto"/>
        </w:rPr>
        <w:t>800</w:t>
      </w:r>
      <w:r>
        <w:rPr>
          <w:rFonts w:hint="eastAsia"/>
          <w:color w:val="auto"/>
          <w:lang w:val="en-US" w:eastAsia="zh-CN"/>
        </w:rPr>
        <w:t>-</w:t>
      </w:r>
      <w:r>
        <w:rPr>
          <w:color w:val="auto"/>
        </w:rPr>
        <w:t>1000m</w:t>
      </w:r>
      <w:r>
        <w:rPr>
          <w:rFonts w:hint="eastAsia"/>
          <w:color w:val="auto"/>
        </w:rPr>
        <w:t>；</w:t>
      </w:r>
      <w:r>
        <w:rPr>
          <w:rFonts w:hint="eastAsia"/>
          <w:b w:val="0"/>
          <w:bCs w:val="0"/>
          <w:color w:val="auto"/>
        </w:rPr>
        <w:t>复杂地形条件下的住宅区与产生有害因素场所之间卫生防护距离，应根据环境影响报告，由建设单位主管部门与项目所在省、市、自治区的卫生、环境卫生部门共同确定。根据建设单位提供资料及EIAPro2018大气估算模型，本项目</w:t>
      </w:r>
      <w:r>
        <w:rPr>
          <w:rFonts w:hint="eastAsia"/>
          <w:b w:val="0"/>
          <w:bCs w:val="0"/>
          <w:color w:val="auto"/>
          <w:lang w:val="en-US" w:eastAsia="zh-CN"/>
        </w:rPr>
        <w:t>不</w:t>
      </w:r>
      <w:r>
        <w:rPr>
          <w:rFonts w:hint="eastAsia"/>
          <w:b w:val="0"/>
          <w:bCs w:val="0"/>
          <w:color w:val="auto"/>
        </w:rPr>
        <w:t>属于复杂地形。因此结合当地地形、气象条件及本次计算结果，最终确定本项目的卫生防护距离为</w:t>
      </w:r>
      <w:r>
        <w:rPr>
          <w:rFonts w:hint="eastAsia"/>
          <w:b w:val="0"/>
          <w:bCs w:val="0"/>
          <w:color w:val="auto"/>
          <w:lang w:val="en-US" w:eastAsia="zh-CN"/>
        </w:rPr>
        <w:t>1</w:t>
      </w:r>
      <w:r>
        <w:rPr>
          <w:rFonts w:hint="eastAsia"/>
          <w:b w:val="0"/>
          <w:bCs w:val="0"/>
          <w:color w:val="auto"/>
        </w:rPr>
        <w:t>00m（以生产养殖区、</w:t>
      </w:r>
      <w:r>
        <w:rPr>
          <w:rFonts w:hint="eastAsia"/>
          <w:b w:val="0"/>
          <w:bCs w:val="0"/>
          <w:color w:val="auto"/>
          <w:lang w:val="en-US" w:eastAsia="zh-CN"/>
        </w:rPr>
        <w:t>污水治理区域</w:t>
      </w:r>
      <w:r>
        <w:rPr>
          <w:rFonts w:hint="eastAsia"/>
          <w:b w:val="0"/>
          <w:bCs w:val="0"/>
          <w:color w:val="auto"/>
        </w:rPr>
        <w:t>边界起外扩</w:t>
      </w:r>
      <w:r>
        <w:rPr>
          <w:rFonts w:hint="eastAsia"/>
          <w:b w:val="0"/>
          <w:bCs w:val="0"/>
          <w:color w:val="auto"/>
          <w:lang w:val="en-US" w:eastAsia="zh-CN"/>
        </w:rPr>
        <w:t>1</w:t>
      </w:r>
      <w:r>
        <w:rPr>
          <w:rFonts w:hint="eastAsia"/>
          <w:b w:val="0"/>
          <w:bCs w:val="0"/>
          <w:color w:val="auto"/>
        </w:rPr>
        <w:t>00m包络线）</w:t>
      </w:r>
      <w:r>
        <w:rPr>
          <w:rFonts w:hint="eastAsia"/>
          <w:b/>
          <w:bCs/>
          <w:color w:val="auto"/>
        </w:rPr>
        <w:t>。</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color w:val="auto"/>
        </w:rPr>
      </w:pPr>
    </w:p>
    <w:p>
      <w:pPr>
        <w:pStyle w:val="166"/>
        <w:keepNext w:val="0"/>
        <w:keepLines w:val="0"/>
        <w:pageBreakBefore w:val="0"/>
        <w:widowControl w:val="0"/>
        <w:kinsoku/>
        <w:wordWrap/>
        <w:overflowPunct/>
        <w:topLinePunct w:val="0"/>
        <w:autoSpaceDE/>
        <w:autoSpaceDN/>
        <w:bidi w:val="0"/>
        <w:adjustRightInd/>
        <w:snapToGrid/>
        <w:spacing w:before="0" w:beforeLines="0" w:after="157" w:afterLines="50" w:line="240" w:lineRule="auto"/>
        <w:textAlignment w:val="auto"/>
        <w:outlineLvl w:val="9"/>
        <w:rPr>
          <w:color w:val="auto"/>
        </w:rPr>
      </w:pPr>
      <w:r>
        <w:rPr>
          <w:rFonts w:hint="eastAsia"/>
          <w:color w:val="auto"/>
        </w:rPr>
        <w:t>图</w:t>
      </w:r>
      <w:r>
        <w:rPr>
          <w:rFonts w:hint="eastAsia"/>
          <w:color w:val="auto"/>
          <w:lang w:val="en-US" w:eastAsia="zh-CN"/>
        </w:rPr>
        <w:t>5</w:t>
      </w:r>
      <w:r>
        <w:rPr>
          <w:color w:val="auto"/>
        </w:rPr>
        <w:t>.2-</w:t>
      </w:r>
      <w:r>
        <w:rPr>
          <w:rFonts w:hint="eastAsia"/>
          <w:color w:val="auto"/>
          <w:lang w:val="en-US" w:eastAsia="zh-CN"/>
        </w:rPr>
        <w:t>12</w:t>
      </w:r>
      <w:r>
        <w:rPr>
          <w:color w:val="auto"/>
        </w:rPr>
        <w:t xml:space="preserve">   项目地形</w:t>
      </w:r>
      <w:r>
        <w:rPr>
          <w:rFonts w:hint="eastAsia"/>
          <w:color w:val="auto"/>
          <w:lang w:val="en-US" w:eastAsia="zh-CN"/>
        </w:rPr>
        <w:t>判断截图</w:t>
      </w:r>
    </w:p>
    <w:p>
      <w:pPr>
        <w:pStyle w:val="265"/>
        <w:rPr>
          <w:rFonts w:hint="eastAsia"/>
          <w:color w:val="auto"/>
          <w:lang w:val="en-US" w:eastAsia="zh-CN"/>
        </w:rPr>
      </w:pPr>
      <w:r>
        <w:rPr>
          <w:rFonts w:hint="eastAsia"/>
          <w:color w:val="auto"/>
          <w:lang w:val="en-US" w:eastAsia="zh-CN"/>
        </w:rPr>
        <w:t>根据现场踏勘调查，本项目卫生防护距离范围内无学校、居民、医疗卫生、行政办公等环境敏感目标， 本项目无环保搬迁。环评要求：在卫生防护距离范围内 不得规划新建集中居民区、医院、学校及食品医药加工企业等易受本项目恶臭影响的建设项目。</w:t>
      </w:r>
    </w:p>
    <w:p>
      <w:pPr>
        <w:pStyle w:val="9"/>
        <w:rPr>
          <w:rFonts w:hint="eastAsia" w:cs="Times New Roman"/>
          <w:color w:val="auto"/>
          <w:lang w:val="en-US" w:eastAsia="zh-CN"/>
        </w:rPr>
      </w:pPr>
      <w:r>
        <w:rPr>
          <w:rFonts w:hint="eastAsia" w:cs="Times New Roman"/>
          <w:color w:val="auto"/>
          <w:lang w:val="en-US" w:eastAsia="zh-CN"/>
        </w:rPr>
        <w:t>沼气环境影响分析</w:t>
      </w:r>
    </w:p>
    <w:p>
      <w:pPr>
        <w:ind w:firstLine="480"/>
        <w:rPr>
          <w:color w:val="auto"/>
        </w:rPr>
      </w:pPr>
      <w:r>
        <w:rPr>
          <w:color w:val="auto"/>
        </w:rPr>
        <w:t>根据《畜禽养殖业污染治理工程技术规范》（HJ497-2009）中</w:t>
      </w:r>
      <w:r>
        <w:rPr>
          <w:rFonts w:hint="eastAsia"/>
          <w:color w:val="auto"/>
          <w:lang w:eastAsia="zh-CN"/>
        </w:rPr>
        <w:t>“</w:t>
      </w:r>
      <w:r>
        <w:rPr>
          <w:color w:val="auto"/>
        </w:rPr>
        <w:t>厌氧处理产生的沼气须完全利用，不得直接向环境排放。经净化处理后通过输配气系统可用于居民生活用气、锅炉燃烧、沼气发电等</w:t>
      </w:r>
      <w:r>
        <w:rPr>
          <w:rFonts w:hint="eastAsia"/>
          <w:color w:val="auto"/>
          <w:lang w:eastAsia="zh-CN"/>
        </w:rPr>
        <w:t>”</w:t>
      </w:r>
      <w:r>
        <w:rPr>
          <w:color w:val="auto"/>
        </w:rPr>
        <w:t>的规定。本项目经净化后的沼气属于清洁能源，</w:t>
      </w:r>
      <w:r>
        <w:rPr>
          <w:rFonts w:hint="eastAsia"/>
          <w:color w:val="auto"/>
          <w:lang w:val="en-US" w:eastAsia="zh-CN"/>
        </w:rPr>
        <w:t>作为食堂燃气，剩余部分火炬燃烧，</w:t>
      </w:r>
      <w:r>
        <w:rPr>
          <w:color w:val="auto"/>
        </w:rPr>
        <w:t>燃烧后的产物为二氧化碳和水，不会</w:t>
      </w:r>
      <w:r>
        <w:rPr>
          <w:rFonts w:hint="eastAsia"/>
          <w:color w:val="auto"/>
        </w:rPr>
        <w:t>对大气</w:t>
      </w:r>
      <w:r>
        <w:rPr>
          <w:color w:val="auto"/>
        </w:rPr>
        <w:t>环境</w:t>
      </w:r>
      <w:r>
        <w:rPr>
          <w:rFonts w:hint="eastAsia"/>
          <w:color w:val="auto"/>
        </w:rPr>
        <w:t>造成较大的不利影响</w:t>
      </w:r>
      <w:r>
        <w:rPr>
          <w:color w:val="auto"/>
        </w:rPr>
        <w:t>。</w:t>
      </w:r>
    </w:p>
    <w:p>
      <w:pPr>
        <w:pStyle w:val="9"/>
        <w:rPr>
          <w:rFonts w:hint="eastAsia" w:cs="Times New Roman"/>
          <w:color w:val="auto"/>
          <w:lang w:val="en-US" w:eastAsia="zh-CN"/>
        </w:rPr>
      </w:pPr>
      <w:r>
        <w:rPr>
          <w:rFonts w:hint="eastAsia" w:cs="Times New Roman"/>
          <w:color w:val="auto"/>
          <w:lang w:val="en-US" w:eastAsia="zh-CN"/>
        </w:rPr>
        <w:t xml:space="preserve"> 油烟废气环境影响分析</w:t>
      </w:r>
    </w:p>
    <w:p>
      <w:pPr>
        <w:ind w:firstLine="480"/>
        <w:rPr>
          <w:color w:val="auto"/>
        </w:rPr>
      </w:pPr>
      <w:r>
        <w:rPr>
          <w:color w:val="auto"/>
        </w:rPr>
        <w:t>本项目食堂产生的餐饮油烟经油烟罩收集与处理后，再经油烟净化设备处理，油烟的净化率可达</w:t>
      </w:r>
      <w:r>
        <w:rPr>
          <w:rFonts w:hint="eastAsia"/>
          <w:color w:val="auto"/>
          <w:lang w:val="en-US" w:eastAsia="zh-CN"/>
        </w:rPr>
        <w:t>60</w:t>
      </w:r>
      <w:r>
        <w:rPr>
          <w:color w:val="auto"/>
        </w:rPr>
        <w:t>%以上，然后引至食堂屋顶排入大气，处理后油烟排放的浓度能达到《饮食业油烟排放标准》（GB18483-2001）小型规模标准。</w:t>
      </w:r>
    </w:p>
    <w:p>
      <w:pPr>
        <w:pStyle w:val="9"/>
        <w:rPr>
          <w:rFonts w:hint="eastAsia" w:cs="Times New Roman"/>
          <w:color w:val="auto"/>
          <w:lang w:val="en-US" w:eastAsia="zh-CN"/>
        </w:rPr>
      </w:pPr>
      <w:bookmarkStart w:id="206" w:name="5.2.1.7发电机废气"/>
      <w:bookmarkEnd w:id="206"/>
      <w:r>
        <w:rPr>
          <w:rFonts w:hint="eastAsia" w:cs="Times New Roman"/>
          <w:color w:val="auto"/>
          <w:lang w:val="en-US" w:eastAsia="zh-CN"/>
        </w:rPr>
        <w:t>发电机废气环境影响分析</w:t>
      </w:r>
    </w:p>
    <w:p>
      <w:pPr>
        <w:pStyle w:val="265"/>
        <w:rPr>
          <w:color w:val="auto"/>
        </w:rPr>
      </w:pPr>
      <w:r>
        <w:rPr>
          <w:color w:val="auto"/>
        </w:rPr>
        <w:t>应急柴油发电机设置于专用发电机房内，发电机只有在停电时或紧急用电时才使用，故使用频率不高，产生的少量废气，经发电机配置的排风系统排放，对环境无明显</w:t>
      </w:r>
      <w:r>
        <w:rPr>
          <w:rFonts w:hint="eastAsia"/>
          <w:color w:val="auto"/>
        </w:rPr>
        <w:t>不利</w:t>
      </w:r>
      <w:r>
        <w:rPr>
          <w:color w:val="auto"/>
        </w:rPr>
        <w:t>影响。</w:t>
      </w:r>
    </w:p>
    <w:p>
      <w:pPr>
        <w:pStyle w:val="9"/>
        <w:rPr>
          <w:rFonts w:hint="eastAsia" w:cs="Times New Roman"/>
          <w:color w:val="auto"/>
          <w:lang w:val="en-US" w:eastAsia="zh-CN"/>
        </w:rPr>
      </w:pPr>
      <w:r>
        <w:rPr>
          <w:rFonts w:hint="eastAsia" w:cs="Times New Roman"/>
          <w:color w:val="auto"/>
          <w:lang w:val="en-US" w:eastAsia="zh-CN"/>
        </w:rPr>
        <w:t>大气环境影响结论</w:t>
      </w:r>
    </w:p>
    <w:p>
      <w:pPr>
        <w:ind w:firstLine="480"/>
        <w:rPr>
          <w:b/>
          <w:bCs/>
          <w:color w:val="auto"/>
        </w:rPr>
      </w:pPr>
      <w:r>
        <w:rPr>
          <w:rFonts w:hint="eastAsia"/>
          <w:b/>
          <w:bCs/>
          <w:color w:val="auto"/>
          <w:lang w:val="en-US" w:eastAsia="zh-CN"/>
        </w:rPr>
        <w:t>1、</w:t>
      </w:r>
      <w:r>
        <w:rPr>
          <w:rFonts w:hint="eastAsia"/>
          <w:b/>
          <w:bCs/>
          <w:color w:val="auto"/>
        </w:rPr>
        <w:t>达标区环境可接受性</w:t>
      </w:r>
    </w:p>
    <w:p>
      <w:pPr>
        <w:ind w:firstLine="480"/>
        <w:rPr>
          <w:color w:val="auto"/>
        </w:rPr>
      </w:pPr>
      <w:r>
        <w:rPr>
          <w:rFonts w:hint="eastAsia"/>
          <w:color w:val="auto"/>
        </w:rPr>
        <w:t>项目所在区域环境空气质量为达标区，环境空气质量能够满足《环境空气质量标准》（GB3095-2012）及其修改单中二级标准要求；本项目营运期排放的主要废气为</w:t>
      </w:r>
      <w:r>
        <w:rPr>
          <w:color w:val="auto"/>
        </w:rPr>
        <w:t>H</w:t>
      </w:r>
      <w:r>
        <w:rPr>
          <w:color w:val="auto"/>
          <w:vertAlign w:val="subscript"/>
        </w:rPr>
        <w:t>2</w:t>
      </w:r>
      <w:r>
        <w:rPr>
          <w:color w:val="auto"/>
        </w:rPr>
        <w:t>S</w:t>
      </w:r>
      <w:r>
        <w:rPr>
          <w:rFonts w:hint="eastAsia"/>
          <w:color w:val="auto"/>
        </w:rPr>
        <w:t>、</w:t>
      </w:r>
      <w:r>
        <w:rPr>
          <w:color w:val="auto"/>
        </w:rPr>
        <w:t>NH</w:t>
      </w:r>
      <w:r>
        <w:rPr>
          <w:color w:val="auto"/>
          <w:vertAlign w:val="subscript"/>
        </w:rPr>
        <w:t>3</w:t>
      </w:r>
      <w:r>
        <w:rPr>
          <w:rFonts w:hint="eastAsia"/>
          <w:color w:val="auto"/>
        </w:rPr>
        <w:t>。根据《环境影响评价技术导则</w:t>
      </w:r>
      <w:r>
        <w:rPr>
          <w:rFonts w:hint="eastAsia"/>
          <w:color w:val="auto"/>
          <w:lang w:eastAsia="zh-CN"/>
        </w:rPr>
        <w:t>—</w:t>
      </w:r>
      <w:r>
        <w:rPr>
          <w:rFonts w:hint="eastAsia"/>
          <w:color w:val="auto"/>
        </w:rPr>
        <w:t>大气环境》（</w:t>
      </w:r>
      <w:r>
        <w:rPr>
          <w:color w:val="auto"/>
        </w:rPr>
        <w:t>HJ2.2-2018</w:t>
      </w:r>
      <w:r>
        <w:rPr>
          <w:rFonts w:hint="eastAsia"/>
          <w:color w:val="auto"/>
        </w:rPr>
        <w:t>），采用附录</w:t>
      </w:r>
      <w:r>
        <w:rPr>
          <w:color w:val="auto"/>
        </w:rPr>
        <w:t>A</w:t>
      </w:r>
      <w:r>
        <w:rPr>
          <w:rFonts w:hint="eastAsia"/>
          <w:color w:val="auto"/>
        </w:rPr>
        <w:t>推荐模型中估算模式</w:t>
      </w:r>
      <w:r>
        <w:rPr>
          <w:color w:val="auto"/>
        </w:rPr>
        <w:t>ARESCREEN</w:t>
      </w:r>
      <w:r>
        <w:rPr>
          <w:rFonts w:hint="eastAsia"/>
          <w:color w:val="auto"/>
        </w:rPr>
        <w:t>分别计算项目污染源的最大环境影响。经计算，本项目排放的污染物中</w:t>
      </w:r>
      <w:r>
        <w:rPr>
          <w:color w:val="auto"/>
        </w:rPr>
        <w:t>H</w:t>
      </w:r>
      <w:r>
        <w:rPr>
          <w:color w:val="auto"/>
          <w:vertAlign w:val="subscript"/>
        </w:rPr>
        <w:t>2</w:t>
      </w:r>
      <w:r>
        <w:rPr>
          <w:color w:val="auto"/>
        </w:rPr>
        <w:t>S</w:t>
      </w:r>
      <w:r>
        <w:rPr>
          <w:rFonts w:hint="eastAsia"/>
          <w:color w:val="auto"/>
        </w:rPr>
        <w:t>占标率最大的为</w:t>
      </w:r>
      <w:r>
        <w:rPr>
          <w:rFonts w:hint="eastAsia"/>
          <w:color w:val="auto"/>
          <w:lang w:val="en-US" w:eastAsia="zh-CN"/>
        </w:rPr>
        <w:t>**</w:t>
      </w:r>
      <w:r>
        <w:rPr>
          <w:color w:val="auto"/>
        </w:rPr>
        <w:t>%</w:t>
      </w:r>
      <w:r>
        <w:rPr>
          <w:rFonts w:hint="eastAsia"/>
          <w:color w:val="auto"/>
        </w:rPr>
        <w:t>，落地点</w:t>
      </w:r>
      <w:r>
        <w:rPr>
          <w:rFonts w:hint="eastAsia"/>
          <w:color w:val="auto"/>
          <w:lang w:val="en-US" w:eastAsia="zh-CN"/>
        </w:rPr>
        <w:t>**</w:t>
      </w:r>
      <w:r>
        <w:rPr>
          <w:color w:val="auto"/>
        </w:rPr>
        <w:t>m</w:t>
      </w:r>
      <w:r>
        <w:rPr>
          <w:rFonts w:hint="eastAsia"/>
          <w:color w:val="auto"/>
        </w:rPr>
        <w:t>，因此本项目排放的污染物量较小，对环境影响可接受。</w:t>
      </w:r>
    </w:p>
    <w:p>
      <w:pPr>
        <w:ind w:firstLine="480"/>
        <w:rPr>
          <w:b/>
          <w:bCs/>
          <w:color w:val="auto"/>
        </w:rPr>
      </w:pPr>
      <w:r>
        <w:rPr>
          <w:rFonts w:hint="eastAsia"/>
          <w:b/>
          <w:bCs/>
          <w:color w:val="auto"/>
          <w:lang w:val="en-US" w:eastAsia="zh-CN"/>
        </w:rPr>
        <w:t>2、</w:t>
      </w:r>
      <w:r>
        <w:rPr>
          <w:rFonts w:hint="eastAsia"/>
          <w:b/>
          <w:bCs/>
          <w:color w:val="auto"/>
        </w:rPr>
        <w:t>防护距离</w:t>
      </w:r>
    </w:p>
    <w:p>
      <w:pPr>
        <w:ind w:firstLine="480"/>
        <w:rPr>
          <w:color w:val="auto"/>
        </w:rPr>
      </w:pPr>
      <w:r>
        <w:rPr>
          <w:rFonts w:hint="eastAsia"/>
          <w:color w:val="auto"/>
        </w:rPr>
        <w:t>根据《环境影响评价技术导则</w:t>
      </w:r>
      <w:r>
        <w:rPr>
          <w:rFonts w:hint="eastAsia"/>
          <w:color w:val="auto"/>
          <w:lang w:eastAsia="zh-CN"/>
        </w:rPr>
        <w:t>—</w:t>
      </w:r>
      <w:r>
        <w:rPr>
          <w:rFonts w:hint="eastAsia"/>
          <w:color w:val="auto"/>
        </w:rPr>
        <w:t>大气环境》（</w:t>
      </w:r>
      <w:r>
        <w:rPr>
          <w:color w:val="auto"/>
        </w:rPr>
        <w:t>HJ2.2-2018</w:t>
      </w:r>
      <w:r>
        <w:rPr>
          <w:rFonts w:hint="eastAsia"/>
          <w:color w:val="auto"/>
        </w:rPr>
        <w:t>）推荐的估算模式计算，本项目无超标点，不需设置大气环境防护距离。</w:t>
      </w:r>
    </w:p>
    <w:p>
      <w:pPr>
        <w:ind w:firstLine="480"/>
        <w:rPr>
          <w:color w:val="auto"/>
        </w:rPr>
      </w:pPr>
      <w:r>
        <w:rPr>
          <w:rFonts w:hint="eastAsia"/>
          <w:color w:val="auto"/>
        </w:rPr>
        <w:t>项目所在地不属于禁建区，且项目周边500m内无城镇居民区等禁建区。项目以</w:t>
      </w:r>
      <w:r>
        <w:rPr>
          <w:rFonts w:hint="eastAsia"/>
          <w:color w:val="auto"/>
          <w:lang w:val="en-US" w:eastAsia="zh-CN"/>
        </w:rPr>
        <w:t>生产养殖区、污水治理区</w:t>
      </w:r>
      <w:r>
        <w:rPr>
          <w:rFonts w:hint="eastAsia"/>
          <w:color w:val="auto"/>
        </w:rPr>
        <w:t>边界向外</w:t>
      </w:r>
      <w:r>
        <w:rPr>
          <w:rFonts w:hint="eastAsia"/>
          <w:color w:val="auto"/>
          <w:lang w:val="en-US" w:eastAsia="zh-CN"/>
        </w:rPr>
        <w:t>1</w:t>
      </w:r>
      <w:r>
        <w:rPr>
          <w:rFonts w:hint="eastAsia"/>
          <w:color w:val="auto"/>
        </w:rPr>
        <w:t>00m设置卫生防护距离，该范围内无学校、居民、医疗卫生、行政办公等环境敏感目标，本项目无环保搬迁。环评要求：在卫生防护距离范围内不得引入居民区、机关、学校、医院等敏感目标；自来水水厂等对外环境要求较高的企业以及其他与本项目不相容的行业及敏感目标。</w:t>
      </w:r>
    </w:p>
    <w:p>
      <w:pPr>
        <w:pStyle w:val="265"/>
        <w:rPr>
          <w:rFonts w:hint="eastAsia"/>
          <w:color w:val="auto"/>
        </w:rPr>
      </w:pPr>
      <w:r>
        <w:rPr>
          <w:rFonts w:hint="eastAsia"/>
          <w:color w:val="auto"/>
        </w:rPr>
        <w:t>本项目大气环境影响评价自查表见附表。</w:t>
      </w:r>
    </w:p>
    <w:p>
      <w:pPr>
        <w:pStyle w:val="8"/>
        <w:tabs>
          <w:tab w:val="clear" w:pos="0"/>
        </w:tabs>
        <w:rPr>
          <w:rFonts w:eastAsia="黑体"/>
          <w:color w:val="auto"/>
          <w:sz w:val="28"/>
          <w:szCs w:val="28"/>
        </w:rPr>
      </w:pPr>
      <w:r>
        <w:rPr>
          <w:rFonts w:eastAsia="黑体"/>
          <w:color w:val="auto"/>
          <w:sz w:val="28"/>
          <w:szCs w:val="28"/>
        </w:rPr>
        <w:t>声环境影响预测与评价</w:t>
      </w:r>
    </w:p>
    <w:p>
      <w:pPr>
        <w:pStyle w:val="9"/>
        <w:spacing w:before="120" w:beforeLines="50"/>
        <w:rPr>
          <w:color w:val="auto"/>
        </w:rPr>
      </w:pPr>
      <w:r>
        <w:rPr>
          <w:color w:val="auto"/>
        </w:rPr>
        <w:t>噪声源强分析</w:t>
      </w:r>
    </w:p>
    <w:p>
      <w:pPr>
        <w:ind w:firstLine="480"/>
        <w:rPr>
          <w:color w:val="auto"/>
        </w:rPr>
      </w:pPr>
      <w:r>
        <w:rPr>
          <w:rFonts w:hint="eastAsia"/>
          <w:color w:val="auto"/>
        </w:rPr>
        <w:t>根据工程分析，本工程运营期主要噪声源及源强情况见表5.2-</w:t>
      </w:r>
      <w:r>
        <w:rPr>
          <w:rFonts w:hint="eastAsia"/>
          <w:color w:val="auto"/>
          <w:lang w:val="en-US" w:eastAsia="zh-CN"/>
        </w:rPr>
        <w:t>30</w:t>
      </w:r>
      <w:r>
        <w:rPr>
          <w:rFonts w:hint="eastAsia"/>
          <w:color w:val="auto"/>
        </w:rPr>
        <w:t>。</w:t>
      </w:r>
    </w:p>
    <w:p>
      <w:pPr>
        <w:pStyle w:val="166"/>
        <w:spacing w:before="120" w:beforeLines="0"/>
        <w:rPr>
          <w:rFonts w:hint="eastAsia"/>
          <w:color w:val="auto"/>
        </w:rPr>
      </w:pPr>
      <w:r>
        <w:rPr>
          <w:rFonts w:hint="eastAsia"/>
          <w:color w:val="auto"/>
        </w:rPr>
        <w:t>表</w:t>
      </w:r>
      <w:r>
        <w:rPr>
          <w:color w:val="auto"/>
        </w:rPr>
        <w:t>5.2-</w:t>
      </w:r>
      <w:r>
        <w:rPr>
          <w:rFonts w:hint="eastAsia"/>
          <w:color w:val="auto"/>
          <w:lang w:val="en-US" w:eastAsia="zh-CN"/>
        </w:rPr>
        <w:t xml:space="preserve">30 </w:t>
      </w:r>
      <w:r>
        <w:rPr>
          <w:rFonts w:hint="eastAsia"/>
          <w:color w:val="auto"/>
        </w:rPr>
        <w:t>项目设备噪声源强及治理措施</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18"/>
        <w:gridCol w:w="708"/>
        <w:gridCol w:w="1125"/>
        <w:gridCol w:w="949"/>
        <w:gridCol w:w="1469"/>
        <w:gridCol w:w="2213"/>
        <w:gridCol w:w="9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418" w:type="dxa"/>
            <w:noWrap w:val="0"/>
            <w:vAlign w:val="center"/>
          </w:tcPr>
          <w:p>
            <w:pPr>
              <w:pStyle w:val="332"/>
              <w:kinsoku w:val="0"/>
              <w:overflowPunct w:val="0"/>
              <w:jc w:val="center"/>
              <w:rPr>
                <w:color w:val="auto"/>
                <w:sz w:val="20"/>
                <w:szCs w:val="20"/>
              </w:rPr>
            </w:pPr>
            <w:r>
              <w:rPr>
                <w:b/>
                <w:bCs/>
                <w:color w:val="auto"/>
                <w:sz w:val="20"/>
                <w:szCs w:val="20"/>
              </w:rPr>
              <w:t>声源名称</w:t>
            </w:r>
          </w:p>
        </w:tc>
        <w:tc>
          <w:tcPr>
            <w:tcW w:w="708" w:type="dxa"/>
            <w:noWrap w:val="0"/>
            <w:vAlign w:val="center"/>
          </w:tcPr>
          <w:p>
            <w:pPr>
              <w:pStyle w:val="332"/>
              <w:kinsoku w:val="0"/>
              <w:overflowPunct w:val="0"/>
              <w:jc w:val="center"/>
              <w:rPr>
                <w:color w:val="auto"/>
                <w:sz w:val="20"/>
                <w:szCs w:val="20"/>
              </w:rPr>
            </w:pPr>
            <w:r>
              <w:rPr>
                <w:b/>
                <w:bCs/>
                <w:color w:val="auto"/>
                <w:sz w:val="20"/>
                <w:szCs w:val="20"/>
              </w:rPr>
              <w:t>数量</w:t>
            </w:r>
          </w:p>
        </w:tc>
        <w:tc>
          <w:tcPr>
            <w:tcW w:w="1125" w:type="dxa"/>
            <w:noWrap w:val="0"/>
            <w:vAlign w:val="center"/>
          </w:tcPr>
          <w:p>
            <w:pPr>
              <w:pStyle w:val="332"/>
              <w:kinsoku w:val="0"/>
              <w:overflowPunct w:val="0"/>
              <w:jc w:val="center"/>
              <w:rPr>
                <w:color w:val="auto"/>
                <w:sz w:val="20"/>
                <w:szCs w:val="20"/>
              </w:rPr>
            </w:pPr>
            <w:r>
              <w:rPr>
                <w:b/>
                <w:bCs/>
                <w:color w:val="auto"/>
                <w:sz w:val="20"/>
                <w:szCs w:val="20"/>
              </w:rPr>
              <w:t>位置</w:t>
            </w:r>
          </w:p>
        </w:tc>
        <w:tc>
          <w:tcPr>
            <w:tcW w:w="949" w:type="dxa"/>
            <w:noWrap w:val="0"/>
            <w:vAlign w:val="center"/>
          </w:tcPr>
          <w:p>
            <w:pPr>
              <w:pStyle w:val="332"/>
              <w:kinsoku w:val="0"/>
              <w:overflowPunct w:val="0"/>
              <w:jc w:val="center"/>
              <w:rPr>
                <w:color w:val="auto"/>
                <w:sz w:val="20"/>
                <w:szCs w:val="20"/>
              </w:rPr>
            </w:pPr>
            <w:r>
              <w:rPr>
                <w:b/>
                <w:bCs/>
                <w:color w:val="auto"/>
                <w:sz w:val="20"/>
                <w:szCs w:val="20"/>
              </w:rPr>
              <w:t>排放特征</w:t>
            </w:r>
          </w:p>
        </w:tc>
        <w:tc>
          <w:tcPr>
            <w:tcW w:w="1469" w:type="dxa"/>
            <w:noWrap w:val="0"/>
            <w:vAlign w:val="center"/>
          </w:tcPr>
          <w:p>
            <w:pPr>
              <w:pStyle w:val="332"/>
              <w:kinsoku w:val="0"/>
              <w:overflowPunct w:val="0"/>
              <w:jc w:val="center"/>
              <w:rPr>
                <w:color w:val="auto"/>
                <w:sz w:val="20"/>
                <w:szCs w:val="20"/>
              </w:rPr>
            </w:pPr>
            <w:r>
              <w:rPr>
                <w:rFonts w:hint="eastAsia"/>
                <w:b/>
                <w:bCs/>
                <w:color w:val="auto"/>
                <w:sz w:val="20"/>
                <w:szCs w:val="20"/>
              </w:rPr>
              <w:t>单台设备声源值</w:t>
            </w:r>
            <w:r>
              <w:rPr>
                <w:b/>
                <w:bCs/>
                <w:color w:val="auto"/>
                <w:sz w:val="20"/>
                <w:szCs w:val="20"/>
              </w:rPr>
              <w:t>dB(A)</w:t>
            </w:r>
          </w:p>
        </w:tc>
        <w:tc>
          <w:tcPr>
            <w:tcW w:w="2213" w:type="dxa"/>
            <w:noWrap w:val="0"/>
            <w:vAlign w:val="center"/>
          </w:tcPr>
          <w:p>
            <w:pPr>
              <w:pStyle w:val="332"/>
              <w:kinsoku w:val="0"/>
              <w:overflowPunct w:val="0"/>
              <w:jc w:val="center"/>
              <w:rPr>
                <w:color w:val="auto"/>
                <w:sz w:val="20"/>
                <w:szCs w:val="20"/>
              </w:rPr>
            </w:pPr>
            <w:r>
              <w:rPr>
                <w:b/>
                <w:bCs/>
                <w:color w:val="auto"/>
                <w:sz w:val="20"/>
                <w:szCs w:val="20"/>
              </w:rPr>
              <w:t>治理或防护措施</w:t>
            </w:r>
          </w:p>
        </w:tc>
        <w:tc>
          <w:tcPr>
            <w:tcW w:w="905" w:type="dxa"/>
            <w:noWrap w:val="0"/>
            <w:vAlign w:val="center"/>
          </w:tcPr>
          <w:p>
            <w:pPr>
              <w:pStyle w:val="332"/>
              <w:kinsoku w:val="0"/>
              <w:overflowPunct w:val="0"/>
              <w:jc w:val="center"/>
              <w:rPr>
                <w:b/>
                <w:bCs/>
                <w:color w:val="auto"/>
                <w:sz w:val="20"/>
                <w:szCs w:val="20"/>
              </w:rPr>
            </w:pPr>
            <w:r>
              <w:rPr>
                <w:rFonts w:hint="eastAsia"/>
                <w:b/>
                <w:bCs/>
                <w:color w:val="auto"/>
                <w:sz w:val="20"/>
                <w:szCs w:val="20"/>
              </w:rPr>
              <w:t>治理后室外源强dB（A）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猪叫声</w:t>
            </w:r>
          </w:p>
        </w:tc>
        <w:tc>
          <w:tcPr>
            <w:tcW w:w="708" w:type="dxa"/>
            <w:noWrap w:val="0"/>
            <w:vAlign w:val="center"/>
          </w:tcPr>
          <w:p>
            <w:pPr>
              <w:pStyle w:val="332"/>
              <w:kinsoku w:val="0"/>
              <w:overflowPunct w:val="0"/>
              <w:jc w:val="center"/>
              <w:rPr>
                <w:color w:val="auto"/>
                <w:sz w:val="20"/>
                <w:szCs w:val="20"/>
              </w:rPr>
            </w:pPr>
            <w:r>
              <w:rPr>
                <w:color w:val="auto"/>
                <w:w w:val="99"/>
                <w:sz w:val="20"/>
                <w:szCs w:val="20"/>
              </w:rPr>
              <w:t>/</w:t>
            </w:r>
          </w:p>
        </w:tc>
        <w:tc>
          <w:tcPr>
            <w:tcW w:w="1125" w:type="dxa"/>
            <w:noWrap w:val="0"/>
            <w:vAlign w:val="center"/>
          </w:tcPr>
          <w:p>
            <w:pPr>
              <w:pStyle w:val="332"/>
              <w:kinsoku w:val="0"/>
              <w:overflowPunct w:val="0"/>
              <w:jc w:val="center"/>
              <w:rPr>
                <w:color w:val="auto"/>
                <w:sz w:val="20"/>
                <w:szCs w:val="20"/>
              </w:rPr>
            </w:pPr>
            <w:r>
              <w:rPr>
                <w:color w:val="auto"/>
                <w:sz w:val="20"/>
                <w:szCs w:val="20"/>
              </w:rPr>
              <w:t>猪舍</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rFonts w:hint="eastAsia"/>
                <w:color w:val="auto"/>
                <w:sz w:val="20"/>
                <w:szCs w:val="20"/>
              </w:rPr>
              <w:t>70~</w:t>
            </w:r>
            <w:r>
              <w:rPr>
                <w:color w:val="auto"/>
                <w:sz w:val="20"/>
                <w:szCs w:val="20"/>
              </w:rPr>
              <w:t>80</w:t>
            </w:r>
          </w:p>
        </w:tc>
        <w:tc>
          <w:tcPr>
            <w:tcW w:w="2213" w:type="dxa"/>
            <w:noWrap w:val="0"/>
            <w:vAlign w:val="center"/>
          </w:tcPr>
          <w:p>
            <w:pPr>
              <w:pStyle w:val="332"/>
              <w:kinsoku w:val="0"/>
              <w:overflowPunct w:val="0"/>
              <w:jc w:val="center"/>
              <w:rPr>
                <w:color w:val="auto"/>
                <w:sz w:val="20"/>
                <w:szCs w:val="20"/>
              </w:rPr>
            </w:pPr>
            <w:r>
              <w:rPr>
                <w:color w:val="auto"/>
                <w:spacing w:val="-3"/>
                <w:sz w:val="20"/>
                <w:szCs w:val="20"/>
              </w:rPr>
              <w:t>猪舍隔声、减少扰动、加强管理</w:t>
            </w:r>
          </w:p>
        </w:tc>
        <w:tc>
          <w:tcPr>
            <w:tcW w:w="905" w:type="dxa"/>
            <w:noWrap w:val="0"/>
            <w:vAlign w:val="center"/>
          </w:tcPr>
          <w:p>
            <w:pPr>
              <w:pStyle w:val="332"/>
              <w:kinsoku w:val="0"/>
              <w:overflowPunct w:val="0"/>
              <w:jc w:val="center"/>
              <w:rPr>
                <w:color w:val="auto"/>
                <w:spacing w:val="-3"/>
                <w:sz w:val="20"/>
                <w:szCs w:val="20"/>
              </w:rPr>
            </w:pPr>
            <w:r>
              <w:rPr>
                <w:rFonts w:hint="eastAsia"/>
                <w:color w:val="auto"/>
                <w:spacing w:val="-3"/>
                <w:sz w:val="20"/>
                <w:szCs w:val="20"/>
              </w:rPr>
              <w:t>6</w:t>
            </w:r>
            <w:r>
              <w:rPr>
                <w:color w:val="auto"/>
                <w:spacing w:val="-3"/>
                <w:sz w:val="20"/>
                <w:szCs w:val="20"/>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风机</w:t>
            </w:r>
          </w:p>
        </w:tc>
        <w:tc>
          <w:tcPr>
            <w:tcW w:w="708" w:type="dxa"/>
            <w:noWrap w:val="0"/>
            <w:vAlign w:val="center"/>
          </w:tcPr>
          <w:p>
            <w:pPr>
              <w:pStyle w:val="332"/>
              <w:kinsoku w:val="0"/>
              <w:overflowPunct w:val="0"/>
              <w:jc w:val="center"/>
              <w:rPr>
                <w:rFonts w:hint="eastAsia" w:eastAsia="宋体"/>
                <w:color w:val="auto"/>
                <w:sz w:val="20"/>
                <w:szCs w:val="20"/>
                <w:lang w:eastAsia="zh-CN"/>
              </w:rPr>
            </w:pPr>
            <w:r>
              <w:rPr>
                <w:rFonts w:hint="eastAsia"/>
                <w:color w:val="auto"/>
                <w:sz w:val="20"/>
                <w:szCs w:val="20"/>
                <w:lang w:val="en-US" w:eastAsia="zh-CN"/>
              </w:rPr>
              <w:t>6</w:t>
            </w:r>
          </w:p>
        </w:tc>
        <w:tc>
          <w:tcPr>
            <w:tcW w:w="1125" w:type="dxa"/>
            <w:noWrap w:val="0"/>
            <w:vAlign w:val="center"/>
          </w:tcPr>
          <w:p>
            <w:pPr>
              <w:pStyle w:val="332"/>
              <w:kinsoku w:val="0"/>
              <w:overflowPunct w:val="0"/>
              <w:jc w:val="center"/>
              <w:rPr>
                <w:color w:val="auto"/>
                <w:sz w:val="20"/>
                <w:szCs w:val="20"/>
              </w:rPr>
            </w:pPr>
            <w:r>
              <w:rPr>
                <w:rFonts w:hint="eastAsia"/>
                <w:color w:val="auto"/>
                <w:sz w:val="20"/>
                <w:szCs w:val="20"/>
              </w:rPr>
              <w:t>猪舍</w:t>
            </w: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65～70</w:t>
            </w:r>
          </w:p>
        </w:tc>
        <w:tc>
          <w:tcPr>
            <w:tcW w:w="2213" w:type="dxa"/>
            <w:noWrap w:val="0"/>
            <w:vAlign w:val="center"/>
          </w:tcPr>
          <w:p>
            <w:pPr>
              <w:pStyle w:val="332"/>
              <w:kinsoku w:val="0"/>
              <w:overflowPunct w:val="0"/>
              <w:jc w:val="center"/>
              <w:rPr>
                <w:color w:val="auto"/>
                <w:sz w:val="20"/>
                <w:szCs w:val="20"/>
              </w:rPr>
            </w:pPr>
            <w:r>
              <w:rPr>
                <w:color w:val="auto"/>
                <w:sz w:val="20"/>
                <w:szCs w:val="20"/>
              </w:rPr>
              <w:t>消声、隔声、基础减振</w:t>
            </w:r>
          </w:p>
        </w:tc>
        <w:tc>
          <w:tcPr>
            <w:tcW w:w="905" w:type="dxa"/>
            <w:noWrap w:val="0"/>
            <w:vAlign w:val="center"/>
          </w:tcPr>
          <w:p>
            <w:pPr>
              <w:pStyle w:val="332"/>
              <w:kinsoku w:val="0"/>
              <w:overflowPunct w:val="0"/>
              <w:jc w:val="center"/>
              <w:rPr>
                <w:rFonts w:hint="eastAsia" w:eastAsia="宋体"/>
                <w:color w:val="auto"/>
                <w:sz w:val="20"/>
                <w:szCs w:val="20"/>
                <w:lang w:eastAsia="zh-CN"/>
              </w:rPr>
            </w:pPr>
            <w:r>
              <w:rPr>
                <w:rFonts w:hint="eastAsia"/>
                <w:color w:val="auto"/>
                <w:sz w:val="20"/>
                <w:szCs w:val="20"/>
              </w:rPr>
              <w:t>6</w:t>
            </w:r>
            <w:r>
              <w:rPr>
                <w:rFonts w:hint="eastAsia"/>
                <w:color w:val="auto"/>
                <w:sz w:val="20"/>
                <w:szCs w:val="20"/>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rFonts w:hint="eastAsia"/>
                <w:color w:val="auto"/>
                <w:sz w:val="20"/>
                <w:szCs w:val="20"/>
              </w:rPr>
            </w:pPr>
            <w:r>
              <w:rPr>
                <w:rFonts w:hint="eastAsia"/>
                <w:color w:val="auto"/>
                <w:sz w:val="20"/>
                <w:szCs w:val="20"/>
              </w:rPr>
              <w:t>火炬</w:t>
            </w:r>
          </w:p>
        </w:tc>
        <w:tc>
          <w:tcPr>
            <w:tcW w:w="708" w:type="dxa"/>
            <w:noWrap w:val="0"/>
            <w:vAlign w:val="center"/>
          </w:tcPr>
          <w:p>
            <w:pPr>
              <w:pStyle w:val="332"/>
              <w:kinsoku w:val="0"/>
              <w:overflowPunct w:val="0"/>
              <w:jc w:val="center"/>
              <w:rPr>
                <w:rFonts w:hint="eastAsia"/>
                <w:color w:val="auto"/>
                <w:sz w:val="20"/>
                <w:szCs w:val="20"/>
              </w:rPr>
            </w:pPr>
            <w:r>
              <w:rPr>
                <w:rFonts w:hint="eastAsia"/>
                <w:color w:val="auto"/>
                <w:sz w:val="20"/>
                <w:szCs w:val="20"/>
              </w:rPr>
              <w:t>1</w:t>
            </w:r>
          </w:p>
        </w:tc>
        <w:tc>
          <w:tcPr>
            <w:tcW w:w="1125" w:type="dxa"/>
            <w:noWrap w:val="0"/>
            <w:vAlign w:val="center"/>
          </w:tcPr>
          <w:p>
            <w:pPr>
              <w:pStyle w:val="332"/>
              <w:kinsoku w:val="0"/>
              <w:overflowPunct w:val="0"/>
              <w:jc w:val="center"/>
              <w:rPr>
                <w:rFonts w:hint="eastAsia"/>
                <w:color w:val="auto"/>
                <w:sz w:val="20"/>
                <w:szCs w:val="20"/>
              </w:rPr>
            </w:pPr>
            <w:r>
              <w:rPr>
                <w:rFonts w:hint="eastAsia"/>
                <w:color w:val="auto"/>
                <w:sz w:val="21"/>
                <w:szCs w:val="21"/>
              </w:rPr>
              <w:t>火炬柜</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1"/>
                <w:szCs w:val="21"/>
              </w:rPr>
              <w:t>65～70</w:t>
            </w:r>
          </w:p>
        </w:tc>
        <w:tc>
          <w:tcPr>
            <w:tcW w:w="2213" w:type="dxa"/>
            <w:noWrap w:val="0"/>
            <w:vAlign w:val="center"/>
          </w:tcPr>
          <w:p>
            <w:pPr>
              <w:pStyle w:val="332"/>
              <w:kinsoku w:val="0"/>
              <w:overflowPunct w:val="0"/>
              <w:jc w:val="center"/>
              <w:rPr>
                <w:color w:val="auto"/>
                <w:sz w:val="20"/>
                <w:szCs w:val="20"/>
              </w:rPr>
            </w:pPr>
            <w:r>
              <w:rPr>
                <w:color w:val="auto"/>
                <w:sz w:val="21"/>
                <w:szCs w:val="21"/>
              </w:rPr>
              <w:t>使用频率低</w:t>
            </w:r>
            <w:r>
              <w:rPr>
                <w:rFonts w:hint="eastAsia"/>
                <w:color w:val="auto"/>
                <w:sz w:val="21"/>
                <w:szCs w:val="21"/>
              </w:rPr>
              <w:t>，消声</w:t>
            </w:r>
          </w:p>
        </w:tc>
        <w:tc>
          <w:tcPr>
            <w:tcW w:w="905" w:type="dxa"/>
            <w:noWrap w:val="0"/>
            <w:vAlign w:val="center"/>
          </w:tcPr>
          <w:p>
            <w:pPr>
              <w:pStyle w:val="332"/>
              <w:kinsoku w:val="0"/>
              <w:overflowPunct w:val="0"/>
              <w:jc w:val="center"/>
              <w:rPr>
                <w:rFonts w:hint="eastAsia" w:eastAsia="宋体"/>
                <w:color w:val="auto"/>
                <w:sz w:val="21"/>
                <w:szCs w:val="21"/>
                <w:lang w:eastAsia="zh-CN"/>
              </w:rPr>
            </w:pPr>
            <w:r>
              <w:rPr>
                <w:rFonts w:hint="eastAsia"/>
                <w:color w:val="auto"/>
                <w:sz w:val="21"/>
                <w:szCs w:val="21"/>
              </w:rPr>
              <w:t>6</w:t>
            </w:r>
            <w:r>
              <w:rPr>
                <w:rFonts w:hint="eastAsia"/>
                <w:color w:val="auto"/>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水泵</w:t>
            </w:r>
          </w:p>
        </w:tc>
        <w:tc>
          <w:tcPr>
            <w:tcW w:w="708" w:type="dxa"/>
            <w:noWrap w:val="0"/>
            <w:vAlign w:val="center"/>
          </w:tcPr>
          <w:p>
            <w:pPr>
              <w:pStyle w:val="332"/>
              <w:kinsoku w:val="0"/>
              <w:overflowPunct w:val="0"/>
              <w:jc w:val="center"/>
              <w:rPr>
                <w:color w:val="auto"/>
                <w:sz w:val="20"/>
                <w:szCs w:val="20"/>
              </w:rPr>
            </w:pPr>
            <w:r>
              <w:rPr>
                <w:color w:val="auto"/>
                <w:w w:val="99"/>
                <w:sz w:val="20"/>
                <w:szCs w:val="20"/>
              </w:rPr>
              <w:t>2</w:t>
            </w:r>
          </w:p>
        </w:tc>
        <w:tc>
          <w:tcPr>
            <w:tcW w:w="1125" w:type="dxa"/>
            <w:vMerge w:val="restart"/>
            <w:noWrap w:val="0"/>
            <w:vAlign w:val="center"/>
          </w:tcPr>
          <w:p>
            <w:pPr>
              <w:pStyle w:val="332"/>
              <w:kinsoku w:val="0"/>
              <w:overflowPunct w:val="0"/>
              <w:jc w:val="center"/>
              <w:rPr>
                <w:color w:val="auto"/>
                <w:sz w:val="20"/>
                <w:szCs w:val="20"/>
              </w:rPr>
            </w:pPr>
            <w:r>
              <w:rPr>
                <w:rFonts w:hint="eastAsia"/>
                <w:color w:val="auto"/>
                <w:sz w:val="20"/>
                <w:szCs w:val="20"/>
              </w:rPr>
              <w:t>治污区</w:t>
            </w: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80～90</w:t>
            </w:r>
          </w:p>
        </w:tc>
        <w:tc>
          <w:tcPr>
            <w:tcW w:w="2213" w:type="dxa"/>
            <w:noWrap w:val="0"/>
            <w:vAlign w:val="center"/>
          </w:tcPr>
          <w:p>
            <w:pPr>
              <w:pStyle w:val="332"/>
              <w:kinsoku w:val="0"/>
              <w:overflowPunct w:val="0"/>
              <w:jc w:val="center"/>
              <w:rPr>
                <w:color w:val="auto"/>
                <w:sz w:val="20"/>
                <w:szCs w:val="20"/>
              </w:rPr>
            </w:pPr>
            <w:r>
              <w:rPr>
                <w:color w:val="auto"/>
                <w:sz w:val="20"/>
                <w:szCs w:val="20"/>
              </w:rPr>
              <w:t>消声、隔声、基础减振</w:t>
            </w:r>
          </w:p>
        </w:tc>
        <w:tc>
          <w:tcPr>
            <w:tcW w:w="905" w:type="dxa"/>
            <w:noWrap w:val="0"/>
            <w:vAlign w:val="center"/>
          </w:tcPr>
          <w:p>
            <w:pPr>
              <w:pStyle w:val="332"/>
              <w:kinsoku w:val="0"/>
              <w:overflowPunct w:val="0"/>
              <w:jc w:val="center"/>
              <w:rPr>
                <w:color w:val="auto"/>
                <w:sz w:val="20"/>
                <w:szCs w:val="20"/>
              </w:rPr>
            </w:pPr>
            <w:r>
              <w:rPr>
                <w:rFonts w:hint="eastAsia"/>
                <w:color w:val="auto"/>
                <w:sz w:val="20"/>
                <w:szCs w:val="20"/>
              </w:rPr>
              <w:t>7</w:t>
            </w:r>
            <w:r>
              <w:rPr>
                <w:color w:val="auto"/>
                <w:sz w:val="20"/>
                <w:szCs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rFonts w:hint="eastAsia"/>
                <w:color w:val="auto"/>
                <w:sz w:val="20"/>
                <w:szCs w:val="20"/>
              </w:rPr>
              <w:t>固液分离机</w:t>
            </w:r>
          </w:p>
        </w:tc>
        <w:tc>
          <w:tcPr>
            <w:tcW w:w="708" w:type="dxa"/>
            <w:noWrap w:val="0"/>
            <w:vAlign w:val="center"/>
          </w:tcPr>
          <w:p>
            <w:pPr>
              <w:pStyle w:val="332"/>
              <w:kinsoku w:val="0"/>
              <w:overflowPunct w:val="0"/>
              <w:jc w:val="center"/>
              <w:rPr>
                <w:rFonts w:hint="eastAsia" w:eastAsia="宋体"/>
                <w:color w:val="auto"/>
                <w:w w:val="99"/>
                <w:sz w:val="20"/>
                <w:szCs w:val="20"/>
                <w:lang w:eastAsia="zh-CN"/>
              </w:rPr>
            </w:pPr>
            <w:r>
              <w:rPr>
                <w:rFonts w:hint="eastAsia"/>
                <w:color w:val="auto"/>
                <w:w w:val="99"/>
                <w:sz w:val="20"/>
                <w:szCs w:val="20"/>
                <w:lang w:val="en-US" w:eastAsia="zh-CN"/>
              </w:rPr>
              <w:t>2</w:t>
            </w:r>
          </w:p>
        </w:tc>
        <w:tc>
          <w:tcPr>
            <w:tcW w:w="1125" w:type="dxa"/>
            <w:vMerge w:val="continue"/>
            <w:noWrap w:val="0"/>
            <w:vAlign w:val="center"/>
          </w:tcPr>
          <w:p>
            <w:pPr>
              <w:pStyle w:val="332"/>
              <w:kinsoku w:val="0"/>
              <w:overflowPunct w:val="0"/>
              <w:jc w:val="center"/>
              <w:rPr>
                <w:rFonts w:hint="eastAsia"/>
                <w:color w:val="auto"/>
                <w:sz w:val="20"/>
                <w:szCs w:val="20"/>
              </w:rPr>
            </w:pPr>
          </w:p>
        </w:tc>
        <w:tc>
          <w:tcPr>
            <w:tcW w:w="949" w:type="dxa"/>
            <w:noWrap w:val="0"/>
            <w:vAlign w:val="center"/>
          </w:tcPr>
          <w:p>
            <w:pPr>
              <w:pStyle w:val="332"/>
              <w:kinsoku w:val="0"/>
              <w:overflowPunct w:val="0"/>
              <w:jc w:val="center"/>
              <w:rPr>
                <w:color w:val="auto"/>
                <w:sz w:val="20"/>
                <w:szCs w:val="20"/>
              </w:rPr>
            </w:pPr>
            <w:r>
              <w:rPr>
                <w:color w:val="auto"/>
                <w:sz w:val="20"/>
                <w:szCs w:val="20"/>
              </w:rPr>
              <w:t>连续</w:t>
            </w:r>
          </w:p>
        </w:tc>
        <w:tc>
          <w:tcPr>
            <w:tcW w:w="1469" w:type="dxa"/>
            <w:noWrap w:val="0"/>
            <w:vAlign w:val="center"/>
          </w:tcPr>
          <w:p>
            <w:pPr>
              <w:pStyle w:val="332"/>
              <w:kinsoku w:val="0"/>
              <w:overflowPunct w:val="0"/>
              <w:jc w:val="center"/>
              <w:rPr>
                <w:color w:val="auto"/>
                <w:sz w:val="20"/>
                <w:szCs w:val="20"/>
              </w:rPr>
            </w:pPr>
            <w:r>
              <w:rPr>
                <w:color w:val="auto"/>
                <w:sz w:val="20"/>
                <w:szCs w:val="20"/>
              </w:rPr>
              <w:t>8</w:t>
            </w:r>
            <w:r>
              <w:rPr>
                <w:rFonts w:hint="eastAsia"/>
                <w:color w:val="auto"/>
                <w:sz w:val="20"/>
                <w:szCs w:val="20"/>
              </w:rPr>
              <w:t>0</w:t>
            </w:r>
            <w:r>
              <w:rPr>
                <w:color w:val="auto"/>
                <w:sz w:val="20"/>
                <w:szCs w:val="20"/>
              </w:rPr>
              <w:t>~90</w:t>
            </w:r>
          </w:p>
        </w:tc>
        <w:tc>
          <w:tcPr>
            <w:tcW w:w="2213" w:type="dxa"/>
            <w:noWrap w:val="0"/>
            <w:vAlign w:val="center"/>
          </w:tcPr>
          <w:p>
            <w:pPr>
              <w:pStyle w:val="332"/>
              <w:kinsoku w:val="0"/>
              <w:overflowPunct w:val="0"/>
              <w:jc w:val="center"/>
              <w:rPr>
                <w:color w:val="auto"/>
                <w:sz w:val="20"/>
                <w:szCs w:val="20"/>
              </w:rPr>
            </w:pPr>
            <w:r>
              <w:rPr>
                <w:color w:val="auto"/>
                <w:sz w:val="20"/>
                <w:szCs w:val="20"/>
              </w:rPr>
              <w:t>消声、隔声、基础减振</w:t>
            </w:r>
          </w:p>
        </w:tc>
        <w:tc>
          <w:tcPr>
            <w:tcW w:w="905" w:type="dxa"/>
            <w:noWrap w:val="0"/>
            <w:vAlign w:val="center"/>
          </w:tcPr>
          <w:p>
            <w:pPr>
              <w:pStyle w:val="332"/>
              <w:kinsoku w:val="0"/>
              <w:overflowPunct w:val="0"/>
              <w:jc w:val="center"/>
              <w:rPr>
                <w:color w:val="auto"/>
                <w:sz w:val="20"/>
                <w:szCs w:val="20"/>
              </w:rPr>
            </w:pPr>
            <w:r>
              <w:rPr>
                <w:rFonts w:hint="eastAsia"/>
                <w:color w:val="auto"/>
                <w:sz w:val="20"/>
                <w:szCs w:val="20"/>
              </w:rPr>
              <w:t>6</w:t>
            </w:r>
            <w:r>
              <w:rPr>
                <w:color w:val="auto"/>
                <w:sz w:val="20"/>
                <w:szCs w:val="20"/>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柴油发电机</w:t>
            </w:r>
          </w:p>
        </w:tc>
        <w:tc>
          <w:tcPr>
            <w:tcW w:w="708" w:type="dxa"/>
            <w:noWrap w:val="0"/>
            <w:vAlign w:val="center"/>
          </w:tcPr>
          <w:p>
            <w:pPr>
              <w:pStyle w:val="332"/>
              <w:kinsoku w:val="0"/>
              <w:overflowPunct w:val="0"/>
              <w:jc w:val="center"/>
              <w:rPr>
                <w:color w:val="auto"/>
                <w:sz w:val="20"/>
                <w:szCs w:val="20"/>
              </w:rPr>
            </w:pPr>
            <w:r>
              <w:rPr>
                <w:color w:val="auto"/>
                <w:w w:val="99"/>
                <w:sz w:val="20"/>
                <w:szCs w:val="20"/>
              </w:rPr>
              <w:t>1</w:t>
            </w:r>
          </w:p>
        </w:tc>
        <w:tc>
          <w:tcPr>
            <w:tcW w:w="1125" w:type="dxa"/>
            <w:noWrap w:val="0"/>
            <w:vAlign w:val="center"/>
          </w:tcPr>
          <w:p>
            <w:pPr>
              <w:pStyle w:val="332"/>
              <w:kinsoku w:val="0"/>
              <w:overflowPunct w:val="0"/>
              <w:jc w:val="center"/>
              <w:rPr>
                <w:color w:val="auto"/>
                <w:sz w:val="20"/>
                <w:szCs w:val="20"/>
              </w:rPr>
            </w:pPr>
            <w:r>
              <w:rPr>
                <w:color w:val="auto"/>
                <w:sz w:val="20"/>
                <w:szCs w:val="20"/>
              </w:rPr>
              <w:t>发电机房</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0"/>
                <w:szCs w:val="20"/>
              </w:rPr>
              <w:t>70~75</w:t>
            </w:r>
          </w:p>
        </w:tc>
        <w:tc>
          <w:tcPr>
            <w:tcW w:w="2213" w:type="dxa"/>
            <w:noWrap w:val="0"/>
            <w:vAlign w:val="center"/>
          </w:tcPr>
          <w:p>
            <w:pPr>
              <w:pStyle w:val="332"/>
              <w:kinsoku w:val="0"/>
              <w:overflowPunct w:val="0"/>
              <w:jc w:val="center"/>
              <w:rPr>
                <w:color w:val="auto"/>
                <w:sz w:val="20"/>
                <w:szCs w:val="20"/>
              </w:rPr>
            </w:pPr>
            <w:r>
              <w:rPr>
                <w:color w:val="auto"/>
                <w:sz w:val="20"/>
                <w:szCs w:val="20"/>
              </w:rPr>
              <w:t>基础减振、隔声</w:t>
            </w:r>
          </w:p>
        </w:tc>
        <w:tc>
          <w:tcPr>
            <w:tcW w:w="905" w:type="dxa"/>
            <w:noWrap w:val="0"/>
            <w:vAlign w:val="center"/>
          </w:tcPr>
          <w:p>
            <w:pPr>
              <w:pStyle w:val="332"/>
              <w:kinsoku w:val="0"/>
              <w:overflowPunct w:val="0"/>
              <w:jc w:val="center"/>
              <w:rPr>
                <w:color w:val="auto"/>
                <w:sz w:val="20"/>
                <w:szCs w:val="20"/>
              </w:rPr>
            </w:pPr>
            <w:r>
              <w:rPr>
                <w:rFonts w:hint="eastAsia"/>
                <w:color w:val="auto"/>
                <w:sz w:val="20"/>
                <w:szCs w:val="20"/>
              </w:rPr>
              <w:t>5</w:t>
            </w:r>
            <w:r>
              <w:rPr>
                <w:color w:val="auto"/>
                <w:sz w:val="20"/>
                <w:szCs w:val="20"/>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18" w:type="dxa"/>
            <w:noWrap w:val="0"/>
            <w:vAlign w:val="center"/>
          </w:tcPr>
          <w:p>
            <w:pPr>
              <w:pStyle w:val="332"/>
              <w:kinsoku w:val="0"/>
              <w:overflowPunct w:val="0"/>
              <w:jc w:val="center"/>
              <w:rPr>
                <w:color w:val="auto"/>
                <w:sz w:val="20"/>
                <w:szCs w:val="20"/>
              </w:rPr>
            </w:pPr>
            <w:r>
              <w:rPr>
                <w:color w:val="auto"/>
                <w:sz w:val="20"/>
                <w:szCs w:val="20"/>
              </w:rPr>
              <w:t>运输车辆</w:t>
            </w:r>
          </w:p>
        </w:tc>
        <w:tc>
          <w:tcPr>
            <w:tcW w:w="708" w:type="dxa"/>
            <w:noWrap w:val="0"/>
            <w:vAlign w:val="center"/>
          </w:tcPr>
          <w:p>
            <w:pPr>
              <w:pStyle w:val="332"/>
              <w:kinsoku w:val="0"/>
              <w:overflowPunct w:val="0"/>
              <w:jc w:val="center"/>
              <w:rPr>
                <w:color w:val="auto"/>
                <w:w w:val="99"/>
                <w:sz w:val="20"/>
                <w:szCs w:val="20"/>
              </w:rPr>
            </w:pPr>
            <w:r>
              <w:rPr>
                <w:color w:val="auto"/>
                <w:w w:val="99"/>
                <w:sz w:val="20"/>
                <w:szCs w:val="20"/>
              </w:rPr>
              <w:t>/</w:t>
            </w:r>
          </w:p>
        </w:tc>
        <w:tc>
          <w:tcPr>
            <w:tcW w:w="1125" w:type="dxa"/>
            <w:noWrap w:val="0"/>
            <w:vAlign w:val="center"/>
          </w:tcPr>
          <w:p>
            <w:pPr>
              <w:pStyle w:val="332"/>
              <w:kinsoku w:val="0"/>
              <w:overflowPunct w:val="0"/>
              <w:jc w:val="center"/>
              <w:rPr>
                <w:color w:val="auto"/>
                <w:sz w:val="20"/>
                <w:szCs w:val="20"/>
              </w:rPr>
            </w:pPr>
            <w:r>
              <w:rPr>
                <w:color w:val="auto"/>
                <w:sz w:val="20"/>
                <w:szCs w:val="20"/>
              </w:rPr>
              <w:t>运输路线及厂区内道路</w:t>
            </w:r>
          </w:p>
        </w:tc>
        <w:tc>
          <w:tcPr>
            <w:tcW w:w="949" w:type="dxa"/>
            <w:noWrap w:val="0"/>
            <w:vAlign w:val="center"/>
          </w:tcPr>
          <w:p>
            <w:pPr>
              <w:pStyle w:val="332"/>
              <w:kinsoku w:val="0"/>
              <w:overflowPunct w:val="0"/>
              <w:jc w:val="center"/>
              <w:rPr>
                <w:color w:val="auto"/>
                <w:sz w:val="20"/>
                <w:szCs w:val="20"/>
              </w:rPr>
            </w:pPr>
            <w:r>
              <w:rPr>
                <w:color w:val="auto"/>
                <w:sz w:val="20"/>
                <w:szCs w:val="20"/>
              </w:rPr>
              <w:t>间断</w:t>
            </w:r>
          </w:p>
        </w:tc>
        <w:tc>
          <w:tcPr>
            <w:tcW w:w="1469" w:type="dxa"/>
            <w:noWrap w:val="0"/>
            <w:vAlign w:val="center"/>
          </w:tcPr>
          <w:p>
            <w:pPr>
              <w:pStyle w:val="332"/>
              <w:kinsoku w:val="0"/>
              <w:overflowPunct w:val="0"/>
              <w:jc w:val="center"/>
              <w:rPr>
                <w:color w:val="auto"/>
                <w:sz w:val="20"/>
                <w:szCs w:val="20"/>
              </w:rPr>
            </w:pPr>
            <w:r>
              <w:rPr>
                <w:color w:val="auto"/>
                <w:sz w:val="20"/>
                <w:szCs w:val="20"/>
              </w:rPr>
              <w:t>70~75</w:t>
            </w:r>
          </w:p>
        </w:tc>
        <w:tc>
          <w:tcPr>
            <w:tcW w:w="2213" w:type="dxa"/>
            <w:noWrap w:val="0"/>
            <w:vAlign w:val="center"/>
          </w:tcPr>
          <w:p>
            <w:pPr>
              <w:pStyle w:val="332"/>
              <w:kinsoku w:val="0"/>
              <w:overflowPunct w:val="0"/>
              <w:jc w:val="center"/>
              <w:rPr>
                <w:color w:val="auto"/>
                <w:sz w:val="20"/>
                <w:szCs w:val="20"/>
              </w:rPr>
            </w:pPr>
            <w:r>
              <w:rPr>
                <w:color w:val="auto"/>
                <w:sz w:val="20"/>
                <w:szCs w:val="20"/>
              </w:rPr>
              <w:t>合理安排行驶路线，减少鸣笛</w:t>
            </w:r>
          </w:p>
        </w:tc>
        <w:tc>
          <w:tcPr>
            <w:tcW w:w="905" w:type="dxa"/>
            <w:noWrap w:val="0"/>
            <w:vAlign w:val="center"/>
          </w:tcPr>
          <w:p>
            <w:pPr>
              <w:pStyle w:val="332"/>
              <w:kinsoku w:val="0"/>
              <w:overflowPunct w:val="0"/>
              <w:jc w:val="center"/>
              <w:rPr>
                <w:color w:val="auto"/>
                <w:sz w:val="20"/>
                <w:szCs w:val="20"/>
              </w:rPr>
            </w:pPr>
            <w:r>
              <w:rPr>
                <w:color w:val="auto"/>
                <w:sz w:val="20"/>
                <w:szCs w:val="20"/>
              </w:rPr>
              <w:t>60</w:t>
            </w:r>
          </w:p>
        </w:tc>
      </w:tr>
    </w:tbl>
    <w:p>
      <w:pPr>
        <w:pStyle w:val="9"/>
        <w:spacing w:before="120" w:beforeLines="50"/>
        <w:rPr>
          <w:color w:val="auto"/>
        </w:rPr>
      </w:pPr>
      <w:r>
        <w:rPr>
          <w:rFonts w:hint="eastAsia"/>
          <w:color w:val="auto"/>
        </w:rPr>
        <w:t>噪声预测模式</w:t>
      </w:r>
    </w:p>
    <w:p>
      <w:pPr>
        <w:pStyle w:val="25"/>
        <w:spacing w:before="120" w:beforeLines="50" w:line="360" w:lineRule="auto"/>
        <w:ind w:firstLine="480"/>
        <w:rPr>
          <w:rFonts w:ascii="Times New Roman" w:hAnsi="Times New Roman"/>
          <w:color w:val="auto"/>
          <w:sz w:val="24"/>
        </w:rPr>
      </w:pPr>
      <w:r>
        <w:rPr>
          <w:rFonts w:ascii="Times New Roman" w:hAnsi="Times New Roman"/>
          <w:color w:val="auto"/>
          <w:sz w:val="24"/>
        </w:rPr>
        <w:t>预测模式选择：从噪声源到受声点的噪声总衰减量，是由噪声源到受声点的距离、墙体隔声量、空气吸收及建筑屏障的衰减综合而成，本预测只考虑距离的衰减，空气吸收因本项目噪声源离预测点较近而忽略不计。</w:t>
      </w:r>
    </w:p>
    <w:p>
      <w:pPr>
        <w:pStyle w:val="25"/>
        <w:spacing w:line="360" w:lineRule="auto"/>
        <w:ind w:firstLine="480"/>
        <w:rPr>
          <w:rFonts w:ascii="Times New Roman" w:hAnsi="Times New Roman"/>
          <w:color w:val="auto"/>
          <w:sz w:val="24"/>
        </w:rPr>
      </w:pPr>
      <w:r>
        <w:rPr>
          <w:rFonts w:ascii="Times New Roman" w:hAnsi="Times New Roman"/>
          <w:color w:val="auto"/>
          <w:sz w:val="24"/>
        </w:rPr>
        <w:t>1、单声源声压级的预测</w:t>
      </w:r>
    </w:p>
    <w:p>
      <w:pPr>
        <w:pStyle w:val="25"/>
        <w:spacing w:line="360" w:lineRule="auto"/>
        <w:ind w:firstLine="480"/>
        <w:rPr>
          <w:rFonts w:ascii="Times New Roman" w:hAnsi="Times New Roman"/>
          <w:color w:val="auto"/>
          <w:sz w:val="24"/>
        </w:rPr>
      </w:pPr>
      <w:r>
        <w:rPr>
          <w:rFonts w:ascii="Times New Roman" w:hAnsi="Times New Roman"/>
          <w:color w:val="auto"/>
          <w:sz w:val="24"/>
        </w:rPr>
        <w:t>将噪声源视为点源，以球面波传播，预测计算式为：</w:t>
      </w:r>
    </w:p>
    <w:p>
      <w:pPr>
        <w:pStyle w:val="25"/>
        <w:spacing w:line="360" w:lineRule="auto"/>
        <w:ind w:firstLine="480"/>
        <w:rPr>
          <w:rFonts w:ascii="Times New Roman" w:hAnsi="Times New Roman"/>
          <w:color w:val="auto"/>
          <w:sz w:val="24"/>
        </w:rPr>
      </w:pPr>
      <w:r>
        <w:rPr>
          <w:rFonts w:ascii="Times New Roman" w:hAnsi="Times New Roman"/>
          <w:color w:val="auto"/>
          <w:sz w:val="24"/>
        </w:rPr>
        <w:t>噪声衰减模式：</w:t>
      </w:r>
    </w:p>
    <w:p>
      <w:pPr>
        <w:autoSpaceDE w:val="0"/>
        <w:autoSpaceDN w:val="0"/>
        <w:ind w:right="960" w:firstLine="480"/>
        <w:jc w:val="center"/>
        <w:rPr>
          <w:color w:val="auto"/>
        </w:rPr>
      </w:pPr>
      <w:r>
        <w:rPr>
          <w:color w:val="auto"/>
        </w:rPr>
        <w:object>
          <v:shape id="_x0000_i1076" o:spt="75" type="#_x0000_t75" style="height:38pt;width:125pt;" o:ole="t" filled="f" o:preferrelative="t" stroked="f" coordsize="21600,21600">
            <v:path/>
            <v:fill on="f" focussize="0,0"/>
            <v:stroke on="f"/>
            <v:imagedata r:id="rId79" o:title=""/>
            <o:lock v:ext="edit" grouping="f" rotation="f" text="f" aspectratio="t"/>
            <w10:wrap type="none"/>
            <w10:anchorlock/>
          </v:shape>
          <o:OLEObject Type="Embed" ProgID="Equation.3" ShapeID="_x0000_i1076" DrawAspect="Content" ObjectID="_1468075741" r:id="rId78">
            <o:LockedField>false</o:LockedField>
          </o:OLEObject>
        </w:object>
      </w:r>
    </w:p>
    <w:p>
      <w:pPr>
        <w:ind w:firstLine="480"/>
        <w:rPr>
          <w:color w:val="auto"/>
        </w:rPr>
      </w:pPr>
      <w:r>
        <w:rPr>
          <w:color w:val="auto"/>
        </w:rPr>
        <w:t>式中，</w:t>
      </w:r>
      <w:r>
        <w:rPr>
          <w:i/>
          <w:color w:val="auto"/>
        </w:rPr>
        <w:t>L</w:t>
      </w:r>
      <w:r>
        <w:rPr>
          <w:i/>
          <w:color w:val="auto"/>
          <w:vertAlign w:val="subscript"/>
        </w:rPr>
        <w:t>Pi</w:t>
      </w:r>
      <w:r>
        <w:rPr>
          <w:color w:val="auto"/>
        </w:rPr>
        <w:t>——第i个噪声源噪声的距离的衰减值，dB（A）；</w:t>
      </w:r>
    </w:p>
    <w:p>
      <w:pPr>
        <w:ind w:firstLine="1200" w:firstLineChars="500"/>
        <w:rPr>
          <w:color w:val="auto"/>
        </w:rPr>
      </w:pPr>
      <w:r>
        <w:rPr>
          <w:i/>
          <w:color w:val="auto"/>
        </w:rPr>
        <w:t>L</w:t>
      </w:r>
      <w:r>
        <w:rPr>
          <w:i/>
          <w:color w:val="auto"/>
          <w:vertAlign w:val="subscript"/>
        </w:rPr>
        <w:t>0i</w:t>
      </w:r>
      <w:r>
        <w:rPr>
          <w:color w:val="auto"/>
        </w:rPr>
        <w:t>——第i个噪声源的A声级，dB（A）；</w:t>
      </w:r>
    </w:p>
    <w:p>
      <w:pPr>
        <w:ind w:firstLine="1200" w:firstLineChars="500"/>
        <w:rPr>
          <w:color w:val="auto"/>
        </w:rPr>
      </w:pPr>
      <w:r>
        <w:rPr>
          <w:i/>
          <w:color w:val="auto"/>
        </w:rPr>
        <w:t>r</w:t>
      </w:r>
      <w:r>
        <w:rPr>
          <w:i/>
          <w:color w:val="auto"/>
          <w:vertAlign w:val="subscript"/>
        </w:rPr>
        <w:t>i</w:t>
      </w:r>
      <w:r>
        <w:rPr>
          <w:color w:val="auto"/>
        </w:rPr>
        <w:t>——第i个噪声源噪声衰减距离，m；</w:t>
      </w:r>
    </w:p>
    <w:p>
      <w:pPr>
        <w:ind w:firstLine="1200" w:firstLineChars="500"/>
        <w:rPr>
          <w:color w:val="auto"/>
        </w:rPr>
      </w:pPr>
      <w:r>
        <w:rPr>
          <w:i/>
          <w:color w:val="auto"/>
        </w:rPr>
        <w:t>r</w:t>
      </w:r>
      <w:r>
        <w:rPr>
          <w:i/>
          <w:color w:val="auto"/>
          <w:vertAlign w:val="subscript"/>
        </w:rPr>
        <w:t>0i</w:t>
      </w:r>
      <w:r>
        <w:rPr>
          <w:color w:val="auto"/>
        </w:rPr>
        <w:t>——距离声源1m处，m；</w:t>
      </w:r>
    </w:p>
    <w:p>
      <w:pPr>
        <w:pStyle w:val="25"/>
        <w:spacing w:line="360" w:lineRule="auto"/>
        <w:ind w:firstLine="1200" w:firstLineChars="500"/>
        <w:rPr>
          <w:rFonts w:ascii="Times New Roman" w:hAnsi="Times New Roman"/>
          <w:color w:val="auto"/>
          <w:sz w:val="24"/>
        </w:rPr>
      </w:pPr>
      <w:r>
        <w:rPr>
          <w:rFonts w:ascii="Times New Roman" w:hAnsi="Times New Roman"/>
          <w:color w:val="auto"/>
          <w:sz w:val="24"/>
        </w:rPr>
        <w:t>Δ</w:t>
      </w:r>
      <w:r>
        <w:rPr>
          <w:rFonts w:ascii="Times New Roman" w:hAnsi="Times New Roman"/>
          <w:i/>
          <w:color w:val="auto"/>
          <w:sz w:val="24"/>
        </w:rPr>
        <w:t>L</w:t>
      </w:r>
      <w:r>
        <w:rPr>
          <w:rFonts w:ascii="Times New Roman" w:hAnsi="Times New Roman"/>
          <w:color w:val="auto"/>
          <w:sz w:val="24"/>
        </w:rPr>
        <w:t>——各种衰减量，包括空气吸收、声屏障或遮挡物、地面效应等引起的衰减量。根据工程特点，主要考虑设备增设减振隔垫以及</w:t>
      </w:r>
      <w:r>
        <w:rPr>
          <w:rFonts w:hint="eastAsia" w:ascii="Times New Roman" w:hAnsi="Times New Roman"/>
          <w:color w:val="auto"/>
          <w:sz w:val="24"/>
        </w:rPr>
        <w:t>建筑</w:t>
      </w:r>
      <w:r>
        <w:rPr>
          <w:rFonts w:ascii="Times New Roman" w:hAnsi="Times New Roman"/>
          <w:color w:val="auto"/>
          <w:sz w:val="24"/>
        </w:rPr>
        <w:t>隔声门窗影响。</w:t>
      </w:r>
    </w:p>
    <w:p>
      <w:pPr>
        <w:pStyle w:val="25"/>
        <w:spacing w:line="360" w:lineRule="auto"/>
        <w:ind w:firstLine="480"/>
        <w:rPr>
          <w:rFonts w:ascii="Times New Roman" w:hAnsi="Times New Roman"/>
          <w:color w:val="auto"/>
          <w:sz w:val="24"/>
        </w:rPr>
      </w:pPr>
      <w:r>
        <w:rPr>
          <w:rFonts w:ascii="Times New Roman" w:hAnsi="Times New Roman"/>
          <w:color w:val="auto"/>
          <w:sz w:val="24"/>
        </w:rPr>
        <w:t>2、多声源声压级得预测</w:t>
      </w:r>
    </w:p>
    <w:p>
      <w:pPr>
        <w:pStyle w:val="25"/>
        <w:spacing w:line="360" w:lineRule="auto"/>
        <w:ind w:firstLine="480"/>
        <w:rPr>
          <w:rFonts w:ascii="Times New Roman" w:hAnsi="Times New Roman"/>
          <w:color w:val="auto"/>
          <w:sz w:val="24"/>
        </w:rPr>
      </w:pPr>
      <w:r>
        <w:rPr>
          <w:rFonts w:ascii="Times New Roman" w:hAnsi="Times New Roman"/>
          <w:color w:val="auto"/>
          <w:sz w:val="24"/>
        </w:rPr>
        <w:t>在噪声源众多的情况下，某预测点的声压级为各噪声对该受声点的噪声级分贝值叠加之和。计算式：</w:t>
      </w:r>
    </w:p>
    <w:p>
      <w:pPr>
        <w:autoSpaceDE w:val="0"/>
        <w:autoSpaceDN w:val="0"/>
        <w:ind w:right="960" w:firstLine="480"/>
        <w:jc w:val="center"/>
        <w:rPr>
          <w:color w:val="auto"/>
        </w:rPr>
      </w:pPr>
      <w:r>
        <w:rPr>
          <w:color w:val="auto"/>
        </w:rPr>
        <w:object>
          <v:shape id="_x0000_i1077" o:spt="75" type="#_x0000_t75" style="height:36pt;width:100pt;" o:ole="t" filled="f" o:preferrelative="t" stroked="f" coordsize="21600,21600">
            <v:path/>
            <v:fill on="f" focussize="0,0"/>
            <v:stroke on="f"/>
            <v:imagedata r:id="rId81" o:title=""/>
            <o:lock v:ext="edit" grouping="f" rotation="f" text="f" aspectratio="t"/>
            <w10:wrap type="none"/>
            <w10:anchorlock/>
          </v:shape>
          <o:OLEObject Type="Embed" ProgID="Equation.3" ShapeID="_x0000_i1077" DrawAspect="Content" ObjectID="_1468075742" r:id="rId80">
            <o:LockedField>false</o:LockedField>
          </o:OLEObject>
        </w:object>
      </w:r>
    </w:p>
    <w:p>
      <w:pPr>
        <w:pStyle w:val="25"/>
        <w:spacing w:line="360" w:lineRule="auto"/>
        <w:ind w:firstLine="480"/>
        <w:rPr>
          <w:rFonts w:ascii="Times New Roman" w:hAnsi="Times New Roman"/>
          <w:color w:val="auto"/>
          <w:sz w:val="24"/>
        </w:rPr>
      </w:pPr>
      <w:r>
        <w:rPr>
          <w:rFonts w:ascii="Times New Roman" w:hAnsi="Times New Roman"/>
          <w:color w:val="auto"/>
          <w:sz w:val="24"/>
        </w:rPr>
        <w:t>式中：</w:t>
      </w:r>
      <w:r>
        <w:rPr>
          <w:rFonts w:ascii="Times New Roman" w:hAnsi="Times New Roman"/>
          <w:i/>
          <w:color w:val="auto"/>
          <w:sz w:val="24"/>
        </w:rPr>
        <w:t>L</w:t>
      </w:r>
      <w:r>
        <w:rPr>
          <w:rFonts w:ascii="Times New Roman" w:hAnsi="Times New Roman"/>
          <w:color w:val="auto"/>
          <w:sz w:val="24"/>
        </w:rPr>
        <w:t>——某点噪声总叠加值，dB(A)；</w:t>
      </w:r>
    </w:p>
    <w:p>
      <w:pPr>
        <w:pStyle w:val="25"/>
        <w:spacing w:line="360" w:lineRule="auto"/>
        <w:ind w:firstLine="1200" w:firstLineChars="500"/>
        <w:rPr>
          <w:rFonts w:ascii="Times New Roman" w:hAnsi="Times New Roman"/>
          <w:color w:val="auto"/>
          <w:sz w:val="24"/>
        </w:rPr>
      </w:pPr>
      <w:r>
        <w:rPr>
          <w:rFonts w:ascii="Times New Roman" w:hAnsi="Times New Roman"/>
          <w:i/>
          <w:color w:val="auto"/>
          <w:sz w:val="24"/>
        </w:rPr>
        <w:t>L</w:t>
      </w:r>
      <w:r>
        <w:rPr>
          <w:rFonts w:ascii="Times New Roman" w:hAnsi="Times New Roman"/>
          <w:color w:val="auto"/>
          <w:sz w:val="24"/>
          <w:vertAlign w:val="subscript"/>
        </w:rPr>
        <w:t>i</w:t>
      </w:r>
      <w:r>
        <w:rPr>
          <w:rFonts w:ascii="Times New Roman" w:hAnsi="Times New Roman"/>
          <w:color w:val="auto"/>
          <w:sz w:val="24"/>
        </w:rPr>
        <w:t>——第i个声源在预测点产生的A声级；</w:t>
      </w:r>
    </w:p>
    <w:p>
      <w:pPr>
        <w:pStyle w:val="25"/>
        <w:spacing w:line="360" w:lineRule="auto"/>
        <w:ind w:firstLine="1200" w:firstLineChars="500"/>
        <w:rPr>
          <w:rFonts w:ascii="Times New Roman" w:hAnsi="Times New Roman"/>
          <w:color w:val="auto"/>
          <w:sz w:val="24"/>
        </w:rPr>
      </w:pPr>
      <w:r>
        <w:rPr>
          <w:rFonts w:ascii="Times New Roman" w:hAnsi="Times New Roman"/>
          <w:i/>
          <w:color w:val="auto"/>
          <w:sz w:val="24"/>
        </w:rPr>
        <w:t>n</w:t>
      </w:r>
      <w:r>
        <w:rPr>
          <w:rFonts w:ascii="Times New Roman" w:hAnsi="Times New Roman"/>
          <w:color w:val="auto"/>
          <w:sz w:val="24"/>
        </w:rPr>
        <w:t>——为噪声源的个数。</w:t>
      </w:r>
    </w:p>
    <w:p>
      <w:pPr>
        <w:pStyle w:val="9"/>
        <w:spacing w:before="120" w:beforeLines="50"/>
        <w:rPr>
          <w:color w:val="auto"/>
        </w:rPr>
      </w:pPr>
      <w:r>
        <w:rPr>
          <w:rFonts w:hint="eastAsia"/>
          <w:color w:val="auto"/>
        </w:rPr>
        <w:t>噪声环境影响预测</w:t>
      </w:r>
    </w:p>
    <w:p>
      <w:pPr>
        <w:ind w:firstLine="480"/>
        <w:rPr>
          <w:color w:val="auto"/>
        </w:rPr>
      </w:pPr>
      <w:r>
        <w:rPr>
          <w:color w:val="auto"/>
        </w:rPr>
        <w:t>根据本项目噪声源的分布，对厂址的厂界四周噪声进行预测计算，与所执行的标准进行比较。</w:t>
      </w:r>
      <w:r>
        <w:rPr>
          <w:rFonts w:hint="eastAsia"/>
          <w:color w:val="auto"/>
        </w:rPr>
        <w:t>本项目预测结果见下表</w:t>
      </w:r>
      <w:r>
        <w:rPr>
          <w:color w:val="auto"/>
        </w:rPr>
        <w:t>5.2-</w:t>
      </w:r>
      <w:r>
        <w:rPr>
          <w:rFonts w:hint="eastAsia"/>
          <w:color w:val="auto"/>
          <w:lang w:val="en-US" w:eastAsia="zh-CN"/>
        </w:rPr>
        <w:t>31</w:t>
      </w:r>
      <w:r>
        <w:rPr>
          <w:rFonts w:hint="eastAsia"/>
          <w:color w:val="auto"/>
        </w:rPr>
        <w:t>。</w:t>
      </w:r>
    </w:p>
    <w:p>
      <w:pPr>
        <w:pStyle w:val="166"/>
        <w:spacing w:before="120" w:beforeLines="0"/>
        <w:rPr>
          <w:color w:val="auto"/>
        </w:rPr>
      </w:pPr>
      <w:r>
        <w:rPr>
          <w:rFonts w:hint="eastAsia"/>
          <w:color w:val="auto"/>
        </w:rPr>
        <w:t>表</w:t>
      </w:r>
      <w:r>
        <w:rPr>
          <w:color w:val="auto"/>
        </w:rPr>
        <w:t>5.2-</w:t>
      </w:r>
      <w:r>
        <w:rPr>
          <w:rFonts w:hint="eastAsia"/>
          <w:color w:val="auto"/>
          <w:lang w:val="en-US" w:eastAsia="zh-CN"/>
        </w:rPr>
        <w:t xml:space="preserve">31 </w:t>
      </w:r>
      <w:r>
        <w:rPr>
          <w:rFonts w:hint="eastAsia"/>
          <w:color w:val="auto"/>
        </w:rPr>
        <w:t>项目运营期主要噪声源噪声影响预测结果</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35"/>
        <w:gridCol w:w="1963"/>
        <w:gridCol w:w="1176"/>
        <w:gridCol w:w="1178"/>
        <w:gridCol w:w="1372"/>
        <w:gridCol w:w="11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blHeader/>
          <w:jc w:val="center"/>
        </w:trPr>
        <w:tc>
          <w:tcPr>
            <w:tcW w:w="2135" w:type="dxa"/>
            <w:noWrap w:val="0"/>
            <w:vAlign w:val="center"/>
          </w:tcPr>
          <w:p>
            <w:pPr>
              <w:pStyle w:val="206"/>
              <w:spacing w:line="240" w:lineRule="auto"/>
              <w:rPr>
                <w:b/>
                <w:snapToGrid w:val="0"/>
                <w:color w:val="auto"/>
                <w:sz w:val="21"/>
                <w:szCs w:val="21"/>
              </w:rPr>
            </w:pPr>
            <w:r>
              <w:rPr>
                <w:b/>
                <w:snapToGrid w:val="0"/>
                <w:color w:val="auto"/>
                <w:sz w:val="21"/>
                <w:szCs w:val="21"/>
              </w:rPr>
              <w:t>产生位置</w:t>
            </w:r>
          </w:p>
        </w:tc>
        <w:tc>
          <w:tcPr>
            <w:tcW w:w="1963" w:type="dxa"/>
            <w:noWrap w:val="0"/>
            <w:vAlign w:val="center"/>
          </w:tcPr>
          <w:p>
            <w:pPr>
              <w:pStyle w:val="206"/>
              <w:spacing w:line="240" w:lineRule="auto"/>
              <w:rPr>
                <w:b/>
                <w:snapToGrid w:val="0"/>
                <w:color w:val="auto"/>
                <w:sz w:val="21"/>
                <w:szCs w:val="21"/>
              </w:rPr>
            </w:pPr>
            <w:r>
              <w:rPr>
                <w:b/>
                <w:snapToGrid w:val="0"/>
                <w:color w:val="auto"/>
                <w:sz w:val="21"/>
                <w:szCs w:val="21"/>
              </w:rPr>
              <w:t>预测位置</w:t>
            </w:r>
          </w:p>
        </w:tc>
        <w:tc>
          <w:tcPr>
            <w:tcW w:w="1176" w:type="dxa"/>
            <w:noWrap w:val="0"/>
            <w:vAlign w:val="center"/>
          </w:tcPr>
          <w:p>
            <w:pPr>
              <w:pStyle w:val="206"/>
              <w:spacing w:line="240" w:lineRule="auto"/>
              <w:rPr>
                <w:b/>
                <w:snapToGrid w:val="0"/>
                <w:color w:val="auto"/>
                <w:sz w:val="21"/>
                <w:szCs w:val="21"/>
              </w:rPr>
            </w:pPr>
            <w:r>
              <w:rPr>
                <w:b/>
                <w:snapToGrid w:val="0"/>
                <w:color w:val="auto"/>
                <w:sz w:val="21"/>
                <w:szCs w:val="21"/>
              </w:rPr>
              <w:t>东厂界</w:t>
            </w:r>
          </w:p>
        </w:tc>
        <w:tc>
          <w:tcPr>
            <w:tcW w:w="1178" w:type="dxa"/>
            <w:noWrap w:val="0"/>
            <w:vAlign w:val="center"/>
          </w:tcPr>
          <w:p>
            <w:pPr>
              <w:pStyle w:val="206"/>
              <w:spacing w:line="240" w:lineRule="auto"/>
              <w:rPr>
                <w:b/>
                <w:snapToGrid w:val="0"/>
                <w:color w:val="auto"/>
                <w:sz w:val="21"/>
                <w:szCs w:val="21"/>
              </w:rPr>
            </w:pPr>
            <w:r>
              <w:rPr>
                <w:b/>
                <w:snapToGrid w:val="0"/>
                <w:color w:val="auto"/>
                <w:sz w:val="21"/>
                <w:szCs w:val="21"/>
              </w:rPr>
              <w:t>南厂界</w:t>
            </w:r>
          </w:p>
        </w:tc>
        <w:tc>
          <w:tcPr>
            <w:tcW w:w="1372" w:type="dxa"/>
            <w:noWrap w:val="0"/>
            <w:vAlign w:val="center"/>
          </w:tcPr>
          <w:p>
            <w:pPr>
              <w:pStyle w:val="206"/>
              <w:spacing w:line="240" w:lineRule="auto"/>
              <w:rPr>
                <w:b/>
                <w:snapToGrid w:val="0"/>
                <w:color w:val="auto"/>
                <w:sz w:val="21"/>
                <w:szCs w:val="21"/>
              </w:rPr>
            </w:pPr>
            <w:r>
              <w:rPr>
                <w:b/>
                <w:snapToGrid w:val="0"/>
                <w:color w:val="auto"/>
                <w:sz w:val="21"/>
                <w:szCs w:val="21"/>
              </w:rPr>
              <w:t>西厂界</w:t>
            </w:r>
          </w:p>
        </w:tc>
        <w:tc>
          <w:tcPr>
            <w:tcW w:w="1179" w:type="dxa"/>
            <w:noWrap w:val="0"/>
            <w:vAlign w:val="center"/>
          </w:tcPr>
          <w:p>
            <w:pPr>
              <w:pStyle w:val="206"/>
              <w:spacing w:line="240" w:lineRule="auto"/>
              <w:rPr>
                <w:b/>
                <w:snapToGrid w:val="0"/>
                <w:color w:val="auto"/>
                <w:sz w:val="21"/>
                <w:szCs w:val="21"/>
              </w:rPr>
            </w:pPr>
            <w:r>
              <w:rPr>
                <w:b/>
                <w:snapToGrid w:val="0"/>
                <w:color w:val="auto"/>
                <w:sz w:val="21"/>
                <w:szCs w:val="21"/>
              </w:rPr>
              <w:t>北厂界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restart"/>
            <w:noWrap w:val="0"/>
            <w:vAlign w:val="center"/>
          </w:tcPr>
          <w:p>
            <w:pPr>
              <w:adjustRightInd w:val="0"/>
              <w:snapToGrid w:val="0"/>
              <w:spacing w:line="240" w:lineRule="auto"/>
              <w:ind w:firstLine="0" w:firstLineChars="0"/>
              <w:jc w:val="center"/>
              <w:rPr>
                <w:iCs/>
                <w:color w:val="auto"/>
                <w:sz w:val="21"/>
                <w:szCs w:val="21"/>
              </w:rPr>
            </w:pPr>
            <w:r>
              <w:rPr>
                <w:rFonts w:hint="eastAsia"/>
                <w:color w:val="auto"/>
                <w:sz w:val="21"/>
                <w:szCs w:val="21"/>
              </w:rPr>
              <w:t>猪舍（风机）</w:t>
            </w: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距离（m）</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continue"/>
            <w:noWrap w:val="0"/>
            <w:vAlign w:val="center"/>
          </w:tcPr>
          <w:p>
            <w:pPr>
              <w:pStyle w:val="206"/>
              <w:spacing w:line="240" w:lineRule="auto"/>
              <w:rPr>
                <w:snapToGrid w:val="0"/>
                <w:color w:val="auto"/>
                <w:sz w:val="21"/>
                <w:szCs w:val="21"/>
              </w:rPr>
            </w:pP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噪声贡献dB（A）</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restart"/>
            <w:noWrap w:val="0"/>
            <w:vAlign w:val="center"/>
          </w:tcPr>
          <w:p>
            <w:pPr>
              <w:adjustRightInd w:val="0"/>
              <w:snapToGrid w:val="0"/>
              <w:spacing w:line="240" w:lineRule="auto"/>
              <w:ind w:firstLine="0" w:firstLineChars="0"/>
              <w:jc w:val="center"/>
              <w:rPr>
                <w:rFonts w:hint="eastAsia"/>
                <w:iCs/>
                <w:color w:val="auto"/>
                <w:sz w:val="21"/>
                <w:szCs w:val="21"/>
              </w:rPr>
            </w:pPr>
            <w:r>
              <w:rPr>
                <w:rFonts w:hint="eastAsia"/>
                <w:color w:val="auto"/>
                <w:sz w:val="21"/>
                <w:szCs w:val="21"/>
              </w:rPr>
              <w:t>水泵</w:t>
            </w:r>
            <w:r>
              <w:rPr>
                <w:color w:val="auto"/>
                <w:sz w:val="21"/>
                <w:szCs w:val="21"/>
              </w:rPr>
              <w:t>房</w:t>
            </w: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距离（m）</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continue"/>
            <w:noWrap w:val="0"/>
            <w:vAlign w:val="center"/>
          </w:tcPr>
          <w:p>
            <w:pPr>
              <w:pStyle w:val="206"/>
              <w:spacing w:line="240" w:lineRule="auto"/>
              <w:rPr>
                <w:snapToGrid w:val="0"/>
                <w:color w:val="auto"/>
                <w:sz w:val="21"/>
                <w:szCs w:val="21"/>
              </w:rPr>
            </w:pP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噪声贡献dB（A）</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restart"/>
            <w:noWrap w:val="0"/>
            <w:vAlign w:val="center"/>
          </w:tcPr>
          <w:p>
            <w:pPr>
              <w:adjustRightInd w:val="0"/>
              <w:snapToGrid w:val="0"/>
              <w:spacing w:line="240" w:lineRule="auto"/>
              <w:ind w:firstLine="0" w:firstLineChars="0"/>
              <w:jc w:val="center"/>
              <w:rPr>
                <w:rFonts w:hint="eastAsia"/>
                <w:iCs/>
                <w:color w:val="auto"/>
                <w:sz w:val="21"/>
                <w:szCs w:val="21"/>
              </w:rPr>
            </w:pPr>
            <w:r>
              <w:rPr>
                <w:rFonts w:hint="eastAsia"/>
                <w:iCs/>
                <w:color w:val="auto"/>
                <w:sz w:val="21"/>
                <w:szCs w:val="21"/>
              </w:rPr>
              <w:t>治污区</w:t>
            </w: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距离（m）</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5" w:type="dxa"/>
            <w:vMerge w:val="continue"/>
            <w:noWrap w:val="0"/>
            <w:vAlign w:val="center"/>
          </w:tcPr>
          <w:p>
            <w:pPr>
              <w:adjustRightInd w:val="0"/>
              <w:snapToGrid w:val="0"/>
              <w:spacing w:line="240" w:lineRule="auto"/>
              <w:ind w:firstLine="0" w:firstLineChars="0"/>
              <w:jc w:val="center"/>
              <w:rPr>
                <w:rFonts w:hint="eastAsia"/>
                <w:iCs/>
                <w:color w:val="auto"/>
                <w:sz w:val="21"/>
                <w:szCs w:val="21"/>
              </w:rPr>
            </w:pP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噪声贡献dB（A）</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pStyle w:val="206"/>
              <w:spacing w:line="240" w:lineRule="auto"/>
              <w:rPr>
                <w:snapToGrid w:val="0"/>
                <w:color w:val="auto"/>
                <w:sz w:val="21"/>
                <w:szCs w:val="21"/>
              </w:rPr>
            </w:pPr>
          </w:p>
        </w:tc>
        <w:tc>
          <w:tcPr>
            <w:tcW w:w="1372" w:type="dxa"/>
            <w:noWrap w:val="0"/>
            <w:vAlign w:val="center"/>
          </w:tcPr>
          <w:p>
            <w:pPr>
              <w:pStyle w:val="206"/>
              <w:spacing w:line="240" w:lineRule="auto"/>
              <w:rPr>
                <w:snapToGrid w:val="0"/>
                <w:color w:val="auto"/>
                <w:sz w:val="21"/>
                <w:szCs w:val="21"/>
              </w:rPr>
            </w:pPr>
          </w:p>
        </w:tc>
        <w:tc>
          <w:tcPr>
            <w:tcW w:w="1179" w:type="dxa"/>
            <w:noWrap w:val="0"/>
            <w:vAlign w:val="center"/>
          </w:tcPr>
          <w:p>
            <w:pPr>
              <w:pStyle w:val="206"/>
              <w:spacing w:line="240" w:lineRule="auto"/>
              <w:rPr>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4098" w:type="dxa"/>
            <w:gridSpan w:val="2"/>
            <w:noWrap w:val="0"/>
            <w:vAlign w:val="center"/>
          </w:tcPr>
          <w:p>
            <w:pPr>
              <w:pStyle w:val="206"/>
              <w:spacing w:line="240" w:lineRule="auto"/>
              <w:rPr>
                <w:snapToGrid w:val="0"/>
                <w:color w:val="auto"/>
                <w:sz w:val="21"/>
                <w:szCs w:val="21"/>
              </w:rPr>
            </w:pPr>
            <w:r>
              <w:rPr>
                <w:snapToGrid w:val="0"/>
                <w:color w:val="auto"/>
                <w:sz w:val="21"/>
                <w:szCs w:val="21"/>
              </w:rPr>
              <w:t>厂界噪声预测叠加dB（A）</w:t>
            </w:r>
          </w:p>
        </w:tc>
        <w:tc>
          <w:tcPr>
            <w:tcW w:w="1176" w:type="dxa"/>
            <w:noWrap w:val="0"/>
            <w:vAlign w:val="center"/>
          </w:tcPr>
          <w:p>
            <w:pPr>
              <w:pStyle w:val="206"/>
              <w:spacing w:line="240" w:lineRule="auto"/>
              <w:rPr>
                <w:snapToGrid w:val="0"/>
                <w:color w:val="auto"/>
                <w:sz w:val="21"/>
                <w:szCs w:val="21"/>
              </w:rPr>
            </w:pPr>
          </w:p>
        </w:tc>
        <w:tc>
          <w:tcPr>
            <w:tcW w:w="1178" w:type="dxa"/>
            <w:noWrap w:val="0"/>
            <w:vAlign w:val="center"/>
          </w:tcPr>
          <w:p>
            <w:pPr>
              <w:adjustRightInd w:val="0"/>
              <w:snapToGrid w:val="0"/>
              <w:spacing w:line="240" w:lineRule="auto"/>
              <w:ind w:firstLine="0" w:firstLineChars="0"/>
              <w:jc w:val="center"/>
              <w:rPr>
                <w:bCs/>
                <w:snapToGrid w:val="0"/>
                <w:color w:val="auto"/>
                <w:sz w:val="21"/>
                <w:szCs w:val="21"/>
              </w:rPr>
            </w:pPr>
          </w:p>
        </w:tc>
        <w:tc>
          <w:tcPr>
            <w:tcW w:w="1372" w:type="dxa"/>
            <w:noWrap w:val="0"/>
            <w:vAlign w:val="center"/>
          </w:tcPr>
          <w:p>
            <w:pPr>
              <w:adjustRightInd w:val="0"/>
              <w:snapToGrid w:val="0"/>
              <w:spacing w:line="240" w:lineRule="auto"/>
              <w:ind w:firstLine="0" w:firstLineChars="0"/>
              <w:jc w:val="center"/>
              <w:rPr>
                <w:bCs/>
                <w:snapToGrid w:val="0"/>
                <w:color w:val="auto"/>
                <w:sz w:val="21"/>
                <w:szCs w:val="21"/>
              </w:rPr>
            </w:pPr>
          </w:p>
        </w:tc>
        <w:tc>
          <w:tcPr>
            <w:tcW w:w="1179" w:type="dxa"/>
            <w:noWrap w:val="0"/>
            <w:vAlign w:val="center"/>
          </w:tcPr>
          <w:p>
            <w:pPr>
              <w:adjustRightInd w:val="0"/>
              <w:snapToGrid w:val="0"/>
              <w:spacing w:line="240" w:lineRule="auto"/>
              <w:ind w:firstLine="0" w:firstLineChars="0"/>
              <w:jc w:val="center"/>
              <w:rPr>
                <w:bCs/>
                <w:snapToGrid w:val="0"/>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4098" w:type="dxa"/>
            <w:gridSpan w:val="2"/>
            <w:noWrap w:val="0"/>
            <w:vAlign w:val="center"/>
          </w:tcPr>
          <w:p>
            <w:pPr>
              <w:pStyle w:val="206"/>
              <w:spacing w:line="240" w:lineRule="auto"/>
              <w:rPr>
                <w:rFonts w:hint="eastAsia"/>
                <w:snapToGrid w:val="0"/>
                <w:color w:val="auto"/>
                <w:sz w:val="21"/>
                <w:szCs w:val="21"/>
              </w:rPr>
            </w:pPr>
            <w:r>
              <w:rPr>
                <w:snapToGrid w:val="0"/>
                <w:color w:val="auto"/>
                <w:sz w:val="21"/>
                <w:szCs w:val="21"/>
              </w:rPr>
              <w:t>《声环境质量标准》</w:t>
            </w:r>
          </w:p>
        </w:tc>
        <w:tc>
          <w:tcPr>
            <w:tcW w:w="4905" w:type="dxa"/>
            <w:gridSpan w:val="4"/>
            <w:noWrap w:val="0"/>
            <w:vAlign w:val="center"/>
          </w:tcPr>
          <w:p>
            <w:pPr>
              <w:pStyle w:val="206"/>
              <w:spacing w:line="240" w:lineRule="auto"/>
              <w:rPr>
                <w:snapToGrid w:val="0"/>
                <w:color w:val="auto"/>
                <w:sz w:val="21"/>
                <w:szCs w:val="21"/>
              </w:rPr>
            </w:pPr>
            <w:r>
              <w:rPr>
                <w:snapToGrid w:val="0"/>
                <w:color w:val="auto"/>
                <w:sz w:val="21"/>
                <w:szCs w:val="21"/>
              </w:rPr>
              <w:t>昼间60dB（A），夜间50dB（A）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35" w:type="dxa"/>
            <w:vMerge w:val="restart"/>
            <w:noWrap w:val="0"/>
            <w:vAlign w:val="center"/>
          </w:tcPr>
          <w:p>
            <w:pPr>
              <w:pStyle w:val="206"/>
              <w:spacing w:line="240" w:lineRule="auto"/>
              <w:rPr>
                <w:snapToGrid w:val="0"/>
                <w:color w:val="auto"/>
                <w:sz w:val="21"/>
                <w:szCs w:val="21"/>
              </w:rPr>
            </w:pPr>
            <w:r>
              <w:rPr>
                <w:snapToGrid w:val="0"/>
                <w:color w:val="auto"/>
                <w:sz w:val="21"/>
                <w:szCs w:val="21"/>
              </w:rPr>
              <w:t>评价结果</w:t>
            </w: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昼间</w:t>
            </w:r>
          </w:p>
        </w:tc>
        <w:tc>
          <w:tcPr>
            <w:tcW w:w="1176"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178"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372"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179" w:type="dxa"/>
            <w:noWrap w:val="0"/>
            <w:vAlign w:val="center"/>
          </w:tcPr>
          <w:p>
            <w:pPr>
              <w:pStyle w:val="206"/>
              <w:spacing w:line="240" w:lineRule="auto"/>
              <w:rPr>
                <w:snapToGrid w:val="0"/>
                <w:color w:val="auto"/>
                <w:sz w:val="21"/>
                <w:szCs w:val="21"/>
              </w:rPr>
            </w:pPr>
            <w:r>
              <w:rPr>
                <w:snapToGrid w:val="0"/>
                <w:color w:val="auto"/>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135" w:type="dxa"/>
            <w:vMerge w:val="continue"/>
            <w:noWrap w:val="0"/>
            <w:vAlign w:val="center"/>
          </w:tcPr>
          <w:p>
            <w:pPr>
              <w:pStyle w:val="206"/>
              <w:spacing w:line="240" w:lineRule="auto"/>
              <w:rPr>
                <w:snapToGrid w:val="0"/>
                <w:color w:val="auto"/>
                <w:sz w:val="21"/>
                <w:szCs w:val="21"/>
              </w:rPr>
            </w:pPr>
          </w:p>
        </w:tc>
        <w:tc>
          <w:tcPr>
            <w:tcW w:w="1963" w:type="dxa"/>
            <w:noWrap w:val="0"/>
            <w:vAlign w:val="center"/>
          </w:tcPr>
          <w:p>
            <w:pPr>
              <w:pStyle w:val="206"/>
              <w:spacing w:line="240" w:lineRule="auto"/>
              <w:rPr>
                <w:snapToGrid w:val="0"/>
                <w:color w:val="auto"/>
                <w:sz w:val="21"/>
                <w:szCs w:val="21"/>
              </w:rPr>
            </w:pPr>
            <w:r>
              <w:rPr>
                <w:snapToGrid w:val="0"/>
                <w:color w:val="auto"/>
                <w:sz w:val="21"/>
                <w:szCs w:val="21"/>
              </w:rPr>
              <w:t>夜间</w:t>
            </w:r>
          </w:p>
        </w:tc>
        <w:tc>
          <w:tcPr>
            <w:tcW w:w="1176"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178"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372" w:type="dxa"/>
            <w:noWrap w:val="0"/>
            <w:vAlign w:val="center"/>
          </w:tcPr>
          <w:p>
            <w:pPr>
              <w:pStyle w:val="206"/>
              <w:spacing w:line="240" w:lineRule="auto"/>
              <w:rPr>
                <w:snapToGrid w:val="0"/>
                <w:color w:val="auto"/>
                <w:sz w:val="21"/>
                <w:szCs w:val="21"/>
              </w:rPr>
            </w:pPr>
            <w:r>
              <w:rPr>
                <w:snapToGrid w:val="0"/>
                <w:color w:val="auto"/>
                <w:sz w:val="21"/>
                <w:szCs w:val="21"/>
              </w:rPr>
              <w:t>达标</w:t>
            </w:r>
          </w:p>
        </w:tc>
        <w:tc>
          <w:tcPr>
            <w:tcW w:w="1179" w:type="dxa"/>
            <w:noWrap w:val="0"/>
            <w:vAlign w:val="center"/>
          </w:tcPr>
          <w:p>
            <w:pPr>
              <w:pStyle w:val="206"/>
              <w:spacing w:line="240" w:lineRule="auto"/>
              <w:rPr>
                <w:snapToGrid w:val="0"/>
                <w:color w:val="auto"/>
                <w:sz w:val="21"/>
                <w:szCs w:val="21"/>
              </w:rPr>
            </w:pPr>
            <w:r>
              <w:rPr>
                <w:snapToGrid w:val="0"/>
                <w:color w:val="auto"/>
                <w:sz w:val="21"/>
                <w:szCs w:val="21"/>
              </w:rPr>
              <w:t>达标</w:t>
            </w:r>
          </w:p>
        </w:tc>
      </w:tr>
    </w:tbl>
    <w:p>
      <w:pPr>
        <w:spacing w:before="120" w:beforeLines="50"/>
        <w:ind w:firstLine="0" w:firstLineChars="0"/>
        <w:jc w:val="center"/>
        <w:rPr>
          <w:color w:val="auto"/>
          <w:lang/>
        </w:rPr>
      </w:pPr>
    </w:p>
    <w:p>
      <w:pPr>
        <w:spacing w:before="120" w:beforeLines="50"/>
        <w:ind w:firstLine="0" w:firstLineChars="0"/>
        <w:jc w:val="center"/>
        <w:rPr>
          <w:b/>
          <w:bCs/>
          <w:color w:val="auto"/>
          <w:sz w:val="21"/>
          <w:szCs w:val="21"/>
        </w:rPr>
      </w:pPr>
      <w:r>
        <w:rPr>
          <w:rFonts w:hint="eastAsia"/>
          <w:b/>
          <w:bCs/>
          <w:color w:val="auto"/>
          <w:sz w:val="21"/>
          <w:szCs w:val="21"/>
        </w:rPr>
        <w:t>图</w:t>
      </w:r>
      <w:r>
        <w:rPr>
          <w:b/>
          <w:bCs/>
          <w:color w:val="auto"/>
          <w:sz w:val="21"/>
          <w:szCs w:val="21"/>
        </w:rPr>
        <w:t>5</w:t>
      </w:r>
      <w:r>
        <w:rPr>
          <w:rFonts w:hint="eastAsia"/>
          <w:b/>
          <w:bCs/>
          <w:color w:val="auto"/>
          <w:sz w:val="21"/>
          <w:szCs w:val="21"/>
        </w:rPr>
        <w:t>.</w:t>
      </w:r>
      <w:r>
        <w:rPr>
          <w:b/>
          <w:bCs/>
          <w:color w:val="auto"/>
          <w:sz w:val="21"/>
          <w:szCs w:val="21"/>
        </w:rPr>
        <w:t>2</w:t>
      </w:r>
      <w:r>
        <w:rPr>
          <w:rFonts w:hint="eastAsia"/>
          <w:b/>
          <w:bCs/>
          <w:color w:val="auto"/>
          <w:sz w:val="21"/>
          <w:szCs w:val="21"/>
        </w:rPr>
        <w:t>-</w:t>
      </w:r>
      <w:r>
        <w:rPr>
          <w:rFonts w:hint="eastAsia"/>
          <w:b/>
          <w:bCs/>
          <w:color w:val="auto"/>
          <w:sz w:val="21"/>
          <w:szCs w:val="21"/>
          <w:lang w:val="en-US" w:eastAsia="zh-CN"/>
        </w:rPr>
        <w:t>1</w:t>
      </w:r>
      <w:r>
        <w:rPr>
          <w:rFonts w:hint="eastAsia"/>
          <w:b/>
          <w:bCs/>
          <w:color w:val="auto"/>
          <w:sz w:val="21"/>
          <w:szCs w:val="21"/>
          <w:lang w:val="en-US" w:eastAsia="zh-CN"/>
        </w:rPr>
        <w:t>3</w:t>
      </w:r>
      <w:r>
        <w:rPr>
          <w:rFonts w:hint="eastAsia"/>
          <w:b/>
          <w:bCs/>
          <w:color w:val="auto"/>
          <w:sz w:val="21"/>
          <w:szCs w:val="21"/>
        </w:rPr>
        <w:t xml:space="preserve"> </w:t>
      </w:r>
      <w:r>
        <w:rPr>
          <w:b/>
          <w:bCs/>
          <w:color w:val="auto"/>
          <w:sz w:val="21"/>
          <w:szCs w:val="21"/>
        </w:rPr>
        <w:t xml:space="preserve"> </w:t>
      </w:r>
      <w:r>
        <w:rPr>
          <w:rFonts w:hint="eastAsia"/>
          <w:b/>
          <w:bCs/>
          <w:color w:val="auto"/>
          <w:sz w:val="21"/>
          <w:szCs w:val="21"/>
        </w:rPr>
        <w:t>项目营运期等声值线图</w:t>
      </w:r>
    </w:p>
    <w:p>
      <w:pPr>
        <w:spacing w:before="120" w:beforeLines="50"/>
        <w:ind w:firstLine="480"/>
        <w:rPr>
          <w:color w:val="auto"/>
        </w:rPr>
      </w:pPr>
      <w:r>
        <w:rPr>
          <w:rFonts w:hint="eastAsia"/>
          <w:color w:val="auto"/>
        </w:rPr>
        <w:t>根据预测结果可知，项目在采取上述隔声、消声、减振等降噪措施，再通过建筑隔声、距离衰减后，厂界噪声贡献值可满足《工业企业厂界环境噪声排放标准》（</w:t>
      </w:r>
      <w:r>
        <w:rPr>
          <w:color w:val="auto"/>
        </w:rPr>
        <w:t>GB12348-2008</w:t>
      </w:r>
      <w:r>
        <w:rPr>
          <w:rFonts w:hint="eastAsia"/>
          <w:color w:val="auto"/>
        </w:rPr>
        <w:t>）中的</w:t>
      </w:r>
      <w:r>
        <w:rPr>
          <w:color w:val="auto"/>
        </w:rPr>
        <w:t>2</w:t>
      </w:r>
      <w:r>
        <w:rPr>
          <w:rFonts w:hint="eastAsia"/>
          <w:color w:val="auto"/>
        </w:rPr>
        <w:t>类标准限值。基本不会对周围声环境产生影响。</w:t>
      </w:r>
    </w:p>
    <w:p>
      <w:pPr>
        <w:pStyle w:val="8"/>
        <w:tabs>
          <w:tab w:val="clear" w:pos="0"/>
        </w:tabs>
        <w:rPr>
          <w:rFonts w:eastAsia="黑体"/>
          <w:color w:val="auto"/>
          <w:sz w:val="28"/>
          <w:szCs w:val="28"/>
        </w:rPr>
      </w:pPr>
      <w:r>
        <w:rPr>
          <w:rFonts w:eastAsia="黑体"/>
          <w:color w:val="auto"/>
          <w:sz w:val="28"/>
          <w:szCs w:val="28"/>
        </w:rPr>
        <w:t>固体废物环境影响分析</w:t>
      </w:r>
    </w:p>
    <w:p>
      <w:pPr>
        <w:pStyle w:val="9"/>
        <w:spacing w:before="120" w:beforeLines="50"/>
        <w:rPr>
          <w:color w:val="auto"/>
        </w:rPr>
      </w:pPr>
      <w:r>
        <w:rPr>
          <w:color w:val="auto"/>
        </w:rPr>
        <w:t>固体废弃物类别及产生量</w:t>
      </w:r>
    </w:p>
    <w:p>
      <w:pPr>
        <w:ind w:firstLine="480"/>
        <w:rPr>
          <w:rFonts w:hint="eastAsia"/>
          <w:color w:val="auto"/>
        </w:rPr>
      </w:pPr>
      <w:r>
        <w:rPr>
          <w:rFonts w:hint="eastAsia"/>
          <w:color w:val="auto"/>
        </w:rPr>
        <w:t>根据工程分析可知，项目营运期产生的固体废物包括</w:t>
      </w:r>
      <w:r>
        <w:rPr>
          <w:rFonts w:hint="eastAsia"/>
          <w:color w:val="auto"/>
          <w:lang w:val="zh-CN"/>
        </w:rPr>
        <w:t>猪粪、污泥（沼渣）、</w:t>
      </w:r>
      <w:r>
        <w:rPr>
          <w:rFonts w:hint="eastAsia"/>
          <w:color w:val="auto"/>
        </w:rPr>
        <w:t>病死猪</w:t>
      </w:r>
      <w:r>
        <w:rPr>
          <w:rFonts w:hint="eastAsia"/>
          <w:color w:val="auto"/>
          <w:lang w:eastAsia="zh-CN"/>
        </w:rPr>
        <w:t>、</w:t>
      </w:r>
      <w:r>
        <w:rPr>
          <w:rFonts w:hint="eastAsia"/>
          <w:color w:val="auto"/>
        </w:rPr>
        <w:t>畜禽医疗废物</w:t>
      </w:r>
      <w:r>
        <w:rPr>
          <w:rFonts w:hint="eastAsia"/>
          <w:color w:val="auto"/>
          <w:lang w:eastAsia="zh-CN"/>
        </w:rPr>
        <w:t>、</w:t>
      </w:r>
      <w:r>
        <w:rPr>
          <w:rFonts w:hint="eastAsia"/>
          <w:color w:val="auto"/>
        </w:rPr>
        <w:t>生活垃圾</w:t>
      </w:r>
      <w:r>
        <w:rPr>
          <w:rFonts w:hint="eastAsia"/>
          <w:color w:val="auto"/>
          <w:lang w:eastAsia="zh-CN"/>
        </w:rPr>
        <w:t>、</w:t>
      </w:r>
      <w:r>
        <w:rPr>
          <w:rFonts w:hint="eastAsia"/>
          <w:color w:val="auto"/>
        </w:rPr>
        <w:t>餐厨垃圾</w:t>
      </w:r>
      <w:r>
        <w:rPr>
          <w:rFonts w:hint="eastAsia"/>
          <w:color w:val="auto"/>
          <w:lang w:eastAsia="zh-CN"/>
        </w:rPr>
        <w:t>、</w:t>
      </w:r>
      <w:r>
        <w:rPr>
          <w:rFonts w:hint="eastAsia"/>
          <w:color w:val="auto"/>
        </w:rPr>
        <w:t>废脱硫剂</w:t>
      </w:r>
      <w:r>
        <w:rPr>
          <w:rFonts w:hint="eastAsia"/>
          <w:color w:val="auto"/>
          <w:lang w:eastAsia="zh-CN"/>
        </w:rPr>
        <w:t>、</w:t>
      </w:r>
      <w:r>
        <w:rPr>
          <w:rFonts w:hint="eastAsia"/>
          <w:color w:val="auto"/>
        </w:rPr>
        <w:t>废包装材料等。项目营运期固体废物产生情况及处置措施见表5.2-</w:t>
      </w:r>
      <w:r>
        <w:rPr>
          <w:rFonts w:hint="eastAsia"/>
          <w:color w:val="auto"/>
          <w:lang w:val="en-US" w:eastAsia="zh-CN"/>
        </w:rPr>
        <w:t>32</w:t>
      </w:r>
      <w:r>
        <w:rPr>
          <w:rFonts w:hint="eastAsia"/>
          <w:color w:val="auto"/>
        </w:rPr>
        <w:t>。</w:t>
      </w:r>
    </w:p>
    <w:p>
      <w:pPr>
        <w:pStyle w:val="166"/>
        <w:spacing w:before="0" w:beforeLines="0" w:line="360" w:lineRule="auto"/>
        <w:rPr>
          <w:color w:val="auto"/>
        </w:rPr>
      </w:pPr>
      <w:r>
        <w:rPr>
          <w:color w:val="auto"/>
        </w:rPr>
        <w:t>表5.2-</w:t>
      </w:r>
      <w:r>
        <w:rPr>
          <w:rFonts w:hint="eastAsia"/>
          <w:color w:val="auto"/>
          <w:lang w:val="en-US" w:eastAsia="zh-CN"/>
        </w:rPr>
        <w:t xml:space="preserve">32 </w:t>
      </w:r>
      <w:r>
        <w:rPr>
          <w:color w:val="auto"/>
        </w:rPr>
        <w:t>项目固体废物产生情况及处置措施一览表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83"/>
        <w:gridCol w:w="1269"/>
        <w:gridCol w:w="1417"/>
        <w:gridCol w:w="1275"/>
        <w:gridCol w:w="1494"/>
        <w:gridCol w:w="286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spacing w:line="240" w:lineRule="auto"/>
              <w:rPr>
                <w:b/>
                <w:color w:val="auto"/>
                <w:sz w:val="21"/>
                <w:szCs w:val="21"/>
              </w:rPr>
            </w:pPr>
            <w:r>
              <w:rPr>
                <w:b/>
                <w:color w:val="auto"/>
                <w:sz w:val="21"/>
                <w:szCs w:val="21"/>
              </w:rPr>
              <w:t>序号</w:t>
            </w:r>
          </w:p>
        </w:tc>
        <w:tc>
          <w:tcPr>
            <w:tcW w:w="1269" w:type="dxa"/>
            <w:noWrap w:val="0"/>
            <w:vAlign w:val="center"/>
          </w:tcPr>
          <w:p>
            <w:pPr>
              <w:pStyle w:val="110"/>
              <w:spacing w:line="240" w:lineRule="auto"/>
              <w:rPr>
                <w:b/>
                <w:color w:val="auto"/>
                <w:sz w:val="21"/>
                <w:szCs w:val="21"/>
              </w:rPr>
            </w:pPr>
            <w:r>
              <w:rPr>
                <w:b/>
                <w:color w:val="auto"/>
                <w:sz w:val="21"/>
                <w:szCs w:val="21"/>
              </w:rPr>
              <w:t>固废名称</w:t>
            </w:r>
          </w:p>
        </w:tc>
        <w:tc>
          <w:tcPr>
            <w:tcW w:w="1417" w:type="dxa"/>
            <w:noWrap w:val="0"/>
            <w:vAlign w:val="center"/>
          </w:tcPr>
          <w:p>
            <w:pPr>
              <w:pStyle w:val="110"/>
              <w:spacing w:line="240" w:lineRule="auto"/>
              <w:rPr>
                <w:b/>
                <w:color w:val="auto"/>
                <w:sz w:val="21"/>
                <w:szCs w:val="21"/>
              </w:rPr>
            </w:pPr>
            <w:r>
              <w:rPr>
                <w:b/>
                <w:color w:val="auto"/>
                <w:sz w:val="21"/>
                <w:szCs w:val="21"/>
              </w:rPr>
              <w:t>产生量（t/a）</w:t>
            </w:r>
          </w:p>
        </w:tc>
        <w:tc>
          <w:tcPr>
            <w:tcW w:w="1275" w:type="dxa"/>
            <w:noWrap w:val="0"/>
            <w:vAlign w:val="center"/>
          </w:tcPr>
          <w:p>
            <w:pPr>
              <w:pStyle w:val="110"/>
              <w:spacing w:line="240" w:lineRule="auto"/>
              <w:rPr>
                <w:b/>
                <w:color w:val="auto"/>
                <w:sz w:val="21"/>
                <w:szCs w:val="21"/>
              </w:rPr>
            </w:pPr>
            <w:r>
              <w:rPr>
                <w:rFonts w:hint="eastAsia"/>
                <w:b/>
                <w:color w:val="auto"/>
                <w:sz w:val="21"/>
                <w:szCs w:val="21"/>
              </w:rPr>
              <w:t>产生工序</w:t>
            </w:r>
          </w:p>
        </w:tc>
        <w:tc>
          <w:tcPr>
            <w:tcW w:w="1494" w:type="dxa"/>
            <w:noWrap w:val="0"/>
            <w:vAlign w:val="center"/>
          </w:tcPr>
          <w:p>
            <w:pPr>
              <w:pStyle w:val="110"/>
              <w:spacing w:line="240" w:lineRule="auto"/>
              <w:rPr>
                <w:b/>
                <w:color w:val="auto"/>
                <w:sz w:val="21"/>
                <w:szCs w:val="21"/>
              </w:rPr>
            </w:pPr>
            <w:r>
              <w:rPr>
                <w:b/>
                <w:color w:val="auto"/>
                <w:sz w:val="21"/>
                <w:szCs w:val="21"/>
              </w:rPr>
              <w:t>固废类别</w:t>
            </w:r>
          </w:p>
        </w:tc>
        <w:tc>
          <w:tcPr>
            <w:tcW w:w="2865" w:type="dxa"/>
            <w:noWrap w:val="0"/>
            <w:vAlign w:val="center"/>
          </w:tcPr>
          <w:p>
            <w:pPr>
              <w:pStyle w:val="110"/>
              <w:spacing w:line="240" w:lineRule="auto"/>
              <w:rPr>
                <w:b/>
                <w:color w:val="auto"/>
                <w:sz w:val="21"/>
                <w:szCs w:val="21"/>
              </w:rPr>
            </w:pPr>
            <w:r>
              <w:rPr>
                <w:b/>
                <w:color w:val="auto"/>
                <w:sz w:val="21"/>
                <w:szCs w:val="21"/>
              </w:rPr>
              <w:t>处置方式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rFonts w:hint="eastAsia"/>
                <w:color w:val="auto"/>
                <w:sz w:val="21"/>
                <w:szCs w:val="21"/>
                <w:lang w:val="zh-CN"/>
              </w:rPr>
              <w:t>猪粪污泥（沼渣）</w:t>
            </w:r>
          </w:p>
        </w:tc>
        <w:tc>
          <w:tcPr>
            <w:tcW w:w="1417" w:type="dxa"/>
            <w:noWrap w:val="0"/>
            <w:vAlign w:val="center"/>
          </w:tcPr>
          <w:p>
            <w:pPr>
              <w:pStyle w:val="110"/>
              <w:spacing w:line="240" w:lineRule="auto"/>
              <w:rPr>
                <w:color w:val="auto"/>
                <w:sz w:val="21"/>
                <w:szCs w:val="21"/>
              </w:rPr>
            </w:pPr>
            <w:r>
              <w:rPr>
                <w:rFonts w:hint="default"/>
                <w:b w:val="0"/>
                <w:bCs/>
                <w:color w:val="auto"/>
                <w:sz w:val="21"/>
                <w:szCs w:val="21"/>
                <w:lang w:val="zh-CN" w:eastAsia="zh-CN"/>
              </w:rPr>
              <w:t>2786.94</w:t>
            </w:r>
          </w:p>
        </w:tc>
        <w:tc>
          <w:tcPr>
            <w:tcW w:w="1275" w:type="dxa"/>
            <w:noWrap w:val="0"/>
            <w:vAlign w:val="center"/>
          </w:tcPr>
          <w:p>
            <w:pPr>
              <w:pStyle w:val="110"/>
              <w:spacing w:line="240" w:lineRule="auto"/>
              <w:rPr>
                <w:rFonts w:hint="eastAsia"/>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rFonts w:hint="eastAsia"/>
                <w:color w:val="auto"/>
                <w:sz w:val="21"/>
                <w:szCs w:val="21"/>
              </w:rPr>
              <w:t>干粪堆场临时堆存，定期运至专门的堆肥厂进行综合利用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病死猪</w:t>
            </w:r>
          </w:p>
        </w:tc>
        <w:tc>
          <w:tcPr>
            <w:tcW w:w="1417" w:type="dxa"/>
            <w:noWrap w:val="0"/>
            <w:vAlign w:val="center"/>
          </w:tcPr>
          <w:p>
            <w:pPr>
              <w:pStyle w:val="110"/>
              <w:spacing w:line="240" w:lineRule="auto"/>
              <w:rPr>
                <w:rFonts w:hint="eastAsia" w:eastAsia="宋体"/>
                <w:color w:val="auto"/>
                <w:sz w:val="21"/>
                <w:szCs w:val="21"/>
                <w:lang w:eastAsia="zh-CN"/>
              </w:rPr>
            </w:pPr>
            <w:r>
              <w:rPr>
                <w:rFonts w:hint="eastAsia"/>
                <w:color w:val="auto"/>
                <w:sz w:val="21"/>
                <w:szCs w:val="21"/>
                <w:lang w:val="en-US" w:eastAsia="zh-CN"/>
              </w:rPr>
              <w:t>7</w:t>
            </w:r>
          </w:p>
        </w:tc>
        <w:tc>
          <w:tcPr>
            <w:tcW w:w="1275" w:type="dxa"/>
            <w:noWrap w:val="0"/>
            <w:vAlign w:val="center"/>
          </w:tcPr>
          <w:p>
            <w:pPr>
              <w:pStyle w:val="110"/>
              <w:spacing w:line="240" w:lineRule="auto"/>
              <w:rPr>
                <w:color w:val="auto"/>
                <w:sz w:val="21"/>
                <w:szCs w:val="21"/>
              </w:rPr>
            </w:pPr>
            <w:r>
              <w:rPr>
                <w:rFonts w:hint="eastAsia"/>
                <w:color w:val="auto"/>
                <w:sz w:val="21"/>
                <w:szCs w:val="21"/>
              </w:rPr>
              <w:t>猪群的生长和生育</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rFonts w:hint="eastAsia"/>
                <w:color w:val="auto"/>
                <w:sz w:val="21"/>
                <w:szCs w:val="21"/>
              </w:rPr>
            </w:pPr>
            <w:r>
              <w:rPr>
                <w:rFonts w:hint="eastAsia"/>
                <w:color w:val="auto"/>
                <w:sz w:val="21"/>
                <w:szCs w:val="21"/>
              </w:rPr>
              <w:t>委托三台县盛德祥生物科技</w:t>
            </w:r>
          </w:p>
          <w:p>
            <w:pPr>
              <w:pStyle w:val="110"/>
              <w:spacing w:line="240" w:lineRule="auto"/>
              <w:rPr>
                <w:color w:val="auto"/>
                <w:sz w:val="21"/>
                <w:szCs w:val="21"/>
              </w:rPr>
            </w:pPr>
            <w:r>
              <w:rPr>
                <w:rFonts w:hint="eastAsia"/>
                <w:color w:val="auto"/>
                <w:sz w:val="21"/>
                <w:szCs w:val="21"/>
              </w:rPr>
              <w:t>有限公司处理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畜禽医疗废物</w:t>
            </w:r>
          </w:p>
        </w:tc>
        <w:tc>
          <w:tcPr>
            <w:tcW w:w="1417" w:type="dxa"/>
            <w:noWrap w:val="0"/>
            <w:vAlign w:val="center"/>
          </w:tcPr>
          <w:p>
            <w:pPr>
              <w:pStyle w:val="110"/>
              <w:spacing w:line="240" w:lineRule="auto"/>
              <w:rPr>
                <w:rFonts w:hint="eastAsia" w:eastAsia="宋体"/>
                <w:color w:val="auto"/>
                <w:sz w:val="21"/>
                <w:szCs w:val="21"/>
                <w:lang w:eastAsia="zh-CN"/>
              </w:rPr>
            </w:pPr>
            <w:r>
              <w:rPr>
                <w:rFonts w:hint="eastAsia"/>
                <w:color w:val="auto"/>
                <w:sz w:val="21"/>
                <w:szCs w:val="21"/>
              </w:rPr>
              <w:t>0</w:t>
            </w:r>
            <w:r>
              <w:rPr>
                <w:color w:val="auto"/>
                <w:sz w:val="21"/>
                <w:szCs w:val="21"/>
              </w:rPr>
              <w:t>.</w:t>
            </w:r>
            <w:r>
              <w:rPr>
                <w:rFonts w:hint="eastAsia"/>
                <w:color w:val="auto"/>
                <w:sz w:val="21"/>
                <w:szCs w:val="21"/>
                <w:lang w:val="en-US" w:eastAsia="zh-CN"/>
              </w:rPr>
              <w:t>2</w:t>
            </w:r>
          </w:p>
        </w:tc>
        <w:tc>
          <w:tcPr>
            <w:tcW w:w="1275" w:type="dxa"/>
            <w:noWrap w:val="0"/>
            <w:vAlign w:val="center"/>
          </w:tcPr>
          <w:p>
            <w:pPr>
              <w:pStyle w:val="110"/>
              <w:spacing w:line="240" w:lineRule="auto"/>
              <w:rPr>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危险废物HW01</w:t>
            </w:r>
          </w:p>
        </w:tc>
        <w:tc>
          <w:tcPr>
            <w:tcW w:w="2865" w:type="dxa"/>
            <w:noWrap w:val="0"/>
            <w:vAlign w:val="center"/>
          </w:tcPr>
          <w:p>
            <w:pPr>
              <w:pStyle w:val="110"/>
              <w:spacing w:line="240" w:lineRule="auto"/>
              <w:rPr>
                <w:color w:val="auto"/>
                <w:sz w:val="21"/>
                <w:szCs w:val="21"/>
              </w:rPr>
            </w:pPr>
            <w:r>
              <w:rPr>
                <w:color w:val="auto"/>
                <w:sz w:val="21"/>
                <w:szCs w:val="21"/>
              </w:rPr>
              <w:t>暂存于危险废物暂存间，交由危险废物处置单位进行处置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noWrap w:val="0"/>
            <w:vAlign w:val="center"/>
          </w:tcPr>
          <w:p>
            <w:pPr>
              <w:pStyle w:val="110"/>
              <w:spacing w:line="240" w:lineRule="auto"/>
              <w:rPr>
                <w:color w:val="auto"/>
                <w:sz w:val="21"/>
                <w:szCs w:val="21"/>
              </w:rPr>
            </w:pPr>
            <w:r>
              <w:rPr>
                <w:color w:val="auto"/>
                <w:sz w:val="21"/>
                <w:szCs w:val="21"/>
              </w:rPr>
              <w:t>生活垃圾</w:t>
            </w:r>
          </w:p>
        </w:tc>
        <w:tc>
          <w:tcPr>
            <w:tcW w:w="1417" w:type="dxa"/>
            <w:noWrap w:val="0"/>
            <w:vAlign w:val="center"/>
          </w:tcPr>
          <w:p>
            <w:pPr>
              <w:pStyle w:val="110"/>
              <w:spacing w:line="240" w:lineRule="auto"/>
              <w:rPr>
                <w:color w:val="auto"/>
                <w:sz w:val="21"/>
                <w:szCs w:val="21"/>
              </w:rPr>
            </w:pPr>
            <w:r>
              <w:rPr>
                <w:rFonts w:hint="default" w:ascii="Times New Roman" w:hAnsi="Times New Roman" w:cs="Times New Roman"/>
                <w:color w:val="auto"/>
                <w:sz w:val="21"/>
                <w:szCs w:val="21"/>
              </w:rPr>
              <w:t>1.2775</w:t>
            </w:r>
          </w:p>
        </w:tc>
        <w:tc>
          <w:tcPr>
            <w:tcW w:w="1275" w:type="dxa"/>
            <w:noWrap w:val="0"/>
            <w:vAlign w:val="center"/>
          </w:tcPr>
          <w:p>
            <w:pPr>
              <w:pStyle w:val="110"/>
              <w:spacing w:line="240" w:lineRule="auto"/>
              <w:rPr>
                <w:color w:val="auto"/>
                <w:sz w:val="21"/>
                <w:szCs w:val="21"/>
              </w:rPr>
            </w:pPr>
            <w:r>
              <w:rPr>
                <w:rFonts w:hint="eastAsia"/>
                <w:color w:val="auto"/>
                <w:sz w:val="21"/>
                <w:szCs w:val="21"/>
              </w:rPr>
              <w:t>办公生活</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袋装收集后暂存于生活垃圾暂存间，由环卫部门统一清运处置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rFonts w:hint="eastAsia"/>
                <w:color w:val="auto"/>
                <w:sz w:val="21"/>
                <w:szCs w:val="21"/>
              </w:rPr>
              <w:t>餐厨垃圾</w:t>
            </w:r>
          </w:p>
        </w:tc>
        <w:tc>
          <w:tcPr>
            <w:tcW w:w="1417" w:type="dxa"/>
            <w:noWrap w:val="0"/>
            <w:vAlign w:val="center"/>
          </w:tcPr>
          <w:p>
            <w:pPr>
              <w:pStyle w:val="110"/>
              <w:spacing w:line="240" w:lineRule="auto"/>
              <w:rPr>
                <w:color w:val="auto"/>
                <w:sz w:val="21"/>
                <w:szCs w:val="21"/>
              </w:rPr>
            </w:pPr>
            <w:r>
              <w:rPr>
                <w:rFonts w:hint="eastAsia"/>
                <w:color w:val="auto"/>
                <w:sz w:val="21"/>
                <w:szCs w:val="21"/>
              </w:rPr>
              <w:t>0.2555</w:t>
            </w:r>
          </w:p>
        </w:tc>
        <w:tc>
          <w:tcPr>
            <w:tcW w:w="1275" w:type="dxa"/>
            <w:noWrap w:val="0"/>
            <w:vAlign w:val="center"/>
          </w:tcPr>
          <w:p>
            <w:pPr>
              <w:pStyle w:val="110"/>
              <w:spacing w:line="240" w:lineRule="auto"/>
              <w:rPr>
                <w:color w:val="auto"/>
                <w:sz w:val="21"/>
                <w:szCs w:val="21"/>
              </w:rPr>
            </w:pPr>
            <w:r>
              <w:rPr>
                <w:rFonts w:hint="eastAsia"/>
                <w:color w:val="auto"/>
                <w:sz w:val="21"/>
                <w:szCs w:val="21"/>
              </w:rPr>
              <w:t>厨房</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rFonts w:hint="eastAsia"/>
                <w:color w:val="auto"/>
                <w:sz w:val="21"/>
                <w:szCs w:val="21"/>
              </w:rPr>
              <w:t>委托餐厨垃圾收运单位收运、处理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color w:val="auto"/>
                <w:sz w:val="21"/>
                <w:szCs w:val="21"/>
              </w:rPr>
              <w:t>废脱硫剂</w:t>
            </w:r>
          </w:p>
        </w:tc>
        <w:tc>
          <w:tcPr>
            <w:tcW w:w="1417" w:type="dxa"/>
            <w:noWrap w:val="0"/>
            <w:vAlign w:val="center"/>
          </w:tcPr>
          <w:p>
            <w:pPr>
              <w:pStyle w:val="110"/>
              <w:spacing w:line="240" w:lineRule="auto"/>
              <w:rPr>
                <w:rFonts w:hint="default" w:eastAsia="宋体"/>
                <w:color w:val="auto"/>
                <w:sz w:val="21"/>
                <w:szCs w:val="21"/>
                <w:lang w:val="en-US" w:eastAsia="zh-CN"/>
              </w:rPr>
            </w:pPr>
            <w:r>
              <w:rPr>
                <w:rFonts w:hint="eastAsia"/>
                <w:color w:val="auto"/>
                <w:sz w:val="21"/>
                <w:szCs w:val="21"/>
                <w:lang w:val="en-US" w:eastAsia="zh-CN"/>
              </w:rPr>
              <w:t>1.5</w:t>
            </w:r>
          </w:p>
        </w:tc>
        <w:tc>
          <w:tcPr>
            <w:tcW w:w="1275" w:type="dxa"/>
            <w:noWrap w:val="0"/>
            <w:vAlign w:val="center"/>
          </w:tcPr>
          <w:p>
            <w:pPr>
              <w:pStyle w:val="110"/>
              <w:spacing w:line="240" w:lineRule="auto"/>
              <w:rPr>
                <w:rFonts w:hint="eastAsia"/>
                <w:color w:val="auto"/>
                <w:sz w:val="21"/>
                <w:szCs w:val="21"/>
              </w:rPr>
            </w:pPr>
            <w:r>
              <w:rPr>
                <w:color w:val="auto"/>
                <w:sz w:val="21"/>
                <w:szCs w:val="21"/>
              </w:rPr>
              <w:t>沼气净化</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集中收集后交由原厂家回收再生利用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83" w:type="dxa"/>
            <w:tcBorders>
              <w:top w:val="single" w:color="auto" w:sz="4" w:space="0"/>
            </w:tcBorders>
            <w:noWrap w:val="0"/>
            <w:vAlign w:val="center"/>
          </w:tcPr>
          <w:p>
            <w:pPr>
              <w:pStyle w:val="110"/>
              <w:numPr>
                <w:ilvl w:val="0"/>
                <w:numId w:val="11"/>
              </w:numPr>
              <w:spacing w:line="240" w:lineRule="auto"/>
              <w:ind w:left="425" w:leftChars="0" w:hanging="425" w:firstLineChars="0"/>
              <w:rPr>
                <w:color w:val="auto"/>
                <w:sz w:val="21"/>
                <w:szCs w:val="21"/>
              </w:rPr>
            </w:pPr>
          </w:p>
        </w:tc>
        <w:tc>
          <w:tcPr>
            <w:tcW w:w="1269" w:type="dxa"/>
            <w:tcBorders>
              <w:top w:val="single" w:color="auto" w:sz="4" w:space="0"/>
            </w:tcBorders>
            <w:noWrap w:val="0"/>
            <w:vAlign w:val="center"/>
          </w:tcPr>
          <w:p>
            <w:pPr>
              <w:pStyle w:val="110"/>
              <w:spacing w:line="240" w:lineRule="auto"/>
              <w:rPr>
                <w:color w:val="auto"/>
                <w:sz w:val="21"/>
                <w:szCs w:val="21"/>
              </w:rPr>
            </w:pPr>
            <w:r>
              <w:rPr>
                <w:color w:val="auto"/>
                <w:sz w:val="21"/>
                <w:szCs w:val="21"/>
              </w:rPr>
              <w:t xml:space="preserve">废包装材料 </w:t>
            </w:r>
          </w:p>
        </w:tc>
        <w:tc>
          <w:tcPr>
            <w:tcW w:w="1417" w:type="dxa"/>
            <w:noWrap w:val="0"/>
            <w:vAlign w:val="center"/>
          </w:tcPr>
          <w:p>
            <w:pPr>
              <w:pStyle w:val="110"/>
              <w:spacing w:line="240" w:lineRule="auto"/>
              <w:rPr>
                <w:color w:val="auto"/>
                <w:sz w:val="21"/>
                <w:szCs w:val="21"/>
              </w:rPr>
            </w:pPr>
            <w:r>
              <w:rPr>
                <w:rFonts w:hint="eastAsia"/>
                <w:color w:val="auto"/>
                <w:sz w:val="21"/>
                <w:szCs w:val="21"/>
                <w:lang w:val="en-US" w:eastAsia="zh-CN"/>
              </w:rPr>
              <w:t>1</w:t>
            </w:r>
            <w:r>
              <w:rPr>
                <w:color w:val="auto"/>
                <w:sz w:val="21"/>
                <w:szCs w:val="21"/>
              </w:rPr>
              <w:t>.0</w:t>
            </w:r>
          </w:p>
        </w:tc>
        <w:tc>
          <w:tcPr>
            <w:tcW w:w="1275" w:type="dxa"/>
            <w:noWrap w:val="0"/>
            <w:vAlign w:val="center"/>
          </w:tcPr>
          <w:p>
            <w:pPr>
              <w:pStyle w:val="110"/>
              <w:spacing w:line="240" w:lineRule="auto"/>
              <w:rPr>
                <w:color w:val="auto"/>
                <w:sz w:val="21"/>
                <w:szCs w:val="21"/>
              </w:rPr>
            </w:pPr>
            <w:r>
              <w:rPr>
                <w:rFonts w:hint="eastAsia"/>
                <w:color w:val="auto"/>
                <w:sz w:val="21"/>
                <w:szCs w:val="21"/>
              </w:rPr>
              <w:t>养殖过程</w:t>
            </w:r>
          </w:p>
        </w:tc>
        <w:tc>
          <w:tcPr>
            <w:tcW w:w="1494" w:type="dxa"/>
            <w:noWrap w:val="0"/>
            <w:vAlign w:val="center"/>
          </w:tcPr>
          <w:p>
            <w:pPr>
              <w:pStyle w:val="110"/>
              <w:spacing w:line="240" w:lineRule="auto"/>
              <w:rPr>
                <w:color w:val="auto"/>
                <w:sz w:val="21"/>
                <w:szCs w:val="21"/>
              </w:rPr>
            </w:pPr>
            <w:r>
              <w:rPr>
                <w:color w:val="auto"/>
                <w:sz w:val="21"/>
                <w:szCs w:val="21"/>
              </w:rPr>
              <w:t>一般固体废物</w:t>
            </w:r>
          </w:p>
        </w:tc>
        <w:tc>
          <w:tcPr>
            <w:tcW w:w="2865" w:type="dxa"/>
            <w:noWrap w:val="0"/>
            <w:vAlign w:val="center"/>
          </w:tcPr>
          <w:p>
            <w:pPr>
              <w:pStyle w:val="110"/>
              <w:spacing w:line="240" w:lineRule="auto"/>
              <w:rPr>
                <w:color w:val="auto"/>
                <w:sz w:val="21"/>
                <w:szCs w:val="21"/>
              </w:rPr>
            </w:pPr>
            <w:r>
              <w:rPr>
                <w:color w:val="auto"/>
                <w:sz w:val="21"/>
                <w:szCs w:val="21"/>
              </w:rPr>
              <w:t>统一收集后送至废品回收站收购</w:t>
            </w:r>
          </w:p>
        </w:tc>
      </w:tr>
    </w:tbl>
    <w:p>
      <w:pPr>
        <w:pStyle w:val="9"/>
        <w:spacing w:before="120" w:beforeLines="50"/>
        <w:rPr>
          <w:b/>
          <w:color w:val="auto"/>
        </w:rPr>
      </w:pPr>
      <w:r>
        <w:rPr>
          <w:color w:val="auto"/>
        </w:rPr>
        <w:t>固体废物环境影响分析</w:t>
      </w:r>
    </w:p>
    <w:p>
      <w:pPr>
        <w:ind w:firstLine="482"/>
        <w:rPr>
          <w:rFonts w:hint="eastAsia"/>
          <w:b/>
          <w:color w:val="auto"/>
        </w:rPr>
      </w:pPr>
      <w:r>
        <w:rPr>
          <w:rFonts w:hint="eastAsia"/>
          <w:b/>
          <w:color w:val="auto"/>
        </w:rPr>
        <w:t>1、猪粪及沼渣影响分析</w:t>
      </w:r>
    </w:p>
    <w:p>
      <w:pPr>
        <w:ind w:firstLine="480"/>
        <w:rPr>
          <w:rFonts w:hint="eastAsia"/>
          <w:color w:val="auto"/>
        </w:rPr>
      </w:pPr>
      <w:r>
        <w:rPr>
          <w:rFonts w:hint="eastAsia"/>
          <w:color w:val="auto"/>
        </w:rPr>
        <w:t>本项目对产生的猪粪便按照《畜禽养殖业污染防治技术规范》中的有关规定，沼渣，猪粪及沼渣在厂区猪粪堆场暂存，定期送至专门的堆肥厂进行综合利用。</w:t>
      </w:r>
    </w:p>
    <w:p>
      <w:pPr>
        <w:ind w:firstLine="480"/>
        <w:rPr>
          <w:color w:val="auto"/>
        </w:rPr>
      </w:pPr>
      <w:r>
        <w:rPr>
          <w:rFonts w:hint="eastAsia"/>
          <w:color w:val="auto"/>
        </w:rPr>
        <w:t>猪粪为一般固废，堆放应符合《一般工业固体废物贮存、处置场污染控制标准》（</w:t>
      </w:r>
      <w:r>
        <w:rPr>
          <w:color w:val="auto"/>
        </w:rPr>
        <w:t>GB</w:t>
      </w:r>
      <w:r>
        <w:rPr>
          <w:rFonts w:hint="eastAsia"/>
          <w:color w:val="auto"/>
        </w:rPr>
        <w:t>18599</w:t>
      </w:r>
      <w:r>
        <w:rPr>
          <w:color w:val="auto"/>
        </w:rPr>
        <w:t>-</w:t>
      </w:r>
      <w:r>
        <w:rPr>
          <w:rFonts w:hint="eastAsia"/>
          <w:color w:val="auto"/>
        </w:rPr>
        <w:t>2001）规定：</w:t>
      </w:r>
    </w:p>
    <w:p>
      <w:pPr>
        <w:ind w:firstLine="480"/>
        <w:rPr>
          <w:rFonts w:hint="eastAsia"/>
          <w:color w:val="auto"/>
        </w:rPr>
      </w:pPr>
      <w:r>
        <w:rPr>
          <w:rFonts w:hint="eastAsia"/>
          <w:color w:val="auto"/>
        </w:rPr>
        <w:t>①为防止雨水径流进入贮存、处置场内，避免渗滤液量增加和滑坡，贮存、处置场周边应设置导流渠。</w:t>
      </w:r>
    </w:p>
    <w:p>
      <w:pPr>
        <w:ind w:firstLine="480"/>
        <w:rPr>
          <w:color w:val="auto"/>
        </w:rPr>
      </w:pPr>
      <w:r>
        <w:rPr>
          <w:rFonts w:hint="eastAsia"/>
          <w:color w:val="auto"/>
        </w:rPr>
        <w:t>②当天然基础层的渗透系数大于1.0</w:t>
      </w:r>
      <w:r>
        <w:rPr>
          <w:color w:val="auto"/>
        </w:rPr>
        <w:t>×</w:t>
      </w:r>
      <w:r>
        <w:rPr>
          <w:rFonts w:hint="eastAsia"/>
          <w:color w:val="auto"/>
        </w:rPr>
        <w:t>10</w:t>
      </w:r>
      <w:r>
        <w:rPr>
          <w:color w:val="auto"/>
          <w:vertAlign w:val="superscript"/>
        </w:rPr>
        <w:t>-7</w:t>
      </w:r>
      <w:r>
        <w:rPr>
          <w:rFonts w:hint="eastAsia"/>
          <w:color w:val="auto"/>
        </w:rPr>
        <w:t>cm/s时，应采用天然或人工材料构筑防渗层，防渗层的厚度应相当于渗透系数1.0</w:t>
      </w:r>
      <w:r>
        <w:rPr>
          <w:color w:val="auto"/>
        </w:rPr>
        <w:t>×</w:t>
      </w:r>
      <w:r>
        <w:rPr>
          <w:rFonts w:hint="eastAsia"/>
          <w:color w:val="auto"/>
        </w:rPr>
        <w:t>10</w:t>
      </w:r>
      <w:r>
        <w:rPr>
          <w:color w:val="auto"/>
          <w:vertAlign w:val="superscript"/>
        </w:rPr>
        <w:t>-7</w:t>
      </w:r>
      <w:r>
        <w:rPr>
          <w:rFonts w:hint="eastAsia"/>
          <w:color w:val="auto"/>
        </w:rPr>
        <w:t>cm/s和厚度1.5m的粘土层的防渗性能。</w:t>
      </w:r>
    </w:p>
    <w:p>
      <w:pPr>
        <w:ind w:firstLine="480"/>
        <w:rPr>
          <w:rFonts w:hint="eastAsia"/>
          <w:color w:val="auto"/>
        </w:rPr>
      </w:pPr>
      <w:r>
        <w:rPr>
          <w:rFonts w:hint="eastAsia"/>
          <w:color w:val="auto"/>
        </w:rPr>
        <w:t>因此，本项目建成营运后，实现了猪粪的资源化利用，不会产生二次污染，不会对周围环境产生大的影响。</w:t>
      </w:r>
    </w:p>
    <w:p>
      <w:pPr>
        <w:ind w:firstLine="482"/>
        <w:rPr>
          <w:rFonts w:hint="eastAsia"/>
          <w:b/>
          <w:color w:val="auto"/>
        </w:rPr>
      </w:pPr>
      <w:r>
        <w:rPr>
          <w:rFonts w:hint="eastAsia"/>
          <w:b/>
          <w:color w:val="auto"/>
        </w:rPr>
        <w:t>2、病死猪影响分析</w:t>
      </w:r>
    </w:p>
    <w:p>
      <w:pPr>
        <w:ind w:firstLine="480"/>
        <w:rPr>
          <w:rFonts w:hint="eastAsia"/>
          <w:color w:val="auto"/>
        </w:rPr>
      </w:pPr>
      <w:r>
        <w:rPr>
          <w:rFonts w:hint="eastAsia"/>
          <w:color w:val="auto"/>
        </w:rPr>
        <w:t>病死猪必须妥善处置，防止二次污染，并杜绝传播疾病。根据《畜禽养殖业污染防治技术规范》（HJ/T 81-2001）的规定：所有病死猪不得出售，不得食用，不得随意丢弃，严禁作为饲料再利用。项目病死猪交由三台县盛德祥生物科技有限公司进行无害化处置。在病死猪及胎盘转运过程中，要求车辆密闭、防腐、防渗，记录转运时间和路径等信息，避免进入人口密集区。</w:t>
      </w:r>
    </w:p>
    <w:p>
      <w:pPr>
        <w:ind w:firstLine="480"/>
        <w:rPr>
          <w:rFonts w:hint="eastAsia"/>
          <w:color w:val="auto"/>
        </w:rPr>
      </w:pPr>
      <w:r>
        <w:rPr>
          <w:rFonts w:hint="eastAsia"/>
          <w:color w:val="auto"/>
        </w:rPr>
        <w:t>在采取以上措施后，病死猪暂存及处理过程中，产生的固体废物无二次污染，对环境影响较小。</w:t>
      </w:r>
    </w:p>
    <w:p>
      <w:pPr>
        <w:ind w:firstLine="482"/>
        <w:rPr>
          <w:rFonts w:hint="eastAsia"/>
          <w:b/>
          <w:color w:val="auto"/>
        </w:rPr>
      </w:pPr>
      <w:r>
        <w:rPr>
          <w:rFonts w:hint="eastAsia"/>
          <w:b/>
          <w:color w:val="auto"/>
        </w:rPr>
        <w:t>4、畜禽医疗废物影响分析</w:t>
      </w:r>
    </w:p>
    <w:p>
      <w:pPr>
        <w:ind w:firstLine="480"/>
        <w:rPr>
          <w:color w:val="auto"/>
        </w:rPr>
      </w:pPr>
      <w:r>
        <w:rPr>
          <w:rFonts w:hint="eastAsia"/>
          <w:color w:val="auto"/>
        </w:rPr>
        <w:t>猪只防疫、消毒过程中会产生</w:t>
      </w:r>
      <w:r>
        <w:rPr>
          <w:color w:val="auto"/>
          <w:lang w:val="zh-CN"/>
        </w:rPr>
        <w:t>废疫苗瓶、废消毒剂瓶、药品的包装及注射用针头等医疗废物，</w:t>
      </w:r>
      <w:r>
        <w:rPr>
          <w:rFonts w:hint="eastAsia"/>
          <w:color w:val="auto"/>
        </w:rPr>
        <w:t>场区内应设置危险废物暂存间，临时贮存（以密封罐、桶单独贮存），定期交由</w:t>
      </w:r>
      <w:r>
        <w:rPr>
          <w:color w:val="auto"/>
        </w:rPr>
        <w:t>具有相应资质类别的危险废物处置单位处置</w:t>
      </w:r>
      <w:r>
        <w:rPr>
          <w:rFonts w:hint="eastAsia"/>
          <w:color w:val="auto"/>
        </w:rPr>
        <w:t>。</w:t>
      </w:r>
    </w:p>
    <w:p>
      <w:pPr>
        <w:ind w:firstLine="480"/>
        <w:rPr>
          <w:color w:val="auto"/>
        </w:rPr>
      </w:pPr>
      <w:r>
        <w:rPr>
          <w:rFonts w:hint="eastAsia"/>
          <w:color w:val="auto"/>
        </w:rPr>
        <w:t>（1）危险废物暂存环境影响分析</w:t>
      </w:r>
    </w:p>
    <w:p>
      <w:pPr>
        <w:ind w:firstLine="480"/>
        <w:rPr>
          <w:color w:val="auto"/>
        </w:rPr>
      </w:pPr>
      <w:r>
        <w:rPr>
          <w:rFonts w:hint="eastAsia"/>
          <w:color w:val="auto"/>
        </w:rPr>
        <w:t>1）收集、处理</w:t>
      </w:r>
    </w:p>
    <w:p>
      <w:pPr>
        <w:ind w:firstLine="480"/>
        <w:rPr>
          <w:color w:val="auto"/>
        </w:rPr>
      </w:pPr>
      <w:r>
        <w:rPr>
          <w:rFonts w:hint="eastAsia"/>
          <w:color w:val="auto"/>
        </w:rPr>
        <w:t>为了保证项目医疗废物实现无害化处置，环评要求项目必须严格按照《医疗废物分类目录》、《医疗废物管理条例》、《医疗卫生机构医疗废物管理办法》等相关文件要求，对各类医疗废物进行分类收集、处理。主要要求如下：</w:t>
      </w:r>
    </w:p>
    <w:p>
      <w:pPr>
        <w:ind w:firstLine="480"/>
        <w:rPr>
          <w:rFonts w:hint="eastAsia"/>
          <w:color w:val="auto"/>
        </w:rPr>
      </w:pPr>
      <w:r>
        <w:rPr>
          <w:rFonts w:hint="eastAsia"/>
          <w:color w:val="auto"/>
        </w:rPr>
        <w:t>①应当及时收集本单位产生的医疗废物，并按照类别分置于防渗漏、防锐器穿透的专用包装物或者密闭的容器内。医疗废物专用包装物、容器，应当有明显的警示标识和警示说明。</w:t>
      </w:r>
    </w:p>
    <w:p>
      <w:pPr>
        <w:ind w:firstLine="480"/>
        <w:rPr>
          <w:rFonts w:hint="eastAsia"/>
          <w:color w:val="auto"/>
        </w:rPr>
      </w:pPr>
      <w:r>
        <w:rPr>
          <w:rFonts w:hint="eastAsia"/>
          <w:color w:val="auto"/>
        </w:rPr>
        <w:t>②应当建立医疗废物的暂时贮存设施、设备，不得露天存放医疗废物；医疗废物暂时贮存的时间不得超过</w:t>
      </w:r>
      <w:r>
        <w:rPr>
          <w:color w:val="auto"/>
        </w:rPr>
        <w:t>2</w:t>
      </w:r>
      <w:r>
        <w:rPr>
          <w:rFonts w:hint="eastAsia"/>
          <w:color w:val="auto"/>
        </w:rPr>
        <w:t>天。</w:t>
      </w:r>
    </w:p>
    <w:p>
      <w:pPr>
        <w:ind w:firstLine="480"/>
        <w:rPr>
          <w:rFonts w:hint="eastAsia"/>
          <w:color w:val="auto"/>
        </w:rPr>
      </w:pPr>
      <w:r>
        <w:rPr>
          <w:rFonts w:hint="eastAsia"/>
          <w:color w:val="auto"/>
        </w:rPr>
        <w:t>③医疗废物的暂时贮存设施、设备应当定期消毒和清洁。</w:t>
      </w:r>
    </w:p>
    <w:p>
      <w:pPr>
        <w:ind w:firstLine="480"/>
        <w:rPr>
          <w:rFonts w:hint="eastAsia"/>
          <w:color w:val="auto"/>
        </w:rPr>
      </w:pPr>
      <w:r>
        <w:rPr>
          <w:rFonts w:hint="eastAsia"/>
          <w:color w:val="auto"/>
        </w:rPr>
        <w:t>④应当使用防渗漏、防遗撒的专用运送工具，按照本单位确定的内部医疗废物运送时间、路线，将医疗废物收集、运送至暂时贮存地点。</w:t>
      </w:r>
    </w:p>
    <w:p>
      <w:pPr>
        <w:ind w:firstLine="480"/>
        <w:rPr>
          <w:color w:val="auto"/>
        </w:rPr>
      </w:pPr>
      <w:r>
        <w:rPr>
          <w:rFonts w:hint="eastAsia"/>
          <w:color w:val="auto"/>
        </w:rPr>
        <w:t>⑤应当根据就近集中处置的原则，及时将医疗废物交由医疗废物集中处置单位处置。</w:t>
      </w:r>
    </w:p>
    <w:p>
      <w:pPr>
        <w:ind w:firstLine="480"/>
        <w:rPr>
          <w:rFonts w:hint="eastAsia"/>
          <w:color w:val="auto"/>
        </w:rPr>
      </w:pPr>
      <w:r>
        <w:rPr>
          <w:rFonts w:hint="eastAsia"/>
          <w:color w:val="auto"/>
        </w:rPr>
        <w:t>⑥医疗废物暂存间树立明确的标示牌，必须做到密闭和防渗漏，严格防止地下水污染和土壤污染；同时，采取防鼠、防蚊蝇、防蟑螂、防盗以及预防儿童接触等安全措施，并且每天消毒、灭菌，防止病源扩散。</w:t>
      </w:r>
    </w:p>
    <w:p>
      <w:pPr>
        <w:ind w:firstLine="480"/>
        <w:rPr>
          <w:rFonts w:hint="eastAsia"/>
          <w:color w:val="auto"/>
        </w:rPr>
      </w:pPr>
      <w:r>
        <w:rPr>
          <w:rFonts w:hint="eastAsia"/>
          <w:color w:val="auto"/>
        </w:rPr>
        <w:t>⑦做好医疗废物暂存和运出处理的管理工作，医疗废物暂存间每天专人负责清扫、消毒工作。</w:t>
      </w:r>
    </w:p>
    <w:p>
      <w:pPr>
        <w:ind w:firstLine="480"/>
        <w:rPr>
          <w:color w:val="auto"/>
        </w:rPr>
      </w:pPr>
      <w:r>
        <w:rPr>
          <w:rFonts w:hint="eastAsia"/>
          <w:color w:val="auto"/>
        </w:rPr>
        <w:t>⑧将医疗废物转运协议报生态环境局备案。</w:t>
      </w:r>
    </w:p>
    <w:p>
      <w:pPr>
        <w:ind w:firstLine="480"/>
        <w:rPr>
          <w:color w:val="auto"/>
        </w:rPr>
      </w:pPr>
      <w:r>
        <w:rPr>
          <w:rFonts w:hint="eastAsia"/>
          <w:color w:val="auto"/>
        </w:rPr>
        <w:t>2）危废暂存间暂存</w:t>
      </w:r>
    </w:p>
    <w:p>
      <w:pPr>
        <w:ind w:firstLine="480"/>
        <w:rPr>
          <w:rFonts w:hint="eastAsia"/>
          <w:color w:val="auto"/>
        </w:rPr>
      </w:pPr>
      <w:r>
        <w:rPr>
          <w:rFonts w:hint="eastAsia"/>
          <w:color w:val="auto"/>
        </w:rPr>
        <w:t>要求本项目按照《中华人民共和国固体废物污染环境防治法》及《危险废物贮存污染控制标准》等相关要求，设置专门的危险废物堆放场。危险废物委托有资质单位处理。</w:t>
      </w:r>
    </w:p>
    <w:p>
      <w:pPr>
        <w:ind w:firstLine="480"/>
        <w:rPr>
          <w:color w:val="auto"/>
        </w:rPr>
      </w:pPr>
      <w:r>
        <w:rPr>
          <w:rFonts w:hint="eastAsia"/>
          <w:color w:val="auto"/>
        </w:rPr>
        <w:t>本项目产生的危废用密闭的桶贮存，贮存过程中不会产生有毒有害物质的挥发和扩散，也不会发生泄露情况；危废仓库按照重点防渗区要求进行防渗设计，因此本项目产生的危废在采取以上的污染防治措施条件下不会对周边的大气环境、地表水环境、土壤、地下水及周边环境保护目标产生影响。</w:t>
      </w:r>
    </w:p>
    <w:p>
      <w:pPr>
        <w:ind w:firstLine="480"/>
        <w:rPr>
          <w:color w:val="auto"/>
        </w:rPr>
      </w:pPr>
      <w:r>
        <w:rPr>
          <w:rFonts w:hint="eastAsia"/>
          <w:color w:val="auto"/>
        </w:rPr>
        <w:t>（2）废物运输环节环境影响分析</w:t>
      </w:r>
    </w:p>
    <w:p>
      <w:pPr>
        <w:ind w:firstLine="480"/>
        <w:rPr>
          <w:rFonts w:hint="eastAsia"/>
          <w:color w:val="auto"/>
        </w:rPr>
      </w:pPr>
      <w:r>
        <w:rPr>
          <w:rFonts w:hint="eastAsia"/>
          <w:color w:val="auto"/>
        </w:rPr>
        <w:t>危险废物定期由危废处置单位用专用运输车辆分类外运至有相关处理资质的处置单位、供货商等进行处理。危险废物处置公司将委派专人负责，各种废弃物的储存容器都有很好的密封性，安全可靠，不会受到风雨侵蚀，可有效地防止了临时存放过程中的二次污染。本次，进一步对运输环节提出要求：</w:t>
      </w:r>
    </w:p>
    <w:p>
      <w:pPr>
        <w:ind w:firstLine="480"/>
        <w:rPr>
          <w:rFonts w:hint="eastAsia"/>
          <w:color w:val="auto"/>
        </w:rPr>
      </w:pPr>
      <w:r>
        <w:rPr>
          <w:rFonts w:hint="eastAsia"/>
          <w:color w:val="auto"/>
        </w:rPr>
        <w:t>根据中华人民共和国国务院令第344号《危险化学品安全管理条例》及《危险废物收集、贮存、运输技术规范》（HJ2025-2012）的有关规定，在危险废弃物外运至处置单位时必须严格遵守以下要求：</w:t>
      </w:r>
    </w:p>
    <w:p>
      <w:pPr>
        <w:ind w:firstLine="480"/>
        <w:rPr>
          <w:rFonts w:hint="eastAsia"/>
          <w:color w:val="auto"/>
        </w:rPr>
      </w:pPr>
      <w:r>
        <w:rPr>
          <w:color w:val="auto"/>
        </w:rPr>
        <w:t>1</w:t>
      </w:r>
      <w:r>
        <w:rPr>
          <w:rFonts w:hint="eastAsia"/>
          <w:color w:val="auto"/>
        </w:rPr>
        <w:t>）做好每次外运处置废弃物的运输登记，填写危险废物转移电子联单。</w:t>
      </w:r>
    </w:p>
    <w:p>
      <w:pPr>
        <w:ind w:firstLine="480"/>
        <w:rPr>
          <w:rFonts w:hint="eastAsia"/>
          <w:color w:val="auto"/>
        </w:rPr>
      </w:pPr>
      <w:r>
        <w:rPr>
          <w:color w:val="auto"/>
        </w:rPr>
        <w:t>2</w:t>
      </w:r>
      <w:r>
        <w:rPr>
          <w:rFonts w:hint="eastAsia"/>
          <w:color w:val="auto"/>
        </w:rPr>
        <w:t>）废弃物处置单位的运输人员必须掌握危险化学品运输的安全知识，了解所运载的危险化学品的性质、危害特性、包装容器的使用特性和发生意外时的应急措施。运输车辆必须具有车辆危险货物运输许可证。驾驶人员必须由取得驾驶执照的熟练人员担任。</w:t>
      </w:r>
    </w:p>
    <w:p>
      <w:pPr>
        <w:ind w:firstLine="480"/>
        <w:rPr>
          <w:rFonts w:hint="eastAsia"/>
          <w:color w:val="auto"/>
        </w:rPr>
      </w:pPr>
      <w:r>
        <w:rPr>
          <w:color w:val="auto"/>
        </w:rPr>
        <w:t>3</w:t>
      </w:r>
      <w:r>
        <w:rPr>
          <w:rFonts w:hint="eastAsia"/>
          <w:color w:val="auto"/>
        </w:rPr>
        <w:t>）处置单位在运输危险废弃物时必须配备押运人员，并随时处于押运人员的监管之下，不得超装、超载，严格按照所在城市规定的行车时间和行车路线行驶，不得进入危险化学品运输车辆禁止通行的区域。</w:t>
      </w:r>
    </w:p>
    <w:p>
      <w:pPr>
        <w:ind w:firstLine="480"/>
        <w:rPr>
          <w:rFonts w:hint="eastAsia"/>
          <w:color w:val="auto"/>
        </w:rPr>
      </w:pPr>
      <w:r>
        <w:rPr>
          <w:color w:val="auto"/>
        </w:rPr>
        <w:t>4</w:t>
      </w:r>
      <w:r>
        <w:rPr>
          <w:rFonts w:hint="eastAsia"/>
          <w:color w:val="auto"/>
        </w:rPr>
        <w:t>）危险废弃物在运输途中若发生被盗、丢失、流散、泄漏等情况时，公司及押运人员必须立即向当地公安部门报告，并采取一切可能的警示措施。</w:t>
      </w:r>
    </w:p>
    <w:p>
      <w:pPr>
        <w:ind w:firstLine="480"/>
        <w:rPr>
          <w:rFonts w:hint="eastAsia"/>
          <w:color w:val="auto"/>
        </w:rPr>
      </w:pPr>
      <w:r>
        <w:rPr>
          <w:color w:val="auto"/>
        </w:rPr>
        <w:t>5</w:t>
      </w:r>
      <w:r>
        <w:rPr>
          <w:rFonts w:hint="eastAsia"/>
          <w:color w:val="auto"/>
        </w:rPr>
        <w:t>）发生废弃物泄漏事故，公司和废弃物处置单位都应积极协助有关部门采取必要的安全措施，减少事故损失，防止事故蔓延、扩大；针对事故对人体、动植物、土壤、水源、空气造成的现实危害和可能产生的危害，迅速采取封闭、隔离、洗消等措施，并对事故造成的危害进行监测、处置，符合国家环境保护标准。</w:t>
      </w:r>
    </w:p>
    <w:p>
      <w:pPr>
        <w:ind w:firstLine="480"/>
        <w:rPr>
          <w:color w:val="auto"/>
        </w:rPr>
      </w:pPr>
      <w:r>
        <w:rPr>
          <w:rFonts w:hint="eastAsia"/>
          <w:color w:val="auto"/>
        </w:rPr>
        <w:t>严格按照危险废物处置相关要求情况下，运输环节对环境的影响可控。</w:t>
      </w:r>
    </w:p>
    <w:p>
      <w:pPr>
        <w:ind w:firstLine="482"/>
        <w:rPr>
          <w:rFonts w:hint="eastAsia"/>
          <w:b/>
          <w:color w:val="auto"/>
        </w:rPr>
      </w:pPr>
      <w:r>
        <w:rPr>
          <w:b/>
          <w:color w:val="auto"/>
        </w:rPr>
        <w:t>5、</w:t>
      </w:r>
      <w:r>
        <w:rPr>
          <w:rFonts w:hint="eastAsia"/>
          <w:b/>
          <w:color w:val="auto"/>
        </w:rPr>
        <w:t>生活垃圾、餐厨垃圾影响分析</w:t>
      </w:r>
    </w:p>
    <w:p>
      <w:pPr>
        <w:ind w:firstLine="480"/>
        <w:rPr>
          <w:color w:val="auto"/>
        </w:rPr>
      </w:pPr>
      <w:r>
        <w:rPr>
          <w:rFonts w:hint="eastAsia"/>
          <w:color w:val="auto"/>
        </w:rPr>
        <w:t>本项目产生的生活垃圾主要是厂区员工日常生活中抛弃的各类废物，如废塑料、废纸等，年产生量为1.2775t。生活垃圾在堆放过程中，废物中的易腐有机物在微生物的作用下会发生分解，产生带有恶臭气味的气体和含有可溶性有机质及无机质的渗滤水，对环境产生二次污染。</w:t>
      </w:r>
      <w:r>
        <w:rPr>
          <w:color w:val="auto"/>
        </w:rPr>
        <w:t>生活垃圾袋装收集后暂存于生活垃圾暂存间，并及时运往垃圾中转站，由环卫部门统一清运处置。</w:t>
      </w:r>
    </w:p>
    <w:p>
      <w:pPr>
        <w:ind w:firstLine="480"/>
        <w:rPr>
          <w:rFonts w:hint="eastAsia"/>
          <w:color w:val="auto"/>
        </w:rPr>
      </w:pPr>
      <w:r>
        <w:rPr>
          <w:rFonts w:hint="eastAsia"/>
          <w:color w:val="auto"/>
        </w:rPr>
        <w:t>本项目餐厨垃圾实行</w:t>
      </w:r>
      <w:r>
        <w:rPr>
          <w:rFonts w:hint="eastAsia"/>
          <w:color w:val="auto"/>
          <w:shd w:val="clear" w:color="auto" w:fill="FFFFFF"/>
        </w:rPr>
        <w:t>分类放置，及时清运并</w:t>
      </w:r>
      <w:r>
        <w:rPr>
          <w:rFonts w:hint="eastAsia"/>
          <w:color w:val="auto"/>
        </w:rPr>
        <w:t>委托有相关资质的单位进行处置，严禁乱倒乱堆餐厨废弃物，禁止将餐厨废弃物直接排入公共水域或倒入公共厕所和生活垃圾收集设施。符合《国务院办公厅&lt;关于加强地沟油整治和餐厨废弃物管理&gt;的意见》（国办发〔2010〕36号）相关要求。</w:t>
      </w:r>
    </w:p>
    <w:p>
      <w:pPr>
        <w:ind w:firstLine="482"/>
        <w:rPr>
          <w:rFonts w:hint="eastAsia"/>
          <w:b/>
          <w:color w:val="auto"/>
        </w:rPr>
      </w:pPr>
      <w:r>
        <w:rPr>
          <w:rFonts w:hint="eastAsia"/>
          <w:b/>
          <w:color w:val="auto"/>
        </w:rPr>
        <w:t>6、废脱硫剂影响分析</w:t>
      </w:r>
    </w:p>
    <w:p>
      <w:pPr>
        <w:ind w:firstLine="480"/>
        <w:rPr>
          <w:rFonts w:hint="eastAsia"/>
          <w:color w:val="auto"/>
        </w:rPr>
      </w:pPr>
      <w:r>
        <w:rPr>
          <w:rFonts w:hint="eastAsia"/>
          <w:color w:val="auto"/>
        </w:rPr>
        <w:t>项目脱硫产生的废脱硫剂约</w:t>
      </w:r>
      <w:r>
        <w:rPr>
          <w:rFonts w:hint="eastAsia"/>
          <w:color w:val="auto"/>
          <w:lang w:val="en-US" w:eastAsia="zh-CN"/>
        </w:rPr>
        <w:t>1</w:t>
      </w:r>
      <w:r>
        <w:rPr>
          <w:color w:val="auto"/>
        </w:rPr>
        <w:t>.5</w:t>
      </w:r>
      <w:r>
        <w:rPr>
          <w:rFonts w:hint="eastAsia"/>
          <w:color w:val="auto"/>
        </w:rPr>
        <w:t>t/a，属一般工业固体废物，全部由原厂家回收再生利用，不造成二次污染。</w:t>
      </w:r>
    </w:p>
    <w:p>
      <w:pPr>
        <w:ind w:firstLine="482"/>
        <w:rPr>
          <w:rFonts w:hint="eastAsia"/>
          <w:b/>
          <w:color w:val="auto"/>
        </w:rPr>
      </w:pPr>
      <w:r>
        <w:rPr>
          <w:rFonts w:hint="eastAsia"/>
          <w:b/>
          <w:color w:val="auto"/>
        </w:rPr>
        <w:t>7、废包装材料</w:t>
      </w:r>
    </w:p>
    <w:p>
      <w:pPr>
        <w:ind w:firstLine="480"/>
        <w:rPr>
          <w:rFonts w:hint="eastAsia"/>
          <w:color w:val="auto"/>
        </w:rPr>
      </w:pPr>
      <w:r>
        <w:rPr>
          <w:rFonts w:hint="eastAsia"/>
          <w:color w:val="auto"/>
        </w:rPr>
        <w:t>废饲料包装袋、包装箱等废包装材料收集后定期外售废品回收站，合理处置，不造成二次污染。</w:t>
      </w:r>
    </w:p>
    <w:p>
      <w:pPr>
        <w:ind w:firstLine="480"/>
        <w:rPr>
          <w:color w:val="auto"/>
        </w:rPr>
      </w:pPr>
      <w:r>
        <w:rPr>
          <w:color w:val="auto"/>
        </w:rPr>
        <w:t>综上所述，项目拟采取的各项固体废弃物处置措施可行，从一定程度上体现了固体废物无害化和资源化利用的原则，只要在生产运营中将各项处理措施落到实处，可有效防止固体废物的逸散和对环境的二次污染，不会对周围环境造成明显不利影响。</w:t>
      </w:r>
    </w:p>
    <w:p>
      <w:pPr>
        <w:pStyle w:val="8"/>
        <w:tabs>
          <w:tab w:val="clear" w:pos="0"/>
        </w:tabs>
        <w:rPr>
          <w:rFonts w:eastAsia="黑体"/>
          <w:color w:val="auto"/>
          <w:sz w:val="28"/>
          <w:szCs w:val="28"/>
        </w:rPr>
      </w:pPr>
      <w:r>
        <w:rPr>
          <w:rFonts w:eastAsia="黑体"/>
          <w:color w:val="auto"/>
          <w:sz w:val="28"/>
          <w:szCs w:val="28"/>
        </w:rPr>
        <w:t>土壤环境影响分析</w:t>
      </w:r>
    </w:p>
    <w:p>
      <w:pPr>
        <w:pStyle w:val="9"/>
        <w:rPr>
          <w:rFonts w:hint="eastAsia"/>
          <w:color w:val="auto"/>
          <w:lang w:eastAsia="zh-CN"/>
        </w:rPr>
      </w:pPr>
      <w:r>
        <w:rPr>
          <w:rFonts w:hint="eastAsia"/>
          <w:color w:val="auto"/>
          <w:lang w:val="en-US" w:eastAsia="zh-CN"/>
        </w:rPr>
        <w:t xml:space="preserve"> </w:t>
      </w:r>
      <w:r>
        <w:rPr>
          <w:rFonts w:hint="eastAsia"/>
          <w:color w:val="auto"/>
          <w:lang w:eastAsia="zh-CN"/>
        </w:rPr>
        <w:t>土壤环境污染和影响识别</w:t>
      </w:r>
    </w:p>
    <w:p>
      <w:pPr>
        <w:pStyle w:val="265"/>
        <w:numPr>
          <w:ilvl w:val="0"/>
          <w:numId w:val="0"/>
        </w:numPr>
        <w:ind w:leftChars="200"/>
        <w:rPr>
          <w:rFonts w:hint="eastAsia"/>
          <w:b/>
          <w:bCs/>
          <w:color w:val="auto"/>
          <w:lang w:eastAsia="zh-CN"/>
        </w:rPr>
      </w:pPr>
      <w:r>
        <w:rPr>
          <w:rFonts w:hint="eastAsia"/>
          <w:b/>
          <w:bCs/>
          <w:color w:val="auto"/>
          <w:lang w:val="en-US" w:eastAsia="zh-CN"/>
        </w:rPr>
        <w:t>1、</w:t>
      </w:r>
      <w:r>
        <w:rPr>
          <w:rFonts w:hint="eastAsia"/>
          <w:b/>
          <w:bCs/>
          <w:color w:val="auto"/>
          <w:lang w:eastAsia="zh-CN"/>
        </w:rPr>
        <w:t>土壤环境影响评价类别</w:t>
      </w:r>
    </w:p>
    <w:p>
      <w:pPr>
        <w:pStyle w:val="265"/>
        <w:ind w:left="0" w:leftChars="0" w:firstLine="480" w:firstLineChars="200"/>
        <w:rPr>
          <w:rFonts w:hint="eastAsia"/>
          <w:color w:val="auto"/>
          <w:lang w:eastAsia="zh-CN"/>
        </w:rPr>
      </w:pPr>
      <w:r>
        <w:rPr>
          <w:rFonts w:hint="eastAsia"/>
          <w:color w:val="auto"/>
          <w:lang w:eastAsia="zh-CN"/>
        </w:rPr>
        <w:t>项目主要进行</w:t>
      </w:r>
      <w:r>
        <w:rPr>
          <w:rFonts w:hint="eastAsia"/>
          <w:color w:val="auto"/>
          <w:lang w:val="en-US" w:eastAsia="zh-CN"/>
        </w:rPr>
        <w:t>生猪养殖</w:t>
      </w:r>
      <w:r>
        <w:rPr>
          <w:rFonts w:hint="eastAsia"/>
          <w:color w:val="auto"/>
          <w:lang w:eastAsia="zh-CN"/>
        </w:rPr>
        <w:t>，根据《环境影响评价技术导则—土壤环境（试行）》（HJ964-2018）附录A可知，本项目属农林牧渔业中“农林牧渔业 年出栏生猪 5000 头(其他禽畜种类折合猪的养殖规模)及以上、10 万头以下的禽畜养殖场或养殖小区”类，项目为</w:t>
      </w:r>
      <w:r>
        <w:rPr>
          <w:rFonts w:hint="default" w:ascii="Times New Roman" w:hAnsi="Times New Roman" w:cs="Times New Roman"/>
          <w:color w:val="auto"/>
          <w:lang w:eastAsia="zh-CN"/>
        </w:rPr>
        <w:t>Ⅲ</w:t>
      </w:r>
      <w:r>
        <w:rPr>
          <w:rFonts w:hint="eastAsia"/>
          <w:color w:val="auto"/>
          <w:lang w:eastAsia="zh-CN"/>
        </w:rPr>
        <w:t>类项目。</w:t>
      </w:r>
    </w:p>
    <w:p>
      <w:pPr>
        <w:pStyle w:val="265"/>
        <w:numPr>
          <w:ilvl w:val="0"/>
          <w:numId w:val="0"/>
        </w:numPr>
        <w:ind w:left="400" w:leftChars="0"/>
        <w:rPr>
          <w:rFonts w:hint="eastAsia"/>
          <w:b/>
          <w:bCs/>
          <w:color w:val="auto"/>
          <w:lang w:eastAsia="zh-CN"/>
        </w:rPr>
      </w:pPr>
      <w:r>
        <w:rPr>
          <w:rFonts w:hint="eastAsia"/>
          <w:b/>
          <w:bCs/>
          <w:color w:val="auto"/>
          <w:lang w:val="en-US" w:eastAsia="zh-CN"/>
        </w:rPr>
        <w:t>2、</w:t>
      </w:r>
      <w:r>
        <w:rPr>
          <w:rFonts w:hint="eastAsia"/>
          <w:b/>
          <w:bCs/>
          <w:color w:val="auto"/>
          <w:lang w:eastAsia="zh-CN"/>
        </w:rPr>
        <w:t>影响识别</w:t>
      </w:r>
    </w:p>
    <w:p>
      <w:pPr>
        <w:topLinePunct/>
        <w:spacing w:line="360" w:lineRule="auto"/>
        <w:ind w:firstLine="480" w:firstLineChars="200"/>
        <w:rPr>
          <w:rFonts w:hint="eastAsia" w:ascii="Times New Roman" w:hAnsi="Times New Roman" w:cs="Times New Roman"/>
          <w:b w:val="0"/>
          <w:bCs w:val="0"/>
          <w:color w:val="auto"/>
          <w:sz w:val="24"/>
          <w:szCs w:val="22"/>
          <w:lang w:val="en-US" w:eastAsia="zh-CN"/>
        </w:rPr>
      </w:pPr>
      <w:r>
        <w:rPr>
          <w:rFonts w:hint="eastAsia"/>
          <w:color w:val="auto"/>
          <w:lang w:eastAsia="zh-CN"/>
        </w:rPr>
        <w:t>本项目对土壤的环境污染可能来自养殖废水的漫流和渗漏进入土壤，粪便等在运输、贮存或堆放过程中通过扩散、降水淋洗等直接或间接地影响土壤；恶臭污染物等大气沉降影响周边土壤环境，涉及的污染物主要考虑H</w:t>
      </w:r>
      <w:r>
        <w:rPr>
          <w:rFonts w:hint="eastAsia"/>
          <w:color w:val="auto"/>
          <w:vertAlign w:val="subscript"/>
          <w:lang w:eastAsia="zh-CN"/>
        </w:rPr>
        <w:t>2</w:t>
      </w:r>
      <w:r>
        <w:rPr>
          <w:rFonts w:hint="eastAsia"/>
          <w:color w:val="auto"/>
          <w:lang w:eastAsia="zh-CN"/>
        </w:rPr>
        <w:t>S、NH</w:t>
      </w:r>
      <w:r>
        <w:rPr>
          <w:rFonts w:hint="eastAsia"/>
          <w:color w:val="auto"/>
          <w:vertAlign w:val="subscript"/>
          <w:lang w:eastAsia="zh-CN"/>
        </w:rPr>
        <w:t>3</w:t>
      </w:r>
      <w:r>
        <w:rPr>
          <w:rFonts w:hint="eastAsia"/>
          <w:color w:val="auto"/>
          <w:lang w:eastAsia="zh-CN"/>
        </w:rPr>
        <w:t>。项目土壤环境影响类型与影响途径如表5.2-</w:t>
      </w:r>
      <w:r>
        <w:rPr>
          <w:rFonts w:hint="eastAsia"/>
          <w:color w:val="auto"/>
          <w:lang w:val="en-US" w:eastAsia="zh-CN"/>
        </w:rPr>
        <w:t>33</w:t>
      </w:r>
      <w:r>
        <w:rPr>
          <w:rFonts w:hint="eastAsia"/>
          <w:color w:val="auto"/>
          <w:lang w:eastAsia="zh-CN"/>
        </w:rPr>
        <w:t>，主要考虑运营期。</w:t>
      </w:r>
      <w:r>
        <w:rPr>
          <w:rFonts w:hint="eastAsia" w:ascii="Times New Roman" w:hAnsi="Times New Roman" w:cs="Times New Roman"/>
          <w:b w:val="0"/>
          <w:bCs w:val="0"/>
          <w:color w:val="auto"/>
          <w:sz w:val="24"/>
          <w:szCs w:val="22"/>
          <w:lang w:val="en-US" w:eastAsia="zh-CN"/>
        </w:rPr>
        <w:t>综上，项目不同时期可能对土壤产生不利影响的途径判别如下表：</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default" w:ascii="Times New Roman" w:hAnsi="Times New Roman" w:eastAsia="宋体" w:cs="Times New Roman"/>
          <w:b/>
          <w:color w:val="auto"/>
          <w:kern w:val="2"/>
          <w:sz w:val="21"/>
          <w:szCs w:val="21"/>
          <w:u w:val="none"/>
          <w:lang w:val="en-US" w:eastAsia="zh-CN" w:bidi="ar-SA"/>
        </w:rPr>
      </w:pPr>
      <w:r>
        <w:rPr>
          <w:rFonts w:hint="eastAsia" w:ascii="Times New Roman" w:hAnsi="Times New Roman" w:eastAsia="宋体" w:cs="Times New Roman"/>
          <w:b/>
          <w:color w:val="auto"/>
          <w:kern w:val="2"/>
          <w:sz w:val="21"/>
          <w:szCs w:val="21"/>
          <w:u w:val="none"/>
          <w:lang w:val="en-US" w:eastAsia="zh-CN" w:bidi="ar-SA"/>
        </w:rPr>
        <w:t>表</w:t>
      </w:r>
      <w:r>
        <w:rPr>
          <w:rFonts w:hint="eastAsia" w:cs="Times New Roman"/>
          <w:b/>
          <w:color w:val="auto"/>
          <w:kern w:val="2"/>
          <w:sz w:val="21"/>
          <w:szCs w:val="21"/>
          <w:u w:val="none"/>
          <w:lang w:val="en-US" w:eastAsia="zh-CN" w:bidi="ar-SA"/>
        </w:rPr>
        <w:t>5.2</w:t>
      </w:r>
      <w:r>
        <w:rPr>
          <w:rFonts w:hint="eastAsia" w:ascii="Times New Roman" w:hAnsi="Times New Roman" w:eastAsia="宋体" w:cs="Times New Roman"/>
          <w:b/>
          <w:color w:val="auto"/>
          <w:kern w:val="2"/>
          <w:sz w:val="21"/>
          <w:szCs w:val="21"/>
          <w:u w:val="none"/>
          <w:lang w:val="en-US" w:eastAsia="zh-CN" w:bidi="ar-SA"/>
        </w:rPr>
        <w:t>-</w:t>
      </w:r>
      <w:r>
        <w:rPr>
          <w:rFonts w:hint="eastAsia" w:cs="Times New Roman"/>
          <w:b/>
          <w:color w:val="auto"/>
          <w:kern w:val="2"/>
          <w:sz w:val="21"/>
          <w:szCs w:val="21"/>
          <w:u w:val="none"/>
          <w:lang w:val="en-US" w:eastAsia="zh-CN" w:bidi="ar-SA"/>
        </w:rPr>
        <w:t>33</w:t>
      </w:r>
      <w:r>
        <w:rPr>
          <w:rFonts w:hint="eastAsia" w:ascii="Times New Roman" w:hAnsi="Times New Roman" w:eastAsia="宋体" w:cs="Times New Roman"/>
          <w:b/>
          <w:color w:val="auto"/>
          <w:kern w:val="2"/>
          <w:sz w:val="21"/>
          <w:szCs w:val="21"/>
          <w:u w:val="none"/>
          <w:lang w:val="en-US" w:eastAsia="zh-CN" w:bidi="ar-SA"/>
        </w:rPr>
        <w:t xml:space="preserve"> </w:t>
      </w:r>
      <w:r>
        <w:rPr>
          <w:rFonts w:hint="default" w:ascii="Times New Roman" w:hAnsi="Times New Roman" w:eastAsia="宋体" w:cs="Times New Roman"/>
          <w:b/>
          <w:color w:val="auto"/>
          <w:kern w:val="2"/>
          <w:sz w:val="21"/>
          <w:szCs w:val="21"/>
          <w:u w:val="none"/>
          <w:lang w:val="en-US" w:eastAsia="zh-CN" w:bidi="ar-SA"/>
        </w:rPr>
        <w:t>本项目土壤影响类型与途径表</w:t>
      </w:r>
    </w:p>
    <w:tbl>
      <w:tblPr>
        <w:tblStyle w:val="51"/>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02"/>
        <w:gridCol w:w="1248"/>
        <w:gridCol w:w="1241"/>
        <w:gridCol w:w="1286"/>
        <w:gridCol w:w="7"/>
        <w:gridCol w:w="1269"/>
        <w:gridCol w:w="1271"/>
        <w:gridCol w:w="1268"/>
        <w:gridCol w:w="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不同时段</w:t>
            </w:r>
          </w:p>
        </w:tc>
        <w:tc>
          <w:tcPr>
            <w:tcW w:w="21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污染影响型</w:t>
            </w:r>
          </w:p>
        </w:tc>
        <w:tc>
          <w:tcPr>
            <w:tcW w:w="2119"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生态影响型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77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p>
        </w:tc>
        <w:tc>
          <w:tcPr>
            <w:tcW w:w="69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大气沉降</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地面漫流</w:t>
            </w:r>
          </w:p>
        </w:tc>
        <w:tc>
          <w:tcPr>
            <w:tcW w:w="7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垂直入渗</w:t>
            </w:r>
          </w:p>
        </w:tc>
        <w:tc>
          <w:tcPr>
            <w:tcW w:w="709"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盐化</w:t>
            </w:r>
          </w:p>
        </w:tc>
        <w:tc>
          <w:tcPr>
            <w:tcW w:w="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碱化</w:t>
            </w:r>
          </w:p>
        </w:tc>
        <w:tc>
          <w:tcPr>
            <w:tcW w:w="7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酸化</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7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建设期</w:t>
            </w:r>
          </w:p>
        </w:tc>
        <w:tc>
          <w:tcPr>
            <w:tcW w:w="69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9"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7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运营期</w:t>
            </w:r>
          </w:p>
        </w:tc>
        <w:tc>
          <w:tcPr>
            <w:tcW w:w="69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9"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7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服务期满后</w:t>
            </w:r>
          </w:p>
        </w:tc>
        <w:tc>
          <w:tcPr>
            <w:tcW w:w="69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6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9"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bl>
    <w:p>
      <w:pPr>
        <w:topLinePunct/>
        <w:spacing w:line="360" w:lineRule="auto"/>
        <w:ind w:firstLine="480" w:firstLineChars="200"/>
        <w:rPr>
          <w:rFonts w:hint="eastAsia" w:ascii="Times New Roman" w:hAnsi="Times New Roman" w:cs="Times New Roman"/>
          <w:b w:val="0"/>
          <w:bCs w:val="0"/>
          <w:color w:val="auto"/>
          <w:sz w:val="24"/>
          <w:szCs w:val="22"/>
          <w:lang w:val="en-US" w:eastAsia="zh-CN"/>
        </w:rPr>
      </w:pPr>
      <w:r>
        <w:rPr>
          <w:rFonts w:hint="eastAsia" w:ascii="Times New Roman" w:hAnsi="Times New Roman" w:cs="Times New Roman"/>
          <w:b w:val="0"/>
          <w:bCs w:val="0"/>
          <w:color w:val="auto"/>
          <w:sz w:val="24"/>
          <w:szCs w:val="22"/>
          <w:lang w:val="en-US" w:eastAsia="zh-CN"/>
        </w:rPr>
        <w:t>由上表可知，项目不会造成土壤盐化、酸化和碱化。因此，项目属于土壤环境污染影响型。</w:t>
      </w:r>
    </w:p>
    <w:p>
      <w:pPr>
        <w:topLinePunct/>
        <w:spacing w:line="360" w:lineRule="auto"/>
        <w:ind w:firstLine="480" w:firstLineChars="200"/>
        <w:rPr>
          <w:rFonts w:hint="eastAsia" w:ascii="Times New Roman" w:hAnsi="Times New Roman" w:cs="Times New Roman"/>
          <w:b w:val="0"/>
          <w:bCs w:val="0"/>
          <w:color w:val="auto"/>
          <w:sz w:val="24"/>
          <w:szCs w:val="22"/>
          <w:lang w:val="en-US" w:eastAsia="zh-CN"/>
        </w:rPr>
      </w:pPr>
      <w:r>
        <w:rPr>
          <w:rFonts w:hint="eastAsia" w:ascii="Times New Roman" w:hAnsi="Times New Roman" w:cs="Times New Roman"/>
          <w:b w:val="0"/>
          <w:bCs w:val="0"/>
          <w:color w:val="auto"/>
          <w:sz w:val="24"/>
          <w:szCs w:val="22"/>
          <w:lang w:val="en-US" w:eastAsia="zh-CN"/>
        </w:rPr>
        <w:t>项目土壤环境污染源、污染途径及污染因子一览如下：</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eastAsia" w:ascii="Times New Roman" w:hAnsi="Times New Roman" w:eastAsia="宋体" w:cs="Times New Roman"/>
          <w:b/>
          <w:color w:val="auto"/>
          <w:kern w:val="2"/>
          <w:sz w:val="21"/>
          <w:szCs w:val="21"/>
          <w:u w:val="none"/>
          <w:lang w:val="en-US" w:eastAsia="zh-CN" w:bidi="ar-SA"/>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ascii="Times New Roman" w:hAnsi="Times New Roman" w:cs="Times New Roman"/>
          <w:b/>
          <w:color w:val="auto"/>
          <w:sz w:val="21"/>
          <w:szCs w:val="21"/>
          <w:lang w:val="en-US" w:eastAsia="zh-CN"/>
        </w:rPr>
        <w:t>34</w:t>
      </w:r>
      <w:r>
        <w:rPr>
          <w:rFonts w:hint="eastAsia" w:ascii="Times New Roman" w:hAnsi="Times New Roman" w:eastAsia="宋体" w:cs="Times New Roman"/>
          <w:b/>
          <w:color w:val="auto"/>
          <w:kern w:val="2"/>
          <w:sz w:val="21"/>
          <w:szCs w:val="21"/>
          <w:u w:val="none"/>
          <w:lang w:val="en-US" w:eastAsia="zh-CN" w:bidi="ar-SA"/>
        </w:rPr>
        <w:t xml:space="preserve"> 本项目土壤环境影响源及影响因子识别表</w:t>
      </w:r>
    </w:p>
    <w:tbl>
      <w:tblPr>
        <w:tblStyle w:val="51"/>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1554"/>
        <w:gridCol w:w="2374"/>
        <w:gridCol w:w="1785"/>
        <w:gridCol w:w="1120"/>
        <w:gridCol w:w="7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污染源</w:t>
            </w:r>
          </w:p>
        </w:tc>
        <w:tc>
          <w:tcPr>
            <w:tcW w:w="86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工艺流程/节点</w:t>
            </w:r>
          </w:p>
        </w:tc>
        <w:tc>
          <w:tcPr>
            <w:tcW w:w="13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污染途径</w:t>
            </w:r>
          </w:p>
        </w:tc>
        <w:tc>
          <w:tcPr>
            <w:tcW w:w="99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全部污染物指标</w:t>
            </w:r>
          </w:p>
        </w:tc>
        <w:tc>
          <w:tcPr>
            <w:tcW w:w="6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特征因子</w:t>
            </w:r>
          </w:p>
        </w:tc>
        <w:tc>
          <w:tcPr>
            <w:tcW w:w="3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养殖废水、恶臭污染物</w:t>
            </w:r>
          </w:p>
        </w:tc>
        <w:tc>
          <w:tcPr>
            <w:tcW w:w="863"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养殖及粪污处理</w:t>
            </w:r>
          </w:p>
        </w:tc>
        <w:tc>
          <w:tcPr>
            <w:tcW w:w="13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地面漫流和垂直入渗</w:t>
            </w:r>
          </w:p>
        </w:tc>
        <w:tc>
          <w:tcPr>
            <w:tcW w:w="99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COD、氨氮</w:t>
            </w:r>
          </w:p>
        </w:tc>
        <w:tc>
          <w:tcPr>
            <w:tcW w:w="6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w:t>
            </w:r>
          </w:p>
        </w:tc>
        <w:tc>
          <w:tcPr>
            <w:tcW w:w="3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事故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863"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p>
        </w:tc>
        <w:tc>
          <w:tcPr>
            <w:tcW w:w="13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lang w:val="en-US" w:eastAsia="zh-CN"/>
              </w:rPr>
              <w:t>大气沉降</w:t>
            </w:r>
          </w:p>
        </w:tc>
        <w:tc>
          <w:tcPr>
            <w:tcW w:w="99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lang w:eastAsia="zh-CN"/>
              </w:rPr>
              <w:t>H</w:t>
            </w:r>
            <w:r>
              <w:rPr>
                <w:rFonts w:hint="default" w:ascii="Times New Roman" w:hAnsi="Times New Roman" w:cs="Times New Roman"/>
                <w:color w:val="auto"/>
                <w:sz w:val="21"/>
                <w:szCs w:val="21"/>
                <w:vertAlign w:val="subscript"/>
                <w:lang w:eastAsia="zh-CN"/>
              </w:rPr>
              <w:t>2</w:t>
            </w:r>
            <w:r>
              <w:rPr>
                <w:rFonts w:hint="default" w:ascii="Times New Roman" w:hAnsi="Times New Roman" w:cs="Times New Roman"/>
                <w:color w:val="auto"/>
                <w:sz w:val="21"/>
                <w:szCs w:val="21"/>
                <w:lang w:eastAsia="zh-CN"/>
              </w:rPr>
              <w:t>S、NH</w:t>
            </w:r>
            <w:r>
              <w:rPr>
                <w:rFonts w:hint="default" w:ascii="Times New Roman" w:hAnsi="Times New Roman" w:cs="Times New Roman"/>
                <w:color w:val="auto"/>
                <w:sz w:val="21"/>
                <w:szCs w:val="21"/>
                <w:vertAlign w:val="subscript"/>
                <w:lang w:eastAsia="zh-CN"/>
              </w:rPr>
              <w:t>3</w:t>
            </w:r>
          </w:p>
        </w:tc>
        <w:tc>
          <w:tcPr>
            <w:tcW w:w="6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eastAsia="zh-CN"/>
              </w:rPr>
            </w:pPr>
          </w:p>
        </w:tc>
        <w:tc>
          <w:tcPr>
            <w:tcW w:w="3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正常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粪便</w:t>
            </w:r>
          </w:p>
        </w:tc>
        <w:tc>
          <w:tcPr>
            <w:tcW w:w="86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运输</w:t>
            </w:r>
          </w:p>
        </w:tc>
        <w:tc>
          <w:tcPr>
            <w:tcW w:w="13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地面漫流和垂直入渗</w:t>
            </w:r>
          </w:p>
        </w:tc>
        <w:tc>
          <w:tcPr>
            <w:tcW w:w="99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COD、氨氮</w:t>
            </w:r>
          </w:p>
        </w:tc>
        <w:tc>
          <w:tcPr>
            <w:tcW w:w="6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w:t>
            </w:r>
          </w:p>
        </w:tc>
        <w:tc>
          <w:tcPr>
            <w:tcW w:w="3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事故</w:t>
            </w:r>
          </w:p>
        </w:tc>
      </w:tr>
    </w:tbl>
    <w:p>
      <w:pPr>
        <w:pStyle w:val="265"/>
        <w:numPr>
          <w:ilvl w:val="0"/>
          <w:numId w:val="0"/>
        </w:numPr>
        <w:ind w:left="400" w:leftChars="0"/>
        <w:rPr>
          <w:rFonts w:hint="eastAsia"/>
          <w:b/>
          <w:bCs/>
          <w:color w:val="auto"/>
          <w:lang w:eastAsia="zh-CN"/>
        </w:rPr>
      </w:pPr>
      <w:r>
        <w:rPr>
          <w:rFonts w:hint="eastAsia"/>
          <w:b/>
          <w:bCs/>
          <w:color w:val="auto"/>
          <w:lang w:val="en-US" w:eastAsia="zh-CN"/>
        </w:rPr>
        <w:t>3、</w:t>
      </w:r>
      <w:r>
        <w:rPr>
          <w:rFonts w:hint="eastAsia"/>
          <w:b/>
          <w:bCs/>
          <w:color w:val="auto"/>
          <w:lang w:eastAsia="zh-CN"/>
        </w:rPr>
        <w:t>敏感目标</w:t>
      </w:r>
    </w:p>
    <w:p>
      <w:pPr>
        <w:pStyle w:val="265"/>
        <w:rPr>
          <w:rFonts w:hint="eastAsia"/>
          <w:color w:val="auto"/>
          <w:lang w:eastAsia="zh-CN"/>
        </w:rPr>
      </w:pPr>
      <w:r>
        <w:rPr>
          <w:rFonts w:hint="eastAsia"/>
          <w:color w:val="auto"/>
          <w:lang w:eastAsia="zh-CN"/>
        </w:rPr>
        <w:t>本项目土壤环境敏感目标详见表。</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eastAsia" w:ascii="Times New Roman" w:hAnsi="Times New Roman" w:eastAsia="宋体" w:cs="Times New Roman"/>
          <w:b/>
          <w:color w:val="auto"/>
          <w:kern w:val="2"/>
          <w:sz w:val="21"/>
          <w:szCs w:val="21"/>
          <w:u w:val="none"/>
          <w:lang w:val="en-US" w:eastAsia="zh-CN" w:bidi="ar-SA"/>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ascii="Times New Roman" w:hAnsi="Times New Roman" w:cs="Times New Roman"/>
          <w:b/>
          <w:color w:val="auto"/>
          <w:sz w:val="21"/>
          <w:szCs w:val="21"/>
          <w:lang w:val="en-US" w:eastAsia="zh-CN"/>
        </w:rPr>
        <w:t xml:space="preserve">35 </w:t>
      </w:r>
      <w:r>
        <w:rPr>
          <w:rFonts w:hint="eastAsia" w:ascii="Times New Roman" w:hAnsi="Times New Roman" w:eastAsia="宋体" w:cs="Times New Roman"/>
          <w:b/>
          <w:color w:val="auto"/>
          <w:kern w:val="2"/>
          <w:sz w:val="21"/>
          <w:szCs w:val="21"/>
          <w:u w:val="none"/>
          <w:lang w:val="en-US" w:eastAsia="zh-CN" w:bidi="ar-SA"/>
        </w:rPr>
        <w:t>项目所在地及周边土壤环境敏感目标</w:t>
      </w:r>
    </w:p>
    <w:tbl>
      <w:tblPr>
        <w:tblStyle w:val="51"/>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09"/>
        <w:gridCol w:w="780"/>
        <w:gridCol w:w="825"/>
        <w:gridCol w:w="1321"/>
        <w:gridCol w:w="35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敏感目标</w:t>
            </w:r>
          </w:p>
        </w:tc>
        <w:tc>
          <w:tcPr>
            <w:tcW w:w="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方位</w:t>
            </w:r>
          </w:p>
        </w:tc>
        <w:tc>
          <w:tcPr>
            <w:tcW w:w="4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距离</w:t>
            </w:r>
          </w:p>
        </w:tc>
        <w:tc>
          <w:tcPr>
            <w:tcW w:w="73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环境特征</w:t>
            </w:r>
          </w:p>
        </w:tc>
        <w:tc>
          <w:tcPr>
            <w:tcW w:w="197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质量标准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color w:val="auto"/>
                <w:sz w:val="21"/>
                <w:szCs w:val="21"/>
              </w:rPr>
              <w:t>项目所在地</w:t>
            </w:r>
          </w:p>
        </w:tc>
        <w:tc>
          <w:tcPr>
            <w:tcW w:w="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eastAsia"/>
                <w:color w:val="auto"/>
                <w:sz w:val="20"/>
                <w:szCs w:val="20"/>
              </w:rPr>
              <w:t>四周</w:t>
            </w:r>
          </w:p>
        </w:tc>
        <w:tc>
          <w:tcPr>
            <w:tcW w:w="4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50m</w:t>
            </w:r>
          </w:p>
        </w:tc>
        <w:tc>
          <w:tcPr>
            <w:tcW w:w="73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耕地</w:t>
            </w:r>
            <w:r>
              <w:rPr>
                <w:rFonts w:hint="eastAsia" w:ascii="Times New Roman" w:hAnsi="Times New Roman" w:cs="Times New Roman"/>
                <w:color w:val="auto"/>
                <w:kern w:val="0"/>
                <w:sz w:val="21"/>
                <w:szCs w:val="21"/>
                <w:lang w:val="en-US" w:eastAsia="zh-CN"/>
              </w:rPr>
              <w:t>、林地</w:t>
            </w:r>
          </w:p>
        </w:tc>
        <w:tc>
          <w:tcPr>
            <w:tcW w:w="197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color w:val="auto"/>
                <w:kern w:val="0"/>
                <w:sz w:val="21"/>
                <w:szCs w:val="21"/>
                <w:lang w:val="en-US" w:eastAsia="zh-CN"/>
              </w:rPr>
            </w:pPr>
            <w:r>
              <w:rPr>
                <w:color w:val="auto"/>
                <w:sz w:val="20"/>
                <w:szCs w:val="20"/>
              </w:rPr>
              <w:t>GB 15618-2018</w:t>
            </w:r>
          </w:p>
        </w:tc>
      </w:tr>
    </w:tbl>
    <w:p>
      <w:pPr>
        <w:pStyle w:val="9"/>
        <w:rPr>
          <w:rFonts w:hint="default"/>
          <w:color w:val="auto"/>
          <w:lang w:val="en-US" w:eastAsia="zh-CN"/>
        </w:rPr>
      </w:pPr>
      <w:r>
        <w:rPr>
          <w:rFonts w:hint="default"/>
          <w:color w:val="auto"/>
          <w:lang w:val="en-US" w:eastAsia="zh-CN"/>
        </w:rPr>
        <w:t>评价等级和评价范围</w:t>
      </w:r>
    </w:p>
    <w:p>
      <w:pPr>
        <w:pStyle w:val="265"/>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1</w:t>
      </w:r>
      <w:r>
        <w:rPr>
          <w:rFonts w:hint="eastAsia" w:cs="Times New Roman"/>
          <w:b/>
          <w:bCs/>
          <w:color w:val="auto"/>
          <w:sz w:val="24"/>
          <w:lang w:val="en-US" w:eastAsia="zh-CN"/>
        </w:rPr>
        <w:t>、</w:t>
      </w:r>
      <w:r>
        <w:rPr>
          <w:rFonts w:hint="default" w:ascii="Times New Roman" w:hAnsi="Times New Roman" w:eastAsia="宋体" w:cs="Times New Roman"/>
          <w:b/>
          <w:bCs/>
          <w:color w:val="auto"/>
          <w:sz w:val="24"/>
          <w:lang w:val="en-US" w:eastAsia="zh-CN"/>
        </w:rPr>
        <w:t>评价等级</w:t>
      </w:r>
    </w:p>
    <w:p>
      <w:pPr>
        <w:pStyle w:val="265"/>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根据《环境影响评价技术导则</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土壤环境（试行）》（HJ964-2018），本项目土壤环境影响为污染影响型，评价等级需从项目类型、占地规模以及所在地土壤敏感程度进行进行判定。</w:t>
      </w:r>
    </w:p>
    <w:p>
      <w:pPr>
        <w:pStyle w:val="265"/>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本项目土壤环境影响评价类别为Ⅲ类，土壤敏感程度为敏感。项目占地面积</w:t>
      </w:r>
      <w:r>
        <w:rPr>
          <w:rFonts w:hint="eastAsia" w:cs="Times New Roman"/>
          <w:color w:val="auto"/>
          <w:sz w:val="24"/>
          <w:lang w:val="en-US" w:eastAsia="zh-CN"/>
        </w:rPr>
        <w:t>38.57亩</w:t>
      </w:r>
      <w:r>
        <w:rPr>
          <w:rFonts w:hint="default" w:ascii="Times New Roman" w:hAnsi="Times New Roman" w:eastAsia="宋体" w:cs="Times New Roman"/>
          <w:color w:val="auto"/>
          <w:sz w:val="24"/>
          <w:lang w:val="en-US" w:eastAsia="zh-CN"/>
        </w:rPr>
        <w:t>，属于小型规模。根据《环境影响评价技术导</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土壤环境（试行）》（HJ964-2018）项目土壤环境评价等级见下表所示：</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default" w:ascii="Times New Roman" w:hAnsi="Times New Roman" w:eastAsia="宋体" w:cs="Times New Roman"/>
          <w:b/>
          <w:color w:val="auto"/>
          <w:kern w:val="2"/>
          <w:sz w:val="21"/>
          <w:szCs w:val="21"/>
          <w:u w:val="none"/>
          <w:lang w:val="en-US" w:eastAsia="zh-CN" w:bidi="ar-SA"/>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cs="Times New Roman"/>
          <w:b/>
          <w:color w:val="auto"/>
          <w:sz w:val="21"/>
          <w:szCs w:val="21"/>
          <w:lang w:val="en-US" w:eastAsia="zh-CN"/>
        </w:rPr>
        <w:t>36</w:t>
      </w:r>
      <w:r>
        <w:rPr>
          <w:rFonts w:hint="eastAsia" w:ascii="Times New Roman" w:hAnsi="Times New Roman" w:eastAsia="宋体" w:cs="Times New Roman"/>
          <w:b/>
          <w:color w:val="auto"/>
          <w:kern w:val="2"/>
          <w:sz w:val="21"/>
          <w:szCs w:val="21"/>
          <w:u w:val="none"/>
          <w:lang w:val="en-US" w:eastAsia="zh-CN" w:bidi="ar-SA"/>
        </w:rPr>
        <w:t xml:space="preserve"> 污染影响型评价工作等级划分表</w:t>
      </w:r>
    </w:p>
    <w:tbl>
      <w:tblPr>
        <w:tblStyle w:val="51"/>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72"/>
        <w:gridCol w:w="769"/>
        <w:gridCol w:w="769"/>
        <w:gridCol w:w="771"/>
        <w:gridCol w:w="769"/>
        <w:gridCol w:w="769"/>
        <w:gridCol w:w="771"/>
        <w:gridCol w:w="769"/>
        <w:gridCol w:w="769"/>
        <w:gridCol w:w="77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51" w:type="pct"/>
            <w:vMerge w:val="restart"/>
            <w:tcBorders>
              <w:tl2br w:val="single" w:color="auto" w:sz="4" w:space="0"/>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right"/>
              <w:textAlignment w:val="auto"/>
              <w:outlineLvl w:val="9"/>
              <w:rPr>
                <w:rFonts w:hint="eastAsia"/>
                <w:color w:val="auto"/>
                <w:sz w:val="21"/>
                <w:szCs w:val="21"/>
                <w:lang w:eastAsia="zh-CN"/>
              </w:rPr>
            </w:pPr>
            <w:r>
              <w:rPr>
                <w:rFonts w:hint="eastAsia"/>
                <w:color w:val="auto"/>
                <w:sz w:val="21"/>
                <w:szCs w:val="21"/>
                <w:lang w:val="en-US" w:eastAsia="zh-CN"/>
              </w:rPr>
              <w:t xml:space="preserve">       </w:t>
            </w:r>
            <w:r>
              <w:rPr>
                <w:rFonts w:hint="eastAsia"/>
                <w:color w:val="auto"/>
                <w:sz w:val="21"/>
                <w:szCs w:val="21"/>
                <w:lang w:eastAsia="zh-CN"/>
              </w:rPr>
              <w:t>占地规模</w:t>
            </w:r>
          </w:p>
          <w:p>
            <w:pPr>
              <w:pStyle w:val="337"/>
              <w:keepNext w:val="0"/>
              <w:keepLines w:val="0"/>
              <w:pageBreakBefore w:val="0"/>
              <w:widowControl w:val="0"/>
              <w:kinsoku/>
              <w:wordWrap/>
              <w:overflowPunct/>
              <w:topLinePunct w:val="0"/>
              <w:autoSpaceDE w:val="0"/>
              <w:autoSpaceDN w:val="0"/>
              <w:bidi w:val="0"/>
              <w:snapToGrid/>
              <w:ind w:firstLine="0" w:firstLineChars="0"/>
              <w:textAlignment w:val="auto"/>
              <w:outlineLvl w:val="9"/>
              <w:rPr>
                <w:rFonts w:hint="default"/>
                <w:color w:val="auto"/>
                <w:sz w:val="21"/>
                <w:szCs w:val="21"/>
                <w:lang w:eastAsia="zh-CN"/>
              </w:rPr>
            </w:pPr>
            <w:r>
              <w:rPr>
                <w:rFonts w:hint="eastAsia" w:ascii="Times New Roman" w:hAnsi="Times New Roman" w:eastAsia="宋体" w:cs="Times New Roman"/>
                <w:b w:val="0"/>
                <w:bCs/>
                <w:color w:val="auto"/>
                <w:kern w:val="0"/>
                <w:sz w:val="21"/>
                <w:szCs w:val="21"/>
                <w:lang w:eastAsia="zh-CN"/>
              </w:rPr>
              <w:t>敏感程度</w:t>
            </w:r>
          </w:p>
        </w:tc>
        <w:tc>
          <w:tcPr>
            <w:tcW w:w="1282" w:type="pct"/>
            <w:gridSpan w:val="3"/>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default" w:ascii="Times New Roman" w:hAnsi="Times New Roman" w:cs="Times New Roman"/>
                <w:b w:val="0"/>
                <w:bCs/>
                <w:color w:val="auto"/>
                <w:kern w:val="0"/>
                <w:sz w:val="21"/>
                <w:szCs w:val="21"/>
                <w:lang w:val="en-US" w:eastAsia="zh-CN"/>
              </w:rPr>
              <w:t>Ⅰ类</w:t>
            </w:r>
          </w:p>
        </w:tc>
        <w:tc>
          <w:tcPr>
            <w:tcW w:w="1282" w:type="pct"/>
            <w:gridSpan w:val="3"/>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default" w:ascii="Times New Roman" w:hAnsi="Times New Roman" w:cs="Times New Roman"/>
                <w:b w:val="0"/>
                <w:bCs/>
                <w:color w:val="auto"/>
                <w:kern w:val="0"/>
                <w:sz w:val="21"/>
                <w:szCs w:val="21"/>
                <w:lang w:val="en-US" w:eastAsia="zh-CN"/>
              </w:rPr>
              <w:t>Ⅱ类</w:t>
            </w:r>
          </w:p>
        </w:tc>
        <w:tc>
          <w:tcPr>
            <w:tcW w:w="1283" w:type="pct"/>
            <w:gridSpan w:val="3"/>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default" w:ascii="Times New Roman" w:hAnsi="Times New Roman" w:cs="Times New Roman"/>
                <w:b w:val="0"/>
                <w:bCs/>
                <w:color w:val="auto"/>
                <w:kern w:val="0"/>
                <w:sz w:val="21"/>
                <w:szCs w:val="21"/>
                <w:lang w:val="en-US" w:eastAsia="zh-CN"/>
              </w:rPr>
              <w:t>Ⅲ类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51" w:type="pct"/>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eastAsia="宋体" w:cs="Times New Roman"/>
                <w:b w:val="0"/>
                <w:bCs/>
                <w:color w:val="auto"/>
                <w:kern w:val="0"/>
                <w:sz w:val="21"/>
                <w:szCs w:val="21"/>
                <w:lang w:eastAsia="zh-CN"/>
              </w:rPr>
            </w:pP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eastAsia" w:ascii="Times New Roman" w:hAnsi="Times New Roman" w:eastAsia="宋体"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中</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小</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中</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小</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中</w:t>
            </w:r>
          </w:p>
        </w:tc>
        <w:tc>
          <w:tcPr>
            <w:tcW w:w="429"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51"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eastAsia="宋体" w:cs="Times New Roman"/>
                <w:b w:val="0"/>
                <w:bCs/>
                <w:color w:val="auto"/>
                <w:kern w:val="0"/>
                <w:sz w:val="21"/>
                <w:szCs w:val="21"/>
                <w:lang w:eastAsia="zh-CN"/>
              </w:rPr>
            </w:pPr>
            <w:r>
              <w:rPr>
                <w:rFonts w:hint="eastAsia" w:ascii="Times New Roman" w:hAnsi="Times New Roman" w:eastAsia="宋体" w:cs="Times New Roman"/>
                <w:b w:val="0"/>
                <w:bCs/>
                <w:color w:val="auto"/>
                <w:kern w:val="0"/>
                <w:sz w:val="21"/>
                <w:szCs w:val="21"/>
                <w:lang w:eastAsia="zh-CN"/>
              </w:rPr>
              <w:t>敏感</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eastAsia" w:ascii="Times New Roman" w:hAnsi="Times New Roman" w:eastAsia="宋体"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一级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一级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一级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9"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bCs w:val="0"/>
                <w:color w:val="auto"/>
                <w:kern w:val="0"/>
                <w:sz w:val="21"/>
                <w:szCs w:val="21"/>
                <w:highlight w:val="lightGray"/>
                <w:lang w:eastAsia="zh-CN"/>
              </w:rPr>
              <w:t>三级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51"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eastAsia="宋体" w:cs="Times New Roman"/>
                <w:b w:val="0"/>
                <w:bCs/>
                <w:color w:val="auto"/>
                <w:kern w:val="0"/>
                <w:sz w:val="21"/>
                <w:szCs w:val="21"/>
                <w:lang w:eastAsia="zh-CN"/>
              </w:rPr>
            </w:pPr>
            <w:r>
              <w:rPr>
                <w:rFonts w:hint="eastAsia" w:ascii="Times New Roman" w:hAnsi="Times New Roman" w:eastAsia="宋体" w:cs="Times New Roman"/>
                <w:b w:val="0"/>
                <w:bCs/>
                <w:color w:val="auto"/>
                <w:kern w:val="0"/>
                <w:sz w:val="21"/>
                <w:szCs w:val="21"/>
                <w:lang w:eastAsia="zh-CN"/>
              </w:rPr>
              <w:t>较敏感</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rPr>
            </w:pPr>
            <w:r>
              <w:rPr>
                <w:rFonts w:hint="eastAsia" w:ascii="Times New Roman" w:hAnsi="Times New Roman" w:cs="Times New Roman"/>
                <w:b w:val="0"/>
                <w:bCs/>
                <w:color w:val="auto"/>
                <w:kern w:val="0"/>
                <w:sz w:val="21"/>
                <w:szCs w:val="21"/>
                <w:lang w:eastAsia="zh-CN"/>
              </w:rPr>
              <w:t>一级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一级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9"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eastAsia" w:ascii="Times New Roman" w:hAnsi="Times New Roman" w:cs="Times New Roman"/>
                <w:b w:val="0"/>
                <w:bCs/>
                <w:color w:val="auto"/>
                <w:kern w:val="0"/>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51"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eastAsia="宋体" w:cs="Times New Roman"/>
                <w:b w:val="0"/>
                <w:bCs/>
                <w:color w:val="auto"/>
                <w:kern w:val="0"/>
                <w:sz w:val="21"/>
                <w:szCs w:val="21"/>
                <w:lang w:eastAsia="zh-CN"/>
              </w:rPr>
            </w:pPr>
            <w:r>
              <w:rPr>
                <w:rFonts w:hint="eastAsia" w:ascii="Times New Roman" w:hAnsi="Times New Roman" w:eastAsia="宋体" w:cs="Times New Roman"/>
                <w:b w:val="0"/>
                <w:bCs/>
                <w:color w:val="auto"/>
                <w:kern w:val="0"/>
                <w:sz w:val="21"/>
                <w:szCs w:val="21"/>
                <w:lang w:eastAsia="zh-CN"/>
              </w:rPr>
              <w:t>不敏感</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rPr>
            </w:pPr>
            <w:r>
              <w:rPr>
                <w:rFonts w:hint="eastAsia" w:ascii="Times New Roman" w:hAnsi="Times New Roman" w:cs="Times New Roman"/>
                <w:b w:val="0"/>
                <w:bCs/>
                <w:color w:val="auto"/>
                <w:kern w:val="0"/>
                <w:sz w:val="21"/>
                <w:szCs w:val="21"/>
                <w:lang w:eastAsia="zh-CN"/>
              </w:rPr>
              <w:t>一级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二级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8"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eastAsia="zh-CN"/>
              </w:rPr>
            </w:pPr>
            <w:r>
              <w:rPr>
                <w:rFonts w:hint="eastAsia" w:ascii="Times New Roman" w:hAnsi="Times New Roman" w:cs="Times New Roman"/>
                <w:b w:val="0"/>
                <w:bCs/>
                <w:color w:val="auto"/>
                <w:kern w:val="0"/>
                <w:sz w:val="21"/>
                <w:szCs w:val="21"/>
                <w:lang w:eastAsia="zh-CN"/>
              </w:rPr>
              <w:t>三级</w:t>
            </w:r>
          </w:p>
        </w:tc>
        <w:tc>
          <w:tcPr>
            <w:tcW w:w="427"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eastAsia" w:ascii="Times New Roman" w:hAnsi="Times New Roman" w:cs="Times New Roman"/>
                <w:b w:val="0"/>
                <w:bCs/>
                <w:color w:val="auto"/>
                <w:kern w:val="0"/>
                <w:sz w:val="21"/>
                <w:szCs w:val="21"/>
                <w:lang w:val="en-US" w:eastAsia="zh-CN"/>
              </w:rPr>
              <w:t>-</w:t>
            </w:r>
          </w:p>
        </w:tc>
        <w:tc>
          <w:tcPr>
            <w:tcW w:w="429" w:type="pct"/>
            <w:tcBorders>
              <w:tl2br w:val="nil"/>
              <w:tr2bl w:val="nil"/>
            </w:tcBorders>
            <w:noWrap w:val="0"/>
            <w:vAlign w:val="top"/>
          </w:tcPr>
          <w:p>
            <w:pPr>
              <w:keepNext w:val="0"/>
              <w:keepLines w:val="0"/>
              <w:pageBreakBefore w:val="0"/>
              <w:widowControl w:val="0"/>
              <w:kinsoku/>
              <w:wordWrap/>
              <w:overflowPunct/>
              <w:topLinePunct w:val="0"/>
              <w:autoSpaceDE w:val="0"/>
              <w:autoSpaceDN w:val="0"/>
              <w:bidi w:val="0"/>
              <w:snapToGrid/>
              <w:spacing w:line="240" w:lineRule="auto"/>
              <w:ind w:firstLine="0" w:firstLineChars="0"/>
              <w:jc w:val="center"/>
              <w:textAlignment w:val="auto"/>
              <w:outlineLvl w:val="9"/>
              <w:rPr>
                <w:rFonts w:hint="default" w:ascii="Times New Roman" w:hAnsi="Times New Roman" w:cs="Times New Roman"/>
                <w:b w:val="0"/>
                <w:bCs/>
                <w:color w:val="auto"/>
                <w:kern w:val="0"/>
                <w:sz w:val="21"/>
                <w:szCs w:val="21"/>
                <w:lang w:val="en-US" w:eastAsia="zh-CN"/>
              </w:rPr>
            </w:pPr>
            <w:r>
              <w:rPr>
                <w:rFonts w:hint="eastAsia" w:ascii="Times New Roman" w:hAnsi="Times New Roman" w:cs="Times New Roman"/>
                <w:b w:val="0"/>
                <w:bCs/>
                <w:color w:val="auto"/>
                <w:kern w:val="0"/>
                <w:sz w:val="21"/>
                <w:szCs w:val="21"/>
                <w:lang w:val="en-US" w:eastAsia="zh-CN"/>
              </w:rPr>
              <w:t>-</w:t>
            </w:r>
          </w:p>
        </w:tc>
      </w:tr>
    </w:tbl>
    <w:p>
      <w:pPr>
        <w:pStyle w:val="265"/>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2</w:t>
      </w:r>
      <w:r>
        <w:rPr>
          <w:rFonts w:hint="eastAsia" w:cs="Times New Roman"/>
          <w:b/>
          <w:bCs/>
          <w:color w:val="auto"/>
          <w:sz w:val="24"/>
          <w:lang w:val="en-US" w:eastAsia="zh-CN"/>
        </w:rPr>
        <w:t>、</w:t>
      </w:r>
      <w:r>
        <w:rPr>
          <w:rFonts w:hint="default" w:ascii="Times New Roman" w:hAnsi="Times New Roman" w:eastAsia="宋体" w:cs="Times New Roman"/>
          <w:b/>
          <w:bCs/>
          <w:color w:val="auto"/>
          <w:sz w:val="24"/>
          <w:lang w:val="en-US" w:eastAsia="zh-CN"/>
        </w:rPr>
        <w:t>评价范围</w:t>
      </w:r>
    </w:p>
    <w:p>
      <w:pPr>
        <w:pStyle w:val="265"/>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根据《环境影响评价技术导则土壤环境（试行）》（HJ964-2018），本项目的现状调查范围为项目占地范围内及占地范围外</w:t>
      </w:r>
      <w:r>
        <w:rPr>
          <w:rFonts w:hint="eastAsia" w:eastAsia="宋体" w:cs="Times New Roman"/>
          <w:color w:val="auto"/>
          <w:sz w:val="24"/>
          <w:lang w:val="en-US" w:eastAsia="zh-CN"/>
        </w:rPr>
        <w:t>5</w:t>
      </w:r>
      <w:r>
        <w:rPr>
          <w:rFonts w:hint="default" w:ascii="Times New Roman" w:hAnsi="Times New Roman" w:eastAsia="宋体" w:cs="Times New Roman"/>
          <w:color w:val="auto"/>
          <w:sz w:val="24"/>
          <w:lang w:val="en-US" w:eastAsia="zh-CN"/>
        </w:rPr>
        <w:t>0m。</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0"/>
        <w:jc w:val="center"/>
        <w:textAlignment w:val="auto"/>
        <w:outlineLvl w:val="9"/>
        <w:rPr>
          <w:rFonts w:hint="default" w:ascii="Times New Roman" w:hAnsi="Times New Roman" w:eastAsia="宋体" w:cs="Times New Roman"/>
          <w:b/>
          <w:color w:val="auto"/>
          <w:kern w:val="2"/>
          <w:sz w:val="21"/>
          <w:szCs w:val="21"/>
          <w:u w:val="none"/>
          <w:lang w:val="en-US" w:eastAsia="zh-CN" w:bidi="ar-SA"/>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ascii="Times New Roman" w:hAnsi="Times New Roman" w:cs="Times New Roman"/>
          <w:b/>
          <w:color w:val="auto"/>
          <w:sz w:val="21"/>
          <w:szCs w:val="21"/>
          <w:lang w:val="en-US" w:eastAsia="zh-CN"/>
        </w:rPr>
        <w:t>37</w:t>
      </w:r>
      <w:r>
        <w:rPr>
          <w:rFonts w:hint="eastAsia" w:ascii="Times New Roman" w:hAnsi="Times New Roman" w:eastAsia="宋体" w:cs="Times New Roman"/>
          <w:b/>
          <w:color w:val="auto"/>
          <w:kern w:val="2"/>
          <w:sz w:val="21"/>
          <w:szCs w:val="21"/>
          <w:u w:val="none"/>
          <w:lang w:val="en-US" w:eastAsia="zh-CN" w:bidi="ar-SA"/>
        </w:rPr>
        <w:t xml:space="preserve"> </w:t>
      </w:r>
      <w:r>
        <w:rPr>
          <w:rFonts w:hint="default" w:ascii="Times New Roman" w:hAnsi="Times New Roman" w:eastAsia="宋体" w:cs="Times New Roman"/>
          <w:b/>
          <w:color w:val="auto"/>
          <w:kern w:val="2"/>
          <w:sz w:val="21"/>
          <w:szCs w:val="21"/>
          <w:u w:val="none"/>
          <w:lang w:val="en-US" w:eastAsia="zh-CN" w:bidi="ar-SA"/>
        </w:rPr>
        <w:t>现状调查范围</w:t>
      </w:r>
    </w:p>
    <w:tbl>
      <w:tblPr>
        <w:tblStyle w:val="52"/>
        <w:tblW w:w="867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28"/>
        <w:gridCol w:w="1875"/>
        <w:gridCol w:w="2297"/>
        <w:gridCol w:w="26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评价工作等级</w:t>
            </w:r>
          </w:p>
        </w:tc>
        <w:tc>
          <w:tcPr>
            <w:tcW w:w="1875"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影响类型</w:t>
            </w:r>
          </w:p>
        </w:tc>
        <w:tc>
          <w:tcPr>
            <w:tcW w:w="4967" w:type="dxa"/>
            <w:gridSpan w:val="2"/>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调查范围a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1875"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297"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占地b范围内</w:t>
            </w: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占地范围外</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一级</w:t>
            </w: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生态影响型</w:t>
            </w:r>
          </w:p>
        </w:tc>
        <w:tc>
          <w:tcPr>
            <w:tcW w:w="2297"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全部</w:t>
            </w: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5km范围内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污染影响型</w:t>
            </w:r>
          </w:p>
        </w:tc>
        <w:tc>
          <w:tcPr>
            <w:tcW w:w="2297"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1km范围内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二级</w:t>
            </w: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生态影响型</w:t>
            </w:r>
          </w:p>
        </w:tc>
        <w:tc>
          <w:tcPr>
            <w:tcW w:w="2297"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2km范围内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污染影响型</w:t>
            </w:r>
          </w:p>
        </w:tc>
        <w:tc>
          <w:tcPr>
            <w:tcW w:w="2297"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0.2km范围内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restart"/>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三级</w:t>
            </w: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生态影响型</w:t>
            </w:r>
          </w:p>
        </w:tc>
        <w:tc>
          <w:tcPr>
            <w:tcW w:w="2297"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1km范围内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1875"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污染影响型</w:t>
            </w:r>
          </w:p>
        </w:tc>
        <w:tc>
          <w:tcPr>
            <w:tcW w:w="2297" w:type="dxa"/>
            <w:vMerge w:val="continue"/>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p>
        </w:tc>
        <w:tc>
          <w:tcPr>
            <w:tcW w:w="2670" w:type="dxa"/>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olor w:val="auto"/>
                <w:sz w:val="21"/>
                <w:szCs w:val="21"/>
                <w:vertAlign w:val="baseline"/>
                <w:lang w:val="en-US" w:eastAsia="zh-CN"/>
              </w:rPr>
            </w:pPr>
            <w:r>
              <w:rPr>
                <w:rFonts w:hint="eastAsia"/>
                <w:b/>
                <w:bCs/>
                <w:color w:val="auto"/>
                <w:sz w:val="21"/>
                <w:szCs w:val="21"/>
                <w:highlight w:val="lightGray"/>
                <w:vertAlign w:val="baseline"/>
                <w:lang w:val="en-US" w:eastAsia="zh-CN"/>
              </w:rPr>
              <w:t>0.05km范围内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70" w:type="dxa"/>
            <w:gridSpan w:val="4"/>
            <w:tcBorders>
              <w:tl2br w:val="nil"/>
              <w:tr2bl w:val="nil"/>
            </w:tcBorders>
            <w:noWrap w:val="0"/>
            <w:vAlign w:val="center"/>
          </w:tcPr>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color w:val="auto"/>
                <w:sz w:val="21"/>
                <w:szCs w:val="21"/>
                <w:vertAlign w:val="baseline"/>
                <w:lang w:val="en-US" w:eastAsia="zh-CN"/>
              </w:rPr>
            </w:pPr>
            <w:r>
              <w:rPr>
                <w:rFonts w:hint="eastAsia"/>
                <w:color w:val="auto"/>
                <w:sz w:val="21"/>
                <w:szCs w:val="21"/>
                <w:vertAlign w:val="baseline"/>
                <w:lang w:val="en-US" w:eastAsia="zh-CN"/>
              </w:rPr>
              <w:t>a：涉及大气沉降途径影响的，可根据主导风向下风向的最大落地浓度点适当调整</w:t>
            </w:r>
          </w:p>
          <w:p>
            <w:pPr>
              <w:pStyle w:val="265"/>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default"/>
                <w:color w:val="auto"/>
                <w:sz w:val="21"/>
                <w:szCs w:val="21"/>
                <w:vertAlign w:val="baseline"/>
                <w:lang w:val="en-US" w:eastAsia="zh-CN"/>
              </w:rPr>
            </w:pPr>
            <w:r>
              <w:rPr>
                <w:rFonts w:hint="eastAsia"/>
                <w:color w:val="auto"/>
                <w:sz w:val="21"/>
                <w:szCs w:val="21"/>
                <w:vertAlign w:val="baseline"/>
                <w:lang w:val="en-US" w:eastAsia="zh-CN"/>
              </w:rPr>
              <w:t>b：矿山类项目指开采区与各场地的占地；改、扩建类的指现有工程与拟建工程的占地</w:t>
            </w:r>
          </w:p>
        </w:tc>
      </w:tr>
    </w:tbl>
    <w:p>
      <w:pPr>
        <w:pStyle w:val="265"/>
        <w:rPr>
          <w:rFonts w:hint="default" w:ascii="Times New Roman" w:hAnsi="Times New Roman" w:eastAsia="宋体" w:cs="Times New Roman"/>
          <w:b/>
          <w:bCs/>
          <w:color w:val="auto"/>
          <w:sz w:val="24"/>
          <w:lang w:val="en-US" w:eastAsia="zh-CN"/>
        </w:rPr>
      </w:pPr>
      <w:r>
        <w:rPr>
          <w:rFonts w:hint="eastAsia" w:eastAsia="宋体" w:cs="Times New Roman"/>
          <w:b/>
          <w:bCs/>
          <w:color w:val="auto"/>
          <w:sz w:val="24"/>
          <w:lang w:val="en-US" w:eastAsia="zh-CN"/>
        </w:rPr>
        <w:t>3、</w:t>
      </w:r>
      <w:r>
        <w:rPr>
          <w:rFonts w:hint="eastAsia" w:ascii="Times New Roman" w:hAnsi="Times New Roman" w:eastAsia="宋体" w:cs="Times New Roman"/>
          <w:b/>
          <w:bCs/>
          <w:color w:val="auto"/>
          <w:sz w:val="24"/>
          <w:lang w:val="en-US" w:eastAsia="zh-CN"/>
        </w:rPr>
        <w:t>土壤现状调查</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根据查询《中国土壤数据库》（http</w:t>
      </w:r>
      <w:r>
        <w:rPr>
          <w:rFonts w:hint="eastAsia" w:ascii="Times New Roman" w:hAnsi="Times New Roman"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//www.soilinfo.cn/MAP/index.aspx），项目评价范围内主要分布为</w:t>
      </w:r>
      <w:r>
        <w:rPr>
          <w:rFonts w:hint="eastAsia" w:cs="Times New Roman"/>
          <w:b w:val="0"/>
          <w:bCs/>
          <w:color w:val="auto"/>
          <w:sz w:val="24"/>
          <w:szCs w:val="24"/>
          <w:u w:val="none" w:color="auto"/>
          <w:lang w:val="en-US" w:eastAsia="zh-CN"/>
        </w:rPr>
        <w:t>黄壤</w:t>
      </w:r>
      <w:r>
        <w:rPr>
          <w:rFonts w:hint="default" w:ascii="Times New Roman" w:hAnsi="Times New Roman" w:cs="Times New Roman"/>
          <w:b w:val="0"/>
          <w:bCs/>
          <w:color w:val="auto"/>
          <w:sz w:val="24"/>
          <w:szCs w:val="24"/>
          <w:u w:val="none" w:color="auto"/>
          <w:lang w:val="en-US" w:eastAsia="zh-CN"/>
        </w:rPr>
        <w:t>。</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项目所在地场地地层结构较简单，揭露地层为第四系全新统杂填土（Q4</w:t>
      </w:r>
      <w:r>
        <w:rPr>
          <w:rFonts w:hint="default" w:ascii="Times New Roman" w:hAnsi="Times New Roman" w:cs="Times New Roman"/>
          <w:b w:val="0"/>
          <w:bCs/>
          <w:color w:val="auto"/>
          <w:sz w:val="24"/>
          <w:szCs w:val="24"/>
          <w:u w:val="none" w:color="auto"/>
          <w:vertAlign w:val="superscript"/>
          <w:lang w:val="en-US" w:eastAsia="zh-CN"/>
        </w:rPr>
        <w:t>ml</w:t>
      </w:r>
      <w:r>
        <w:rPr>
          <w:rFonts w:hint="default" w:ascii="Times New Roman" w:hAnsi="Times New Roman" w:cs="Times New Roman"/>
          <w:b w:val="0"/>
          <w:bCs/>
          <w:color w:val="auto"/>
          <w:sz w:val="24"/>
          <w:szCs w:val="24"/>
          <w:u w:val="none" w:color="auto"/>
          <w:lang w:val="en-US" w:eastAsia="zh-CN"/>
        </w:rPr>
        <w:t>），其下为第四系全新统冲洪积（Q4</w:t>
      </w:r>
      <w:r>
        <w:rPr>
          <w:rFonts w:hint="default" w:ascii="Times New Roman" w:hAnsi="Times New Roman" w:cs="Times New Roman"/>
          <w:b w:val="0"/>
          <w:bCs/>
          <w:color w:val="auto"/>
          <w:sz w:val="24"/>
          <w:szCs w:val="24"/>
          <w:u w:val="none" w:color="auto"/>
          <w:vertAlign w:val="superscript"/>
          <w:lang w:val="en-US" w:eastAsia="zh-CN"/>
        </w:rPr>
        <w:t>al+pl</w:t>
      </w:r>
      <w:r>
        <w:rPr>
          <w:rFonts w:hint="default" w:ascii="Times New Roman" w:hAnsi="Times New Roman" w:cs="Times New Roman"/>
          <w:b w:val="0"/>
          <w:bCs/>
          <w:color w:val="auto"/>
          <w:sz w:val="24"/>
          <w:szCs w:val="24"/>
          <w:u w:val="none" w:color="auto"/>
          <w:lang w:val="en-US" w:eastAsia="zh-CN"/>
        </w:rPr>
        <w:t>）粉质粘土。</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素填土</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Q4</w:t>
      </w:r>
      <w:r>
        <w:rPr>
          <w:rFonts w:hint="default" w:ascii="Times New Roman" w:hAnsi="Times New Roman" w:cs="Times New Roman"/>
          <w:b w:val="0"/>
          <w:bCs/>
          <w:color w:val="auto"/>
          <w:sz w:val="24"/>
          <w:szCs w:val="24"/>
          <w:u w:val="none" w:color="auto"/>
          <w:vertAlign w:val="superscript"/>
          <w:lang w:val="en-US" w:eastAsia="zh-CN"/>
        </w:rPr>
        <w:t>ml</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：全场分布，灰褐色，松散，成份以粉质土为主，含有机质物，结构疏密不均，属欠固结土。层厚1.0-1.6m。</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粉质粘土</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Q4</w:t>
      </w:r>
      <w:r>
        <w:rPr>
          <w:rFonts w:hint="default" w:ascii="Times New Roman" w:hAnsi="Times New Roman" w:cs="Times New Roman"/>
          <w:b w:val="0"/>
          <w:bCs/>
          <w:color w:val="auto"/>
          <w:sz w:val="24"/>
          <w:szCs w:val="24"/>
          <w:u w:val="none" w:color="auto"/>
          <w:vertAlign w:val="superscript"/>
          <w:lang w:val="en-US" w:eastAsia="zh-CN"/>
        </w:rPr>
        <w:t>al+pl</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：黄褐色、灰黄色，呈可塑状，以粘粒为主，次为粉粒，切面光滑，韧性中等，干强度中等，无摇振反应局部底部含少量粉砂团。层厚1.0</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1.5m.</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粉土</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Q4</w:t>
      </w:r>
      <w:r>
        <w:rPr>
          <w:rFonts w:hint="default" w:ascii="Times New Roman" w:hAnsi="Times New Roman" w:cs="Times New Roman"/>
          <w:b w:val="0"/>
          <w:bCs/>
          <w:color w:val="auto"/>
          <w:sz w:val="24"/>
          <w:szCs w:val="24"/>
          <w:u w:val="none" w:color="auto"/>
          <w:vertAlign w:val="superscript"/>
          <w:lang w:val="en-US" w:eastAsia="zh-CN"/>
        </w:rPr>
        <w:t>al+pl</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：褐灰色，稍密状态，稍湿，以粉粒为主，次为粘粒，切面不光滑，韧性较低，干强度较低，稍有摇振反应。层厚0.90-2.10m.</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粉砂</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Q4</w:t>
      </w:r>
      <w:r>
        <w:rPr>
          <w:rFonts w:hint="default" w:ascii="Times New Roman" w:hAnsi="Times New Roman" w:cs="Times New Roman"/>
          <w:b w:val="0"/>
          <w:bCs/>
          <w:color w:val="auto"/>
          <w:sz w:val="24"/>
          <w:szCs w:val="24"/>
          <w:u w:val="none" w:color="auto"/>
          <w:vertAlign w:val="superscript"/>
          <w:lang w:val="en-US" w:eastAsia="zh-CN"/>
        </w:rPr>
        <w:t>al+pl</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：褐灰色，稍密状态，稍湿，以粉粒为主，次为粘粒，切面不光滑，韧性较低，干强度较低，稍有摇摄反应。层厚0.60</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0.90m.</w:t>
      </w:r>
    </w:p>
    <w:p>
      <w:pPr>
        <w:pStyle w:val="265"/>
        <w:shd w:val="clear" w:color="auto" w:fill="auto"/>
        <w:rPr>
          <w:rFonts w:hint="default" w:ascii="Times New Roman" w:hAnsi="Times New Roman" w:cs="Times New Roman"/>
          <w:b w:val="0"/>
          <w:bCs/>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卵石</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Q4</w:t>
      </w:r>
      <w:r>
        <w:rPr>
          <w:rFonts w:hint="default" w:ascii="Times New Roman" w:hAnsi="Times New Roman" w:cs="Times New Roman"/>
          <w:b w:val="0"/>
          <w:bCs/>
          <w:color w:val="auto"/>
          <w:sz w:val="24"/>
          <w:szCs w:val="24"/>
          <w:u w:val="none" w:color="auto"/>
          <w:vertAlign w:val="superscript"/>
          <w:lang w:val="en-US" w:eastAsia="zh-CN"/>
        </w:rPr>
        <w:t>al+pl</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：灰黄色、黄褐色，卵石成份主要为石英岩、花岗岩、内长岩、灰岩等，含少量漂石，卵石分选性及磨圆度较好，多呈亚圆形，弱</w:t>
      </w:r>
      <w:r>
        <w:rPr>
          <w:rFonts w:hint="eastAsia" w:cs="Times New Roman"/>
          <w:b w:val="0"/>
          <w:bCs/>
          <w:color w:val="auto"/>
          <w:sz w:val="24"/>
          <w:szCs w:val="24"/>
          <w:u w:val="none" w:color="auto"/>
          <w:lang w:val="en-US" w:eastAsia="zh-CN"/>
        </w:rPr>
        <w:t>-</w:t>
      </w:r>
      <w:r>
        <w:rPr>
          <w:rFonts w:hint="default" w:ascii="Times New Roman" w:hAnsi="Times New Roman" w:cs="Times New Roman"/>
          <w:b w:val="0"/>
          <w:bCs/>
          <w:color w:val="auto"/>
          <w:sz w:val="24"/>
          <w:szCs w:val="24"/>
          <w:u w:val="none" w:color="auto"/>
          <w:lang w:val="en-US" w:eastAsia="zh-CN"/>
        </w:rPr>
        <w:t>中等风化。卵粒间空隙填充物以粉砂、砾石为主。根据《成都地区建筑地基基础设计规范》（DB51/T5026-2001），按密实度可划分为松散卵石、稍密卵石、中密卵石及密实卵石四个亚层。</w:t>
      </w:r>
    </w:p>
    <w:p>
      <w:pPr>
        <w:pStyle w:val="265"/>
        <w:rPr>
          <w:rFonts w:hint="eastAsia" w:ascii="Times New Roman" w:hAnsi="Times New Roman" w:cs="Times New Roman"/>
          <w:bCs/>
          <w:color w:val="auto"/>
          <w:sz w:val="24"/>
          <w:szCs w:val="24"/>
          <w:u w:val="none" w:color="auto"/>
          <w:lang w:val="en-US" w:eastAsia="zh-CN"/>
        </w:rPr>
      </w:pPr>
      <w:r>
        <w:rPr>
          <w:rFonts w:hint="eastAsia" w:ascii="Times New Roman" w:hAnsi="Times New Roman" w:cs="Times New Roman"/>
          <w:bCs/>
          <w:color w:val="auto"/>
          <w:sz w:val="24"/>
          <w:szCs w:val="24"/>
          <w:u w:val="none" w:color="auto"/>
          <w:lang w:val="en-US" w:eastAsia="zh-CN"/>
        </w:rPr>
        <w:t>根据土壤环境质量监测结果可知，项目区域土壤环境质量满足《土壤环境质量 建设用地土壤污染风险管控标准》（GB36600-2018）二类用地筛选值标准要求。</w:t>
      </w:r>
    </w:p>
    <w:p>
      <w:pPr>
        <w:pStyle w:val="265"/>
        <w:keepNext w:val="0"/>
        <w:keepLines w:val="0"/>
        <w:pageBreakBefore w:val="0"/>
        <w:widowControl w:val="0"/>
        <w:numPr>
          <w:ilvl w:val="0"/>
          <w:numId w:val="0"/>
        </w:numPr>
        <w:kinsoku/>
        <w:wordWrap/>
        <w:overflowPunct/>
        <w:topLinePunct w:val="0"/>
        <w:autoSpaceDE/>
        <w:autoSpaceDN/>
        <w:bidi w:val="0"/>
        <w:adjustRightInd/>
        <w:snapToGrid/>
        <w:ind w:leftChars="0" w:firstLine="0" w:firstLineChars="0"/>
        <w:jc w:val="center"/>
        <w:textAlignment w:val="auto"/>
        <w:outlineLvl w:val="9"/>
        <w:rPr>
          <w:rFonts w:hint="default" w:cs="Times New Roman"/>
          <w:bCs/>
          <w:color w:val="auto"/>
          <w:sz w:val="24"/>
          <w:szCs w:val="24"/>
          <w:u w:val="none" w:color="auto"/>
          <w:lang w:val="en-US" w:eastAsia="zh-CN"/>
        </w:rPr>
      </w:pPr>
    </w:p>
    <w:p>
      <w:pPr>
        <w:pStyle w:val="265"/>
        <w:keepNext w:val="0"/>
        <w:keepLines w:val="0"/>
        <w:pageBreakBefore w:val="0"/>
        <w:widowControl w:val="0"/>
        <w:shd w:val="clear" w:color="auto" w:fill="auto"/>
        <w:kinsoku/>
        <w:wordWrap/>
        <w:overflowPunct/>
        <w:topLinePunct w:val="0"/>
        <w:autoSpaceDE/>
        <w:autoSpaceDN/>
        <w:bidi w:val="0"/>
        <w:adjustRightInd/>
        <w:snapToGrid/>
        <w:spacing w:after="157" w:afterLines="50" w:line="240" w:lineRule="auto"/>
        <w:ind w:firstLine="0" w:firstLineChars="0"/>
        <w:jc w:val="center"/>
        <w:textAlignment w:val="auto"/>
        <w:outlineLvl w:val="9"/>
        <w:rPr>
          <w:rFonts w:hint="default" w:ascii="Times New Roman" w:hAnsi="Times New Roman" w:cs="Times New Roman"/>
          <w:b/>
          <w:bCs w:val="0"/>
          <w:color w:val="auto"/>
          <w:sz w:val="21"/>
          <w:szCs w:val="21"/>
          <w:u w:val="none" w:color="auto"/>
          <w:vertAlign w:val="baseline"/>
          <w:lang w:val="en-US" w:eastAsia="zh-CN"/>
        </w:rPr>
      </w:pPr>
      <w:r>
        <w:rPr>
          <w:rFonts w:hint="default" w:ascii="Times New Roman" w:hAnsi="Times New Roman" w:cs="Times New Roman"/>
          <w:b/>
          <w:bCs w:val="0"/>
          <w:color w:val="auto"/>
          <w:sz w:val="21"/>
          <w:szCs w:val="21"/>
          <w:u w:val="none" w:color="auto"/>
          <w:vertAlign w:val="baseline"/>
          <w:lang w:val="en-US" w:eastAsia="zh-CN"/>
        </w:rPr>
        <w:t>图</w:t>
      </w:r>
      <w:r>
        <w:rPr>
          <w:rFonts w:hint="eastAsia" w:ascii="Times New Roman" w:hAnsi="Times New Roman" w:cs="Times New Roman"/>
          <w:b/>
          <w:bCs w:val="0"/>
          <w:color w:val="auto"/>
          <w:sz w:val="21"/>
          <w:szCs w:val="21"/>
          <w:u w:val="none" w:color="auto"/>
          <w:vertAlign w:val="baseline"/>
          <w:lang w:val="en-US" w:eastAsia="zh-CN"/>
        </w:rPr>
        <w:t>5</w:t>
      </w:r>
      <w:r>
        <w:rPr>
          <w:rFonts w:hint="eastAsia" w:cs="Times New Roman"/>
          <w:b/>
          <w:bCs w:val="0"/>
          <w:color w:val="auto"/>
          <w:sz w:val="21"/>
          <w:szCs w:val="21"/>
          <w:u w:val="none" w:color="auto"/>
          <w:vertAlign w:val="baseline"/>
          <w:lang w:val="en-US" w:eastAsia="zh-CN"/>
        </w:rPr>
        <w:t>.2</w:t>
      </w:r>
      <w:r>
        <w:rPr>
          <w:rFonts w:hint="default" w:ascii="Times New Roman" w:hAnsi="Times New Roman" w:cs="Times New Roman"/>
          <w:b/>
          <w:bCs w:val="0"/>
          <w:color w:val="auto"/>
          <w:sz w:val="21"/>
          <w:szCs w:val="21"/>
          <w:u w:val="none" w:color="auto"/>
          <w:vertAlign w:val="baseline"/>
          <w:lang w:val="en-US" w:eastAsia="zh-CN"/>
        </w:rPr>
        <w:t>-1</w:t>
      </w:r>
      <w:r>
        <w:rPr>
          <w:rFonts w:hint="eastAsia" w:ascii="Times New Roman" w:hAnsi="Times New Roman" w:cs="Times New Roman"/>
          <w:b/>
          <w:bCs w:val="0"/>
          <w:color w:val="auto"/>
          <w:sz w:val="21"/>
          <w:szCs w:val="21"/>
          <w:u w:val="none" w:color="auto"/>
          <w:vertAlign w:val="baseline"/>
          <w:lang w:val="en-US" w:eastAsia="zh-CN"/>
        </w:rPr>
        <w:t>4</w:t>
      </w:r>
      <w:r>
        <w:rPr>
          <w:rFonts w:hint="eastAsia" w:cs="Times New Roman"/>
          <w:b/>
          <w:bCs w:val="0"/>
          <w:color w:val="auto"/>
          <w:sz w:val="21"/>
          <w:szCs w:val="21"/>
          <w:u w:val="none" w:color="auto"/>
          <w:vertAlign w:val="baseline"/>
          <w:lang w:val="en-US" w:eastAsia="zh-CN"/>
        </w:rPr>
        <w:t xml:space="preserve"> </w:t>
      </w:r>
      <w:r>
        <w:rPr>
          <w:rFonts w:hint="default" w:ascii="Times New Roman" w:hAnsi="Times New Roman" w:cs="Times New Roman"/>
          <w:b/>
          <w:bCs w:val="0"/>
          <w:color w:val="auto"/>
          <w:sz w:val="21"/>
          <w:szCs w:val="21"/>
          <w:u w:val="none" w:color="auto"/>
          <w:vertAlign w:val="baseline"/>
          <w:lang w:val="en-US" w:eastAsia="zh-CN"/>
        </w:rPr>
        <w:t xml:space="preserve"> 区域土壤亚类查询结果</w:t>
      </w:r>
    </w:p>
    <w:p>
      <w:pPr>
        <w:spacing w:line="240" w:lineRule="auto"/>
        <w:ind w:firstLine="0" w:firstLineChars="0"/>
        <w:jc w:val="center"/>
        <w:rPr>
          <w:b/>
          <w:color w:val="auto"/>
          <w:sz w:val="21"/>
          <w:szCs w:val="21"/>
        </w:rPr>
      </w:pPr>
      <w:r>
        <w:rPr>
          <w:rFonts w:hint="default" w:ascii="Times New Roman" w:hAnsi="Times New Roman" w:cs="Times New Roman"/>
          <w:b/>
          <w:color w:val="auto"/>
          <w:sz w:val="21"/>
          <w:szCs w:val="21"/>
        </w:rPr>
        <w:t>表</w:t>
      </w:r>
      <w:r>
        <w:rPr>
          <w:rFonts w:hint="eastAsia" w:cs="Times New Roman"/>
          <w:b/>
          <w:color w:val="auto"/>
          <w:sz w:val="21"/>
          <w:szCs w:val="21"/>
          <w:lang w:val="en-US" w:eastAsia="zh-CN"/>
        </w:rPr>
        <w:t>5</w:t>
      </w:r>
      <w:r>
        <w:rPr>
          <w:rFonts w:hint="default" w:ascii="Times New Roman" w:hAnsi="Times New Roman" w:cs="Times New Roman"/>
          <w:b/>
          <w:color w:val="auto"/>
          <w:sz w:val="21"/>
          <w:szCs w:val="21"/>
        </w:rPr>
        <w:t>.2-</w:t>
      </w:r>
      <w:r>
        <w:rPr>
          <w:rFonts w:hint="eastAsia" w:ascii="Times New Roman" w:hAnsi="Times New Roman" w:cs="Times New Roman"/>
          <w:b/>
          <w:color w:val="auto"/>
          <w:sz w:val="21"/>
          <w:szCs w:val="21"/>
          <w:lang w:val="en-US" w:eastAsia="zh-CN"/>
        </w:rPr>
        <w:t>38</w:t>
      </w:r>
      <w:r>
        <w:rPr>
          <w:rFonts w:hint="eastAsia"/>
          <w:b/>
          <w:color w:val="auto"/>
          <w:sz w:val="21"/>
          <w:szCs w:val="21"/>
          <w:lang w:val="en-US" w:eastAsia="zh-CN"/>
        </w:rPr>
        <w:t xml:space="preserve"> </w:t>
      </w:r>
      <w:r>
        <w:rPr>
          <w:b/>
          <w:color w:val="auto"/>
          <w:sz w:val="21"/>
          <w:szCs w:val="21"/>
        </w:rPr>
        <w:t>土壤理化特性调查表</w:t>
      </w:r>
    </w:p>
    <w:tbl>
      <w:tblPr>
        <w:tblStyle w:val="51"/>
        <w:tblW w:w="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35"/>
        <w:gridCol w:w="2445"/>
        <w:gridCol w:w="582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项目名称</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0"/>
                <w:szCs w:val="20"/>
                <w:lang w:eastAsia="zh-CN"/>
              </w:rPr>
            </w:pPr>
            <w:r>
              <w:rPr>
                <w:rFonts w:hint="eastAsia"/>
                <w:color w:val="auto"/>
                <w:sz w:val="20"/>
                <w:szCs w:val="20"/>
                <w:lang w:eastAsia="zh-CN"/>
              </w:rPr>
              <w:t>绵阳市硕牧云康畜牧养殖有限责任公司 绵阳市硕牧云康畜牧养殖有限责任公司生猪养殖项目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项目地址</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0"/>
                <w:szCs w:val="20"/>
                <w:lang w:eastAsia="zh-CN"/>
              </w:rPr>
            </w:pPr>
            <w:r>
              <w:rPr>
                <w:rFonts w:hint="eastAsia"/>
                <w:color w:val="auto"/>
                <w:sz w:val="20"/>
                <w:szCs w:val="20"/>
              </w:rPr>
              <w:t>四川省</w:t>
            </w:r>
            <w:r>
              <w:rPr>
                <w:rFonts w:hint="eastAsia"/>
                <w:color w:val="auto"/>
                <w:sz w:val="20"/>
                <w:szCs w:val="20"/>
                <w:lang w:eastAsia="zh-CN"/>
              </w:rPr>
              <w:t>绵阳市游仙区盐泉镇通远村（原葫芦村4社）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点号</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1#厂区内东侧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经度</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104.9904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纬度</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 xml:space="preserve">31.4073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时间</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eastAsia="宋体"/>
                <w:color w:val="auto"/>
                <w:sz w:val="20"/>
                <w:szCs w:val="20"/>
                <w:lang w:val="en-US" w:eastAsia="zh-CN"/>
              </w:rPr>
            </w:pPr>
            <w:r>
              <w:rPr>
                <w:rFonts w:hint="eastAsia"/>
                <w:color w:val="auto"/>
                <w:sz w:val="20"/>
                <w:szCs w:val="20"/>
              </w:rPr>
              <w:t>2</w:t>
            </w:r>
            <w:r>
              <w:rPr>
                <w:color w:val="auto"/>
                <w:sz w:val="20"/>
                <w:szCs w:val="20"/>
              </w:rPr>
              <w:t>020.</w:t>
            </w:r>
            <w:r>
              <w:rPr>
                <w:rFonts w:hint="eastAsia"/>
                <w:color w:val="auto"/>
                <w:sz w:val="20"/>
                <w:szCs w:val="20"/>
                <w:lang w:val="en-US" w:eastAsia="zh-CN"/>
              </w:rPr>
              <w:t>12.26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1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层次</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0~0.2m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restart"/>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现场记录</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颜色</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黄色</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结构</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团粒</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质地</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color w:val="auto"/>
                <w:sz w:val="20"/>
                <w:szCs w:val="20"/>
              </w:rPr>
            </w:pPr>
            <w:r>
              <w:rPr>
                <w:rFonts w:hint="eastAsia"/>
                <w:color w:val="auto"/>
                <w:sz w:val="20"/>
                <w:szCs w:val="20"/>
              </w:rPr>
              <w:t>无根系，少量砂砾</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restart"/>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实验室测定</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pH值</w:t>
            </w:r>
            <w:r>
              <w:rPr>
                <w:rFonts w:hint="eastAsia" w:ascii="宋体" w:hAnsi="宋体" w:cs="宋体"/>
                <w:color w:val="auto"/>
                <w:sz w:val="20"/>
                <w:szCs w:val="20"/>
              </w:rPr>
              <w:t>(无量纲)</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 xml:space="preserve">8.30 </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阳离子交换量（cmol</w:t>
            </w:r>
            <w:r>
              <w:rPr>
                <w:rFonts w:hint="eastAsia"/>
                <w:color w:val="auto"/>
                <w:sz w:val="20"/>
                <w:szCs w:val="20"/>
                <w:vertAlign w:val="superscript"/>
              </w:rPr>
              <w:t>+</w:t>
            </w:r>
            <w:r>
              <w:rPr>
                <w:rFonts w:hint="eastAsia"/>
                <w:color w:val="auto"/>
                <w:sz w:val="20"/>
                <w:szCs w:val="20"/>
              </w:rPr>
              <w:t>/kg）</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0"/>
                <w:szCs w:val="20"/>
                <w:lang w:val="en-US" w:eastAsia="zh-CN"/>
              </w:rPr>
            </w:pPr>
            <w:r>
              <w:rPr>
                <w:rFonts w:hint="eastAsia"/>
                <w:color w:val="auto"/>
                <w:sz w:val="20"/>
                <w:szCs w:val="20"/>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氧化还原电位（mV）</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eastAsia" w:eastAsia="宋体"/>
                <w:color w:val="auto"/>
                <w:sz w:val="20"/>
                <w:szCs w:val="20"/>
                <w:lang w:val="en-US" w:eastAsia="zh-CN"/>
              </w:rPr>
            </w:pPr>
            <w:r>
              <w:rPr>
                <w:rFonts w:hint="eastAsia"/>
                <w:color w:val="auto"/>
                <w:sz w:val="20"/>
                <w:szCs w:val="20"/>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饱和导水率（cm/s）</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土壤容重（g/cm</w:t>
            </w:r>
            <w:r>
              <w:rPr>
                <w:rFonts w:hint="eastAsia"/>
                <w:color w:val="auto"/>
                <w:sz w:val="20"/>
                <w:szCs w:val="20"/>
                <w:vertAlign w:val="superscript"/>
              </w:rPr>
              <w:t>3</w:t>
            </w:r>
            <w:r>
              <w:rPr>
                <w:rFonts w:hint="eastAsia"/>
                <w:color w:val="auto"/>
                <w:sz w:val="20"/>
                <w:szCs w:val="20"/>
              </w:rPr>
              <w:t>）</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rPr>
              <w:t>孔隙度（%）</w:t>
            </w:r>
          </w:p>
        </w:tc>
        <w:tc>
          <w:tcPr>
            <w:tcW w:w="5823"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color w:val="auto"/>
                <w:sz w:val="20"/>
                <w:szCs w:val="20"/>
              </w:rPr>
            </w:pPr>
            <w:r>
              <w:rPr>
                <w:rFonts w:hint="eastAsia"/>
                <w:color w:val="auto"/>
                <w:sz w:val="20"/>
                <w:szCs w:val="20"/>
                <w:lang w:val="en-US" w:eastAsia="zh-CN"/>
              </w:rPr>
              <w:t>/</w:t>
            </w:r>
          </w:p>
        </w:tc>
      </w:tr>
    </w:tbl>
    <w:p>
      <w:pPr>
        <w:spacing w:before="120" w:beforeLines="50"/>
        <w:ind w:firstLine="480"/>
        <w:rPr>
          <w:color w:val="auto"/>
        </w:rPr>
      </w:pPr>
      <w:r>
        <w:rPr>
          <w:color w:val="auto"/>
        </w:rPr>
        <w:t>5</w:t>
      </w:r>
      <w:r>
        <w:rPr>
          <w:rFonts w:hint="eastAsia"/>
          <w:color w:val="auto"/>
        </w:rPr>
        <w:t>、土壤现状</w:t>
      </w:r>
      <w:r>
        <w:rPr>
          <w:color w:val="auto"/>
        </w:rPr>
        <w:t>监测</w:t>
      </w:r>
    </w:p>
    <w:p>
      <w:pPr>
        <w:ind w:firstLine="480"/>
        <w:rPr>
          <w:rFonts w:hint="eastAsia"/>
          <w:color w:val="auto"/>
        </w:rPr>
      </w:pPr>
      <w:r>
        <w:rPr>
          <w:rFonts w:hint="eastAsia"/>
          <w:color w:val="auto"/>
        </w:rPr>
        <w:t>根据监测，项目所在区域各点位各项指标均满足《土壤环境质量 农用地土壤污染风险管控标准（试行）》（GB 15618-2018）中表1农用地土壤污染风险筛选值及表3中农用地土壤污染风险管制值要求。</w:t>
      </w:r>
    </w:p>
    <w:p>
      <w:pPr>
        <w:pStyle w:val="9"/>
        <w:rPr>
          <w:rFonts w:hint="default"/>
          <w:color w:val="auto"/>
          <w:lang w:val="en-US" w:eastAsia="zh-CN"/>
        </w:rPr>
      </w:pPr>
      <w:r>
        <w:rPr>
          <w:rFonts w:hint="default"/>
          <w:color w:val="auto"/>
          <w:lang w:val="en-US" w:eastAsia="zh-CN"/>
        </w:rPr>
        <w:t>土壤污染防治措施及影响分析</w:t>
      </w:r>
    </w:p>
    <w:p>
      <w:pPr>
        <w:pStyle w:val="9"/>
        <w:numPr>
          <w:ilvl w:val="0"/>
          <w:numId w:val="0"/>
        </w:numPr>
        <w:ind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本项目实施后，正常情况，废水处理达标及落实分区防渗措施下，对区域土壤无明显影响。非正常情况下，污水收集池及沼气池废水泄漏或漫流，下渗进入区域土壤造成污染，或者污水处理系统处理不达标，造成消纳区土壤受到污染。</w:t>
      </w:r>
    </w:p>
    <w:p>
      <w:pPr>
        <w:pStyle w:val="9"/>
        <w:numPr>
          <w:ilvl w:val="0"/>
          <w:numId w:val="22"/>
        </w:numPr>
        <w:ind w:left="0"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地面漫流</w:t>
      </w:r>
    </w:p>
    <w:p>
      <w:pPr>
        <w:pStyle w:val="9"/>
        <w:numPr>
          <w:ilvl w:val="0"/>
          <w:numId w:val="0"/>
        </w:numPr>
        <w:ind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 xml:space="preserve">对于地上设施，在事故情况和降雨情况下产生的废水会发生地面漫流，进一步污染土壤。本项目涉及液态化学品较少，主要为戊二醛（消毒剂）等，储存量极少，均采取密闭桶装、罐装的方式暂存，不会直接接触地面。各种液态化学品均是分区存放，采取具有收集功能的托盘方式。本项目涉及的污废水主要集中于猪舍集污池、污废水治理区域（收集池、黑膜沼气池、沼液暂存池），均设置有防雨措施，周边设置有雨水导流沟，同时要求根据地势，在雨水出口设置拦截措施，保证可能受污染的雨排水不外排。全面防控事故废水和可能受污染的雨水发生地面漫流，进入土壤。在落实相关防控措施的情况下，物料或污染物的地面漫流对土壤影响较小。 </w:t>
      </w:r>
    </w:p>
    <w:p>
      <w:pPr>
        <w:pStyle w:val="9"/>
        <w:numPr>
          <w:ilvl w:val="0"/>
          <w:numId w:val="22"/>
        </w:numPr>
        <w:ind w:left="0"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垂直入渗</w:t>
      </w:r>
    </w:p>
    <w:p>
      <w:pPr>
        <w:pStyle w:val="9"/>
        <w:numPr>
          <w:ilvl w:val="0"/>
          <w:numId w:val="0"/>
        </w:numPr>
        <w:ind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对于地下或半地下工程构筑物，在事故情况下，会造成物料、污染物等的泄露，通过垂直入渗进一步污染土壤。本项目参照《环境影响评价技术导则 地下水环境》（HJ 610-2016）中的要求，根据场地特性和项目特征，制定分区防渗。对于地下及半地下工程构筑物采取重点防渗，对于可能发生物料和污染物泄漏的地上构筑物采取一般防渗，其他区域按建筑要求做地面处理。防渗材料应与物料或污染物相兼容，其渗透系数应小于等于1.0×10</w:t>
      </w:r>
      <w:r>
        <w:rPr>
          <w:rFonts w:hint="eastAsia" w:ascii="Times New Roman" w:hAnsi="Times New Roman" w:eastAsia="宋体" w:cs="Times New Roman"/>
          <w:b w:val="0"/>
          <w:bCs/>
          <w:color w:val="auto"/>
          <w:sz w:val="24"/>
          <w:szCs w:val="24"/>
          <w:u w:val="none" w:color="auto"/>
          <w:vertAlign w:val="superscript"/>
          <w:lang w:val="en-US" w:eastAsia="zh-CN"/>
        </w:rPr>
        <w:t>-7</w:t>
      </w:r>
      <w:r>
        <w:rPr>
          <w:rFonts w:hint="eastAsia" w:ascii="Times New Roman" w:hAnsi="Times New Roman" w:eastAsia="宋体" w:cs="Times New Roman"/>
          <w:b w:val="0"/>
          <w:bCs/>
          <w:color w:val="auto"/>
          <w:sz w:val="24"/>
          <w:szCs w:val="24"/>
          <w:u w:val="none" w:color="auto"/>
          <w:lang w:val="en-US" w:eastAsia="zh-CN"/>
        </w:rPr>
        <w:t>cm/s。在全面落实分区防渗措施的情况下，物料或污染物的垂直入渗对土壤影响较小。</w:t>
      </w:r>
    </w:p>
    <w:p>
      <w:pPr>
        <w:pStyle w:val="9"/>
        <w:numPr>
          <w:ilvl w:val="0"/>
          <w:numId w:val="22"/>
        </w:numPr>
        <w:ind w:left="0"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大气沉降</w:t>
      </w:r>
    </w:p>
    <w:p>
      <w:pPr>
        <w:pStyle w:val="9"/>
        <w:numPr>
          <w:ilvl w:val="0"/>
          <w:numId w:val="0"/>
        </w:numPr>
        <w:ind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本项目废气类型较为简单，主要为恶臭，污染因子主要包括氨气、硫化氢气体，属于轻质气体，主要是随着空气扩散，沉积到地表的量极少。加之废气处理设施的净化作用，大部分废气污染因子被去除，在大气扩散的作用下，沉积到土壤表面的极少，因此通过大气沉降，引起的土壤环境影响作用甚微。</w:t>
      </w:r>
    </w:p>
    <w:p>
      <w:pPr>
        <w:pStyle w:val="9"/>
        <w:numPr>
          <w:ilvl w:val="0"/>
          <w:numId w:val="22"/>
        </w:numPr>
        <w:ind w:left="0" w:leftChars="0" w:firstLine="480" w:firstLineChars="200"/>
        <w:rPr>
          <w:rFonts w:hint="eastAsia" w:ascii="Times New Roman" w:hAnsi="Times New Roman" w:eastAsia="宋体" w:cs="Times New Roman"/>
          <w:b w:val="0"/>
          <w:bCs/>
          <w:color w:val="auto"/>
          <w:sz w:val="24"/>
          <w:szCs w:val="24"/>
          <w:u w:val="none" w:color="auto"/>
          <w:lang w:val="en-US" w:eastAsia="zh-CN"/>
        </w:rPr>
      </w:pPr>
      <w:r>
        <w:rPr>
          <w:rFonts w:hint="eastAsia" w:ascii="Times New Roman" w:hAnsi="Times New Roman" w:eastAsia="宋体" w:cs="Times New Roman"/>
          <w:b w:val="0"/>
          <w:bCs/>
          <w:color w:val="auto"/>
          <w:sz w:val="24"/>
          <w:szCs w:val="24"/>
          <w:u w:val="none" w:color="auto"/>
          <w:lang w:val="en-US" w:eastAsia="zh-CN"/>
        </w:rPr>
        <w:t>农肥消纳过程土壤环境影响分析</w:t>
      </w:r>
    </w:p>
    <w:p>
      <w:pPr>
        <w:ind w:firstLine="480"/>
        <w:rPr>
          <w:color w:val="auto"/>
        </w:rPr>
      </w:pPr>
      <w:r>
        <w:rPr>
          <w:rFonts w:hint="eastAsia"/>
          <w:color w:val="auto"/>
        </w:rPr>
        <w:t>本项目沼液通过附近农田农肥进行消纳，沼液主要污染物类型为有机物、氮磷指标。部分养殖场饲料使用不规范时，可能在沼液中存在微量的重金属类物质。</w:t>
      </w:r>
    </w:p>
    <w:p>
      <w:pPr>
        <w:ind w:firstLine="480"/>
        <w:rPr>
          <w:rFonts w:hint="eastAsia"/>
          <w:color w:val="auto"/>
        </w:rPr>
      </w:pPr>
      <w:r>
        <w:rPr>
          <w:rFonts w:hint="default" w:ascii="Times New Roman" w:hAnsi="Times New Roman" w:cs="Times New Roman"/>
          <w:color w:val="auto"/>
        </w:rPr>
        <w:t>本项目粪污处理工艺采用《畜禽养殖业污染治理工程技术规范》（HJ497-2009）中模式Ⅱ工艺（模式Ⅱ适用于能源需求不大</w:t>
      </w:r>
      <w:r>
        <w:rPr>
          <w:rFonts w:hint="eastAsia"/>
          <w:color w:val="auto"/>
        </w:rPr>
        <w:t>，主要以进行污染物无害化处理、降低有机物浓度、减少沼液和沼渣消纳所需配套的土地面积为目的，且养殖场周围具有足够土地面积全部消纳低浓度沼液，并且有一定的土地轮作面积的情况），根据土壤营养平衡，结合《畜禽养殖业污染治理工程技术规范》（HJ497-2009）中的要求，本项目沼液全部用于农田施肥，再结合《畜禽粪污土地承载力测算技术指南》和《四川省畜禽养殖污染防治技术指南（试行）》计算方法，约需</w:t>
      </w:r>
      <w:r>
        <w:rPr>
          <w:rFonts w:hint="eastAsia"/>
          <w:color w:val="auto"/>
          <w:lang w:val="en-US" w:eastAsia="zh-CN"/>
        </w:rPr>
        <w:t>2700</w:t>
      </w:r>
      <w:r>
        <w:rPr>
          <w:rFonts w:hint="eastAsia"/>
          <w:color w:val="auto"/>
        </w:rPr>
        <w:t>亩土地便可通过农肥方式，消纳本项目沼液；公司负责将沼液输送管网铺设至田间地头，然后根据施肥需求定期派出管理和技术人员指导农户合理施用沼液。</w:t>
      </w:r>
    </w:p>
    <w:p>
      <w:pPr>
        <w:ind w:firstLine="480"/>
        <w:rPr>
          <w:rFonts w:hint="eastAsia"/>
          <w:color w:val="auto"/>
        </w:rPr>
      </w:pPr>
      <w:r>
        <w:rPr>
          <w:rFonts w:hint="eastAsia"/>
          <w:color w:val="auto"/>
        </w:rPr>
        <w:t>采取以上方式后，沼液中的有机物通过农肥利用过程不断进行了分解，还是农作物营养来源，而氮磷则是作物不可缺少的营养元素，沼液进入农田，代替了传统化学肥料的使用，总体上是缓解了化学肥料带来的土壤影响。</w:t>
      </w:r>
    </w:p>
    <w:p>
      <w:pPr>
        <w:rPr>
          <w:rFonts w:hint="eastAsia"/>
          <w:color w:val="auto"/>
          <w:lang w:val="en-US" w:eastAsia="zh-CN"/>
        </w:rPr>
      </w:pPr>
      <w:r>
        <w:rPr>
          <w:rFonts w:hint="eastAsia"/>
          <w:color w:val="auto"/>
        </w:rPr>
        <w:t>环评建议按照农作物生长需要严格控制施用量，避免盲目追求肥效，过量施肥，超过土壤承载能力；同时建议企业合理搭配饲料，避免使用含有较高金属类物质的饲料，减少一些金属类物质在沼液中的累积，从而降低对区域土壤环境的影响。</w:t>
      </w:r>
    </w:p>
    <w:p>
      <w:pPr>
        <w:pStyle w:val="9"/>
        <w:rPr>
          <w:rFonts w:hint="eastAsia"/>
          <w:color w:val="auto"/>
          <w:lang w:val="en-US" w:eastAsia="zh-CN"/>
        </w:rPr>
      </w:pPr>
      <w:r>
        <w:rPr>
          <w:rFonts w:hint="eastAsia"/>
          <w:color w:val="auto"/>
          <w:lang w:val="en-US" w:eastAsia="zh-CN"/>
        </w:rPr>
        <w:t>土壤环境影响分析结论</w:t>
      </w:r>
    </w:p>
    <w:p>
      <w:pPr>
        <w:pStyle w:val="265"/>
        <w:rPr>
          <w:rFonts w:hint="eastAsia" w:ascii="Times New Roman" w:hAnsi="Times New Roman" w:cs="Times New Roman"/>
          <w:b w:val="0"/>
          <w:bCs/>
          <w:color w:val="auto"/>
          <w:sz w:val="24"/>
          <w:szCs w:val="24"/>
          <w:u w:val="none" w:color="auto"/>
          <w:lang w:val="en-US" w:eastAsia="zh-CN"/>
        </w:rPr>
      </w:pPr>
      <w:r>
        <w:rPr>
          <w:rFonts w:hint="eastAsia" w:ascii="Times New Roman" w:hAnsi="Times New Roman" w:cs="Times New Roman"/>
          <w:b w:val="0"/>
          <w:bCs/>
          <w:color w:val="auto"/>
          <w:sz w:val="24"/>
          <w:szCs w:val="24"/>
          <w:u w:val="none" w:color="auto"/>
          <w:lang w:val="en-US" w:eastAsia="zh-CN"/>
        </w:rPr>
        <w:t>综上，项目所在区域土壤环境质量满足《土壤环境质量 建设用地土壤污染风险管控标准》（GB36600-2018）二类用地筛选值标准要求。项目对土壤的污染途径为主要污染途径各类</w:t>
      </w:r>
      <w:r>
        <w:rPr>
          <w:rFonts w:hint="eastAsia" w:cs="Times New Roman"/>
          <w:b w:val="0"/>
          <w:bCs/>
          <w:color w:val="auto"/>
          <w:sz w:val="24"/>
          <w:szCs w:val="24"/>
          <w:u w:val="none" w:color="auto"/>
          <w:lang w:val="en-US" w:eastAsia="zh-CN"/>
        </w:rPr>
        <w:t>液体</w:t>
      </w:r>
      <w:r>
        <w:rPr>
          <w:rFonts w:hint="eastAsia" w:ascii="Times New Roman" w:hAnsi="Times New Roman" w:cs="Times New Roman"/>
          <w:b w:val="0"/>
          <w:bCs/>
          <w:color w:val="auto"/>
          <w:sz w:val="24"/>
          <w:szCs w:val="24"/>
          <w:u w:val="none" w:color="auto"/>
          <w:lang w:val="en-US" w:eastAsia="zh-CN"/>
        </w:rPr>
        <w:t>发生泄漏，导致土壤污染。项目对</w:t>
      </w:r>
      <w:r>
        <w:rPr>
          <w:rFonts w:hint="eastAsia" w:cs="Times New Roman"/>
          <w:b w:val="0"/>
          <w:bCs/>
          <w:color w:val="auto"/>
          <w:sz w:val="24"/>
          <w:szCs w:val="24"/>
          <w:u w:val="none" w:color="auto"/>
          <w:lang w:val="en-US" w:eastAsia="zh-CN"/>
        </w:rPr>
        <w:t>拟建设施</w:t>
      </w:r>
      <w:r>
        <w:rPr>
          <w:rFonts w:hint="eastAsia" w:ascii="Times New Roman" w:hAnsi="Times New Roman" w:cs="Times New Roman"/>
          <w:b w:val="0"/>
          <w:bCs/>
          <w:color w:val="auto"/>
          <w:sz w:val="24"/>
          <w:szCs w:val="24"/>
          <w:u w:val="none" w:color="auto"/>
          <w:lang w:val="en-US" w:eastAsia="zh-CN"/>
        </w:rPr>
        <w:t>进行了防渗处理，能够有效避免土壤污染，不会对区域土壤造成明显影响。</w:t>
      </w:r>
    </w:p>
    <w:p>
      <w:pPr>
        <w:pStyle w:val="9"/>
        <w:spacing w:before="120" w:beforeLines="50"/>
        <w:rPr>
          <w:color w:val="auto"/>
        </w:rPr>
      </w:pPr>
      <w:r>
        <w:rPr>
          <w:color w:val="auto"/>
        </w:rPr>
        <w:t>土壤环境</w:t>
      </w:r>
      <w:r>
        <w:rPr>
          <w:rFonts w:hint="eastAsia"/>
          <w:color w:val="auto"/>
        </w:rPr>
        <w:t>影响分析</w:t>
      </w:r>
    </w:p>
    <w:p>
      <w:pPr>
        <w:ind w:firstLine="480"/>
        <w:rPr>
          <w:color w:val="auto"/>
        </w:rPr>
      </w:pPr>
      <w:r>
        <w:rPr>
          <w:rFonts w:hint="eastAsia"/>
          <w:color w:val="auto"/>
        </w:rPr>
        <w:t>（</w:t>
      </w:r>
      <w:r>
        <w:rPr>
          <w:color w:val="auto"/>
        </w:rPr>
        <w:t>1</w:t>
      </w:r>
      <w:r>
        <w:rPr>
          <w:rFonts w:hint="eastAsia"/>
          <w:color w:val="auto"/>
        </w:rPr>
        <w:t>）土壤环境影响分析与评价</w:t>
      </w:r>
    </w:p>
    <w:p>
      <w:pPr>
        <w:ind w:firstLine="480"/>
        <w:rPr>
          <w:color w:val="auto"/>
        </w:rPr>
      </w:pPr>
      <w:r>
        <w:rPr>
          <w:rFonts w:hint="eastAsia"/>
          <w:color w:val="auto"/>
        </w:rPr>
        <w:t>①地面漫流</w:t>
      </w:r>
    </w:p>
    <w:p>
      <w:pPr>
        <w:ind w:firstLine="480"/>
        <w:rPr>
          <w:color w:val="auto"/>
        </w:rPr>
      </w:pPr>
      <w:r>
        <w:rPr>
          <w:rFonts w:hint="eastAsia"/>
          <w:color w:val="auto"/>
        </w:rPr>
        <w:t xml:space="preserve">对于地上设施，在事故情况和降雨情况下产生的废水会发生地面漫流，进一步污染土壤。本项目涉及液态化学品较少，主要为戊二醛（消毒剂）等，储存量极少，均采取密闭桶装、罐装的方式暂存，不会直接接触地面。各种液态化学品均是分区存放，采取具有收集功能的托盘方式。本项目涉及的污废水主要集中于猪舍漏缝贮存池、污废水治理区域（收集池、黑膜沼气池、沼液暂存池），均设置有防雨措施，周边设置有雨水导流沟，同时要求根据地势，在雨水出口设置拦截措施，保证可能受污染的雨排水不外排。全面防控事故废水和可能受污染的雨水发生地面漫流，进入土壤。在落实相关防控措施的情况下，物料或污染物的地面漫流对土壤影响较小。 </w:t>
      </w:r>
    </w:p>
    <w:p>
      <w:pPr>
        <w:ind w:firstLine="480"/>
        <w:rPr>
          <w:color w:val="auto"/>
        </w:rPr>
      </w:pPr>
      <w:r>
        <w:rPr>
          <w:rFonts w:hint="eastAsia"/>
          <w:color w:val="auto"/>
        </w:rPr>
        <w:t>②垂直入渗</w:t>
      </w:r>
    </w:p>
    <w:p>
      <w:pPr>
        <w:ind w:firstLine="480"/>
        <w:rPr>
          <w:color w:val="auto"/>
        </w:rPr>
      </w:pPr>
      <w:r>
        <w:rPr>
          <w:rFonts w:hint="eastAsia"/>
          <w:color w:val="auto"/>
        </w:rPr>
        <w:t>对于地下或半地下工程构筑物，在事故情况下，会造成物料、污染物等的泄露，通过垂直入渗进一步污染土壤。本项目参照《环境影响评价技术导则 地下水环境》（</w:t>
      </w:r>
      <w:r>
        <w:rPr>
          <w:color w:val="auto"/>
        </w:rPr>
        <w:t>HJ 610-2016</w:t>
      </w:r>
      <w:r>
        <w:rPr>
          <w:rFonts w:hint="eastAsia"/>
          <w:color w:val="auto"/>
        </w:rPr>
        <w:t>）中的要求，根据场地特性和项目特征，制定分区防渗。对于地下及半地下工程构筑物采取重点防渗，对于可能发生物料和污染物泄漏的地上构筑物采取一般防渗，其他区域按建筑要求做地面处理。防渗材料应与物料或污染物相兼容，其渗透系数应小于等于1.0×10</w:t>
      </w:r>
      <w:r>
        <w:rPr>
          <w:rFonts w:hint="eastAsia"/>
          <w:color w:val="auto"/>
          <w:vertAlign w:val="superscript"/>
        </w:rPr>
        <w:t>-7</w:t>
      </w:r>
      <w:r>
        <w:rPr>
          <w:rFonts w:hint="eastAsia"/>
          <w:color w:val="auto"/>
        </w:rPr>
        <w:t>cm/s。在全面落实分区防渗措施的情况下，物料或污染物的垂直入渗对土壤影响较小。</w:t>
      </w:r>
    </w:p>
    <w:p>
      <w:pPr>
        <w:ind w:firstLine="480"/>
        <w:rPr>
          <w:rFonts w:hint="eastAsia"/>
          <w:color w:val="auto"/>
        </w:rPr>
      </w:pPr>
      <w:r>
        <w:rPr>
          <w:rFonts w:hint="eastAsia"/>
          <w:color w:val="auto"/>
        </w:rPr>
        <w:t>③大气沉降</w:t>
      </w:r>
    </w:p>
    <w:p>
      <w:pPr>
        <w:ind w:firstLine="480"/>
        <w:rPr>
          <w:color w:val="auto"/>
        </w:rPr>
      </w:pPr>
      <w:r>
        <w:rPr>
          <w:rFonts w:hint="eastAsia"/>
          <w:color w:val="auto"/>
        </w:rPr>
        <w:t>本项目废气类型较为简单，主要为恶臭，污染因子主要包括氨气、硫化氢气体，属于轻质气体，主要是随着空气扩散，沉积到地表的量极少。加之废气分质处理设施的净化作用，大部分废气污染因子被去除，在大气扩散的作用下，沉积到土壤表面的极少，因此通过大气沉降，引起的土壤环境影响作用甚微。</w:t>
      </w:r>
    </w:p>
    <w:p>
      <w:pPr>
        <w:pStyle w:val="9"/>
        <w:spacing w:before="120" w:beforeLines="50"/>
        <w:rPr>
          <w:color w:val="auto"/>
        </w:rPr>
      </w:pPr>
      <w:r>
        <w:rPr>
          <w:rFonts w:hint="eastAsia"/>
          <w:color w:val="auto"/>
        </w:rPr>
        <w:t>农肥消纳过程土壤环境影响分析</w:t>
      </w:r>
    </w:p>
    <w:p>
      <w:pPr>
        <w:ind w:firstLine="480"/>
        <w:rPr>
          <w:color w:val="auto"/>
        </w:rPr>
      </w:pPr>
      <w:r>
        <w:rPr>
          <w:rFonts w:hint="eastAsia"/>
          <w:color w:val="auto"/>
        </w:rPr>
        <w:t>本项目沼液通过附近农田农肥进行消纳，沼液主要污染物类型为有机物、氮磷指标。部分养殖场饲料使用不规范时，可能在沼液中存在微量的重金属类物质。</w:t>
      </w:r>
    </w:p>
    <w:p>
      <w:pPr>
        <w:ind w:firstLine="480"/>
        <w:rPr>
          <w:rFonts w:hint="eastAsia"/>
          <w:color w:val="auto"/>
        </w:rPr>
      </w:pPr>
      <w:r>
        <w:rPr>
          <w:rFonts w:hint="eastAsia"/>
          <w:color w:val="auto"/>
        </w:rPr>
        <w:t>本项目粪污处理工艺采用《畜禽养殖业污染治理工程技术规范》（HJ497-2009）中模式Ⅱ工艺（模式Ⅱ适用于能源需求不大，主要以进行污染物无害化处理、降低有机物浓度、减少沼液和沼渣消纳所需配套的土地面积为目的，且养殖场周围具有足够土地面积全部消纳低浓度沼液，并且有一定的土地轮作面积的情况），根据土壤营养平衡，结合《畜禽养殖业污染治理工程技术规范》（HJ497-2009）中的要求，本项目沼液全部用于农田施肥，再结合《畜禽粪污土地承载力测算技术指南》和《四川省畜禽养殖污染防治技术指南（试行）》计算方法，约需</w:t>
      </w:r>
      <w:r>
        <w:rPr>
          <w:color w:val="auto"/>
        </w:rPr>
        <w:t>2000</w:t>
      </w:r>
      <w:r>
        <w:rPr>
          <w:rFonts w:hint="eastAsia"/>
          <w:color w:val="auto"/>
        </w:rPr>
        <w:t>亩土地便可通过农肥方式，消纳本项目沼液；公司负责无偿将沼液输送管网铺设至田间地头，然后根据施肥需求定期派出管理和技术人员指导农户合理施用沼液。</w:t>
      </w:r>
    </w:p>
    <w:p>
      <w:pPr>
        <w:ind w:firstLine="480"/>
        <w:rPr>
          <w:rFonts w:hint="eastAsia"/>
          <w:color w:val="auto"/>
        </w:rPr>
      </w:pPr>
      <w:r>
        <w:rPr>
          <w:rFonts w:hint="eastAsia"/>
          <w:color w:val="auto"/>
        </w:rPr>
        <w:t>采取以上方式后，沼液中的有机物通过农肥利用过程不断进行了分解，还是农作物营养来源，而氮磷则是作物不可缺少的营养元素，沼液进入农田，代替了传统化学肥料的使用，总体上是缓解了化学肥料带来的土壤影响。</w:t>
      </w:r>
    </w:p>
    <w:p>
      <w:pPr>
        <w:ind w:firstLine="480"/>
        <w:rPr>
          <w:color w:val="auto"/>
        </w:rPr>
      </w:pPr>
      <w:r>
        <w:rPr>
          <w:rFonts w:hint="eastAsia"/>
          <w:color w:val="auto"/>
        </w:rPr>
        <w:t>环评建议按照农作物生长需要严格控制施用量，避免盲目追求肥效，过量施肥，超过土壤承载能力；同时建议企业合理搭配饲料，避免使用含有较高金属类物质的饲料，减少一些金属类物质在沼液中的累积，从而降低对区域土壤环境的影响。</w:t>
      </w:r>
    </w:p>
    <w:p>
      <w:pPr>
        <w:pStyle w:val="8"/>
        <w:tabs>
          <w:tab w:val="clear" w:pos="0"/>
        </w:tabs>
        <w:rPr>
          <w:rFonts w:hint="eastAsia" w:eastAsia="黑体"/>
          <w:color w:val="auto"/>
          <w:sz w:val="28"/>
          <w:szCs w:val="28"/>
        </w:rPr>
      </w:pPr>
      <w:r>
        <w:rPr>
          <w:rFonts w:hint="eastAsia" w:eastAsia="黑体"/>
          <w:color w:val="auto"/>
          <w:sz w:val="28"/>
          <w:szCs w:val="28"/>
        </w:rPr>
        <w:t>生态环境影响分析</w:t>
      </w:r>
    </w:p>
    <w:p>
      <w:pPr>
        <w:pStyle w:val="9"/>
        <w:spacing w:before="120" w:beforeLines="50"/>
        <w:rPr>
          <w:rFonts w:hint="eastAsia"/>
          <w:color w:val="auto"/>
        </w:rPr>
      </w:pPr>
      <w:r>
        <w:rPr>
          <w:rFonts w:hint="eastAsia"/>
          <w:color w:val="auto"/>
        </w:rPr>
        <w:t>生态环境影响分析</w:t>
      </w:r>
    </w:p>
    <w:p>
      <w:pPr>
        <w:pStyle w:val="16"/>
        <w:ind w:firstLine="480"/>
        <w:rPr>
          <w:rFonts w:hint="eastAsia" w:ascii="Times New Roman" w:hAnsi="Times New Roman"/>
          <w:color w:val="auto"/>
        </w:rPr>
      </w:pPr>
      <w:r>
        <w:rPr>
          <w:rFonts w:hint="eastAsia" w:ascii="Times New Roman" w:hAnsi="Times New Roman"/>
          <w:color w:val="auto"/>
        </w:rPr>
        <w:t>项目废水包括生活污水和生产废水，全部进入黑膜沼气池，厌氧发酵后用于周边农田施肥。企业在严格按照操作规程进行的情况下，不会对区域的水生生态环境造成严重影响。项目固废处理处置率达100%，不会积压或占用大部分土地，不对区域的景观生态环境造成严重影响。</w:t>
      </w:r>
    </w:p>
    <w:p>
      <w:pPr>
        <w:pStyle w:val="16"/>
        <w:ind w:firstLine="482"/>
        <w:rPr>
          <w:rFonts w:hint="eastAsia" w:ascii="Times New Roman" w:hAnsi="Times New Roman"/>
          <w:b/>
          <w:color w:val="auto"/>
        </w:rPr>
      </w:pPr>
      <w:r>
        <w:rPr>
          <w:rFonts w:hint="eastAsia" w:ascii="Times New Roman" w:hAnsi="Times New Roman"/>
          <w:b/>
          <w:color w:val="auto"/>
        </w:rPr>
        <w:t>1、对陆生植物的影响</w:t>
      </w:r>
    </w:p>
    <w:p>
      <w:pPr>
        <w:pStyle w:val="16"/>
        <w:ind w:firstLine="480"/>
        <w:rPr>
          <w:rFonts w:hint="eastAsia" w:ascii="Times New Roman" w:hAnsi="Times New Roman"/>
          <w:color w:val="auto"/>
        </w:rPr>
      </w:pPr>
      <w:r>
        <w:rPr>
          <w:rFonts w:hint="eastAsia" w:ascii="Times New Roman" w:hAnsi="Times New Roman"/>
          <w:color w:val="auto"/>
        </w:rPr>
        <w:t>本项目所用土地主要为耕地和</w:t>
      </w:r>
      <w:r>
        <w:rPr>
          <w:rFonts w:hint="eastAsia" w:ascii="Times New Roman" w:hAnsi="Times New Roman"/>
          <w:color w:val="auto"/>
          <w:lang w:val="en-US" w:eastAsia="zh-CN"/>
        </w:rPr>
        <w:t>园地</w:t>
      </w:r>
      <w:r>
        <w:rPr>
          <w:rFonts w:hint="eastAsia" w:ascii="Times New Roman" w:hAnsi="Times New Roman"/>
          <w:color w:val="auto"/>
        </w:rPr>
        <w:t>，周围用地情况主要为</w:t>
      </w:r>
      <w:r>
        <w:rPr>
          <w:rFonts w:hint="eastAsia" w:ascii="Times New Roman" w:hAnsi="Times New Roman"/>
          <w:color w:val="auto"/>
          <w:lang w:val="en-US" w:eastAsia="zh-CN"/>
        </w:rPr>
        <w:t>农田和</w:t>
      </w:r>
      <w:r>
        <w:rPr>
          <w:rFonts w:hint="eastAsia" w:ascii="Times New Roman" w:hAnsi="Times New Roman"/>
          <w:color w:val="auto"/>
        </w:rPr>
        <w:t>林地，拟建工程将保留场区内的部分植物，还拟通过对场区周围绿化，设计绿化面积约</w:t>
      </w:r>
      <w:r>
        <w:rPr>
          <w:rFonts w:ascii="Times New Roman" w:hAnsi="Times New Roman"/>
          <w:color w:val="auto"/>
        </w:rPr>
        <w:t>500</w:t>
      </w:r>
      <w:r>
        <w:rPr>
          <w:rFonts w:hint="eastAsia" w:ascii="Times New Roman" w:hAnsi="Times New Roman"/>
          <w:color w:val="auto"/>
        </w:rPr>
        <w:t>0m</w:t>
      </w:r>
      <w:r>
        <w:rPr>
          <w:rFonts w:hint="eastAsia" w:ascii="Times New Roman" w:hAnsi="Times New Roman"/>
          <w:color w:val="auto"/>
          <w:vertAlign w:val="superscript"/>
        </w:rPr>
        <w:t>2</w:t>
      </w:r>
      <w:r>
        <w:rPr>
          <w:rFonts w:hint="eastAsia" w:ascii="Times New Roman" w:hAnsi="Times New Roman"/>
          <w:color w:val="auto"/>
        </w:rPr>
        <w:t>，因此，在一定程度上丰富了该区域植物资源，总体上来说，建成后对植被、植物种类和群落分布的基本组成和性质不会发生变化。</w:t>
      </w:r>
    </w:p>
    <w:p>
      <w:pPr>
        <w:pStyle w:val="16"/>
        <w:ind w:firstLine="482"/>
        <w:rPr>
          <w:rFonts w:hint="eastAsia" w:ascii="Times New Roman" w:hAnsi="Times New Roman"/>
          <w:b/>
          <w:color w:val="auto"/>
        </w:rPr>
      </w:pPr>
      <w:r>
        <w:rPr>
          <w:rFonts w:hint="eastAsia" w:ascii="Times New Roman" w:hAnsi="Times New Roman"/>
          <w:b/>
          <w:color w:val="auto"/>
        </w:rPr>
        <w:t>2、对陆生动物的影响</w:t>
      </w:r>
    </w:p>
    <w:p>
      <w:pPr>
        <w:pStyle w:val="16"/>
        <w:ind w:firstLine="480"/>
        <w:rPr>
          <w:rFonts w:hint="eastAsia" w:ascii="Times New Roman" w:hAnsi="Times New Roman"/>
          <w:color w:val="auto"/>
        </w:rPr>
      </w:pPr>
      <w:r>
        <w:rPr>
          <w:rFonts w:hint="eastAsia" w:ascii="Times New Roman" w:hAnsi="Times New Roman"/>
          <w:color w:val="auto"/>
        </w:rPr>
        <w:t>受本项目的建设及施工期扰动的影响，一些动物的栖息地可能会受到一定的影响，项目所在地主要分布的是小型动物，这些动物的迁移能力较强，同类生境在附近易于寻找，因此，本项目的建设不会对动物的种群及数量带来明显的影响。</w:t>
      </w:r>
    </w:p>
    <w:p>
      <w:pPr>
        <w:pStyle w:val="16"/>
        <w:ind w:firstLine="480"/>
        <w:rPr>
          <w:rFonts w:hint="eastAsia" w:ascii="Times New Roman" w:hAnsi="Times New Roman"/>
          <w:color w:val="auto"/>
        </w:rPr>
      </w:pPr>
      <w:r>
        <w:rPr>
          <w:rFonts w:hint="eastAsia" w:ascii="Times New Roman" w:hAnsi="Times New Roman"/>
          <w:color w:val="auto"/>
        </w:rPr>
        <w:t>根据生态环境现状调查，项目所在地现状用地类型主要为耕地和</w:t>
      </w:r>
      <w:r>
        <w:rPr>
          <w:rFonts w:hint="eastAsia" w:ascii="Times New Roman" w:hAnsi="Times New Roman"/>
          <w:color w:val="auto"/>
          <w:lang w:val="en-US" w:eastAsia="zh-CN"/>
        </w:rPr>
        <w:t>园地</w:t>
      </w:r>
      <w:r>
        <w:rPr>
          <w:rFonts w:hint="eastAsia" w:ascii="Times New Roman" w:hAnsi="Times New Roman"/>
          <w:color w:val="auto"/>
        </w:rPr>
        <w:t>，评价区植被层次结构、层片结构相对简单，食物网结构、营养结构相对较简单，动植物种类组成相对贫乏，生态系统服务功能不强。建成后对植被、植物种类和群落分布以及动物区系的基本组成和性质不会发生明显变化。</w:t>
      </w:r>
    </w:p>
    <w:p>
      <w:pPr>
        <w:pStyle w:val="9"/>
        <w:spacing w:before="120" w:beforeLines="50"/>
        <w:rPr>
          <w:rFonts w:hint="eastAsia"/>
          <w:color w:val="auto"/>
        </w:rPr>
      </w:pPr>
      <w:r>
        <w:rPr>
          <w:rFonts w:hint="eastAsia"/>
          <w:color w:val="auto"/>
        </w:rPr>
        <w:t>生态保护措施</w:t>
      </w:r>
    </w:p>
    <w:p>
      <w:pPr>
        <w:pStyle w:val="16"/>
        <w:spacing w:line="360" w:lineRule="auto"/>
        <w:ind w:firstLine="482"/>
        <w:rPr>
          <w:rFonts w:hint="eastAsia" w:ascii="Times New Roman" w:hAnsi="Times New Roman"/>
          <w:b/>
          <w:color w:val="auto"/>
        </w:rPr>
      </w:pPr>
      <w:r>
        <w:rPr>
          <w:rFonts w:hint="eastAsia" w:ascii="Times New Roman" w:hAnsi="Times New Roman"/>
          <w:b/>
          <w:color w:val="auto"/>
        </w:rPr>
        <w:t>1、加强污染物治理</w:t>
      </w:r>
    </w:p>
    <w:p>
      <w:pPr>
        <w:pStyle w:val="16"/>
        <w:spacing w:line="360" w:lineRule="auto"/>
        <w:ind w:firstLine="480"/>
        <w:rPr>
          <w:rFonts w:ascii="Times New Roman" w:hAnsi="Times New Roman"/>
          <w:color w:val="auto"/>
        </w:rPr>
      </w:pPr>
      <w:r>
        <w:rPr>
          <w:rFonts w:hint="eastAsia" w:ascii="Times New Roman" w:hAnsi="Times New Roman"/>
          <w:color w:val="auto"/>
        </w:rPr>
        <w:t>加强工程运营的规范化管理，对工程产生的废气、废水及固废等，严格执行设计及评价要求的防治措施，实施污染物排放严格控制，减小污染对生态环境的影响。</w:t>
      </w:r>
    </w:p>
    <w:p>
      <w:pPr>
        <w:pStyle w:val="16"/>
        <w:ind w:firstLine="482"/>
        <w:rPr>
          <w:rFonts w:ascii="Times New Roman" w:hAnsi="Times New Roman"/>
          <w:b/>
          <w:color w:val="auto"/>
        </w:rPr>
      </w:pPr>
      <w:r>
        <w:rPr>
          <w:rFonts w:hint="eastAsia" w:ascii="Times New Roman" w:hAnsi="Times New Roman"/>
          <w:b/>
          <w:color w:val="auto"/>
        </w:rPr>
        <w:t>2、场区硬化</w:t>
      </w:r>
    </w:p>
    <w:p>
      <w:pPr>
        <w:pStyle w:val="16"/>
        <w:ind w:firstLine="480"/>
        <w:rPr>
          <w:rFonts w:hint="eastAsia" w:ascii="Times New Roman" w:hAnsi="Times New Roman"/>
          <w:color w:val="auto"/>
        </w:rPr>
      </w:pPr>
      <w:r>
        <w:rPr>
          <w:rFonts w:hint="eastAsia" w:ascii="Times New Roman" w:hAnsi="Times New Roman"/>
          <w:color w:val="auto"/>
        </w:rPr>
        <w:t>因工程建设土地开挖、填平等行为将导致土地地表性质变化及土层结构疏松等，造成局部泥水蔓延。对此，评价要求工程场区应不存在裸露地坪，以绿化或硬化方式对场区内土地进行必要的处置。</w:t>
      </w:r>
    </w:p>
    <w:p>
      <w:pPr>
        <w:pStyle w:val="16"/>
        <w:ind w:firstLine="482"/>
        <w:rPr>
          <w:rFonts w:hint="eastAsia" w:ascii="Times New Roman" w:hAnsi="Times New Roman"/>
          <w:b/>
          <w:color w:val="auto"/>
        </w:rPr>
      </w:pPr>
      <w:r>
        <w:rPr>
          <w:rFonts w:hint="eastAsia" w:ascii="Times New Roman" w:hAnsi="Times New Roman"/>
          <w:b/>
          <w:color w:val="auto"/>
        </w:rPr>
        <w:t>3、加强职工生态环保意识</w:t>
      </w:r>
    </w:p>
    <w:p>
      <w:pPr>
        <w:pStyle w:val="16"/>
        <w:ind w:firstLine="480"/>
        <w:rPr>
          <w:rFonts w:hint="eastAsia" w:ascii="Times New Roman" w:hAnsi="Times New Roman"/>
          <w:color w:val="auto"/>
        </w:rPr>
      </w:pPr>
      <w:r>
        <w:rPr>
          <w:rFonts w:hint="eastAsia" w:ascii="Times New Roman" w:hAnsi="Times New Roman"/>
          <w:color w:val="auto"/>
        </w:rPr>
        <w:t>随着项目建设，场内应健全管理体制，加强绿化管理及职工素质教育，从根本上树立生态保护的整体形象。</w:t>
      </w:r>
    </w:p>
    <w:p>
      <w:pPr>
        <w:pStyle w:val="16"/>
        <w:ind w:firstLine="482"/>
        <w:rPr>
          <w:rFonts w:hint="eastAsia" w:ascii="Times New Roman" w:hAnsi="Times New Roman"/>
          <w:b/>
          <w:color w:val="auto"/>
        </w:rPr>
      </w:pPr>
      <w:r>
        <w:rPr>
          <w:rFonts w:hint="eastAsia" w:ascii="Times New Roman" w:hAnsi="Times New Roman"/>
          <w:b/>
          <w:color w:val="auto"/>
        </w:rPr>
        <w:t>4、加强场区绿化</w:t>
      </w:r>
    </w:p>
    <w:p>
      <w:pPr>
        <w:pStyle w:val="16"/>
        <w:ind w:firstLine="480"/>
        <w:rPr>
          <w:rFonts w:hint="eastAsia" w:ascii="Times New Roman" w:hAnsi="Times New Roman"/>
          <w:color w:val="auto"/>
        </w:rPr>
      </w:pPr>
      <w:r>
        <w:rPr>
          <w:rFonts w:hint="eastAsia" w:ascii="Times New Roman" w:hAnsi="Times New Roman"/>
          <w:color w:val="auto"/>
        </w:rPr>
        <w:t>场区应制定绿化规划，实施全面绿化。利用植物作为治理污染的一种经济手段，发挥它们在吸收有害气体、净化空气、降低噪声、改善环境、保持生态平衡方面的作用。重点为：养殖区、污水处理区、生活管理区和道路两侧，应以乔木绿化为主，乔、灌、草合理配置；在厂界四周根据实际条件营造防护林，用以防止污染物对周边生态环境的影响。绿色植物具有多种环境生态效应，如调节空气、温度、湿度，阻挡风沙、滞留空气中的灰尘、吸收SO</w:t>
      </w:r>
      <w:r>
        <w:rPr>
          <w:rFonts w:hint="eastAsia" w:ascii="Times New Roman" w:hAnsi="Times New Roman"/>
          <w:color w:val="auto"/>
          <w:vertAlign w:val="subscript"/>
        </w:rPr>
        <w:t>2</w:t>
      </w:r>
      <w:r>
        <w:rPr>
          <w:rFonts w:hint="eastAsia" w:ascii="Times New Roman" w:hAnsi="Times New Roman"/>
          <w:color w:val="auto"/>
        </w:rPr>
        <w:t>等有害气体等，有些植物还有一定的杀菌能力，此外，树本身还有降噪隔声的功能。</w:t>
      </w:r>
    </w:p>
    <w:p>
      <w:pPr>
        <w:pStyle w:val="16"/>
        <w:ind w:firstLine="480"/>
        <w:rPr>
          <w:rFonts w:hint="eastAsia" w:ascii="Times New Roman" w:hAnsi="Times New Roman"/>
          <w:color w:val="auto"/>
        </w:rPr>
      </w:pPr>
      <w:r>
        <w:rPr>
          <w:rFonts w:hint="eastAsia" w:ascii="Times New Roman" w:hAnsi="Times New Roman"/>
          <w:color w:val="auto"/>
        </w:rPr>
        <w:t>结合项目的特点，种植高低相结合的乔灌木，形成隔离林带，防止污染扩散。生活管理区应以美化环境为主，种植绿篱、布置花坛、草坪等。道路的绿化以种植道路树为主，选择适宜的树种，进行多种树种混栽，形成沿道路的绿化带。</w:t>
      </w:r>
    </w:p>
    <w:p>
      <w:pPr>
        <w:pStyle w:val="9"/>
        <w:spacing w:before="120" w:beforeLines="50"/>
        <w:rPr>
          <w:rFonts w:hint="eastAsia"/>
          <w:color w:val="auto"/>
        </w:rPr>
      </w:pPr>
      <w:r>
        <w:rPr>
          <w:rFonts w:hint="eastAsia"/>
          <w:color w:val="auto"/>
        </w:rPr>
        <w:t>生态影响分析小结</w:t>
      </w:r>
    </w:p>
    <w:p>
      <w:pPr>
        <w:pStyle w:val="16"/>
        <w:ind w:firstLine="480"/>
        <w:rPr>
          <w:rFonts w:hint="eastAsia" w:ascii="Times New Roman" w:hAnsi="Times New Roman"/>
          <w:color w:val="auto"/>
        </w:rPr>
      </w:pPr>
      <w:r>
        <w:rPr>
          <w:rFonts w:hint="eastAsia" w:ascii="Times New Roman" w:hAnsi="Times New Roman"/>
          <w:color w:val="auto"/>
        </w:rPr>
        <w:t>评价区生态系统受到本项目影响相对较小，在严格采取评价提出的生态保护措施后，其生态特征不会从根本上发生改变，体系仍然维持原有的稳定性和生态承载能力。</w:t>
      </w:r>
    </w:p>
    <w:p>
      <w:pPr>
        <w:pStyle w:val="16"/>
        <w:ind w:firstLine="480"/>
        <w:rPr>
          <w:rFonts w:ascii="Times New Roman" w:hAnsi="Times New Roman"/>
          <w:color w:val="auto"/>
        </w:rPr>
      </w:pPr>
      <w:r>
        <w:rPr>
          <w:rFonts w:hint="eastAsia" w:ascii="Times New Roman" w:hAnsi="Times New Roman"/>
          <w:color w:val="auto"/>
        </w:rPr>
        <w:t>从总体上看，项目运营期对生态环境的影响较小，评价要求对废水、废气、固废各种污染物按照处理措施严格执行，并加大场区及其周围地区的绿化面积，这样才能保证生态环境不会受到破坏，并能够对受到影响的场地及时补救。</w:t>
      </w:r>
    </w:p>
    <w:p>
      <w:pPr>
        <w:pStyle w:val="8"/>
        <w:rPr>
          <w:rFonts w:hint="eastAsia"/>
          <w:color w:val="auto"/>
        </w:rPr>
      </w:pPr>
      <w:r>
        <w:rPr>
          <w:rFonts w:hint="eastAsia"/>
          <w:color w:val="auto"/>
        </w:rPr>
        <w:t>道路运输环境影响评价</w:t>
      </w:r>
    </w:p>
    <w:p>
      <w:pPr>
        <w:ind w:firstLine="480"/>
        <w:rPr>
          <w:rFonts w:hint="eastAsia"/>
          <w:color w:val="auto"/>
        </w:rPr>
      </w:pPr>
      <w:r>
        <w:rPr>
          <w:rFonts w:hint="eastAsia"/>
          <w:color w:val="auto"/>
        </w:rPr>
        <w:t>本项目育肥猪转运或出售时，由</w:t>
      </w:r>
      <w:r>
        <w:rPr>
          <w:rFonts w:hint="eastAsia"/>
          <w:color w:val="auto"/>
          <w:lang w:eastAsia="zh-CN"/>
        </w:rPr>
        <w:t>铁骑力士集团</w:t>
      </w:r>
      <w:r>
        <w:rPr>
          <w:rFonts w:hint="eastAsia"/>
          <w:color w:val="auto"/>
        </w:rPr>
        <w:t>派遣专用运输车辆将育肥猪运送。在运输的过程中猪叫声、猪粪便、恶臭将会对运输路线周边环境造成一定的影响。运输</w:t>
      </w:r>
      <w:r>
        <w:rPr>
          <w:color w:val="auto"/>
        </w:rPr>
        <w:t>路线避开了</w:t>
      </w:r>
      <w:r>
        <w:rPr>
          <w:rFonts w:hint="eastAsia"/>
          <w:color w:val="auto"/>
          <w:lang w:val="en-US" w:eastAsia="zh-CN"/>
        </w:rPr>
        <w:t>游仙区</w:t>
      </w:r>
      <w:r>
        <w:rPr>
          <w:rFonts w:hint="eastAsia"/>
          <w:color w:val="auto"/>
        </w:rPr>
        <w:t>城镇</w:t>
      </w:r>
      <w:r>
        <w:rPr>
          <w:color w:val="auto"/>
        </w:rPr>
        <w:t>规划区</w:t>
      </w:r>
      <w:r>
        <w:rPr>
          <w:rFonts w:hint="eastAsia"/>
          <w:color w:val="auto"/>
        </w:rPr>
        <w:t>、</w:t>
      </w:r>
      <w:r>
        <w:rPr>
          <w:color w:val="auto"/>
        </w:rPr>
        <w:t>学校、医院</w:t>
      </w:r>
      <w:r>
        <w:rPr>
          <w:rFonts w:hint="eastAsia"/>
          <w:color w:val="auto"/>
        </w:rPr>
        <w:t>等，</w:t>
      </w:r>
      <w:r>
        <w:rPr>
          <w:color w:val="auto"/>
        </w:rPr>
        <w:t>路线不涉及自然保护区、风景名胜区、</w:t>
      </w:r>
      <w:r>
        <w:rPr>
          <w:rFonts w:hint="eastAsia"/>
          <w:color w:val="auto"/>
        </w:rPr>
        <w:t>饮用水</w:t>
      </w:r>
      <w:r>
        <w:rPr>
          <w:color w:val="auto"/>
        </w:rPr>
        <w:t>水源保护区</w:t>
      </w:r>
      <w:r>
        <w:rPr>
          <w:rFonts w:hint="eastAsia"/>
          <w:color w:val="auto"/>
        </w:rPr>
        <w:t>，道路两侧200m范围内多为低矮植被、</w:t>
      </w:r>
      <w:r>
        <w:rPr>
          <w:color w:val="auto"/>
        </w:rPr>
        <w:t>耕地及散户居民</w:t>
      </w:r>
      <w:r>
        <w:rPr>
          <w:rFonts w:hint="eastAsia"/>
          <w:color w:val="auto"/>
        </w:rPr>
        <w:t xml:space="preserve">。 </w:t>
      </w:r>
    </w:p>
    <w:p>
      <w:pPr>
        <w:ind w:firstLine="480"/>
        <w:rPr>
          <w:rFonts w:hint="eastAsia"/>
          <w:color w:val="auto"/>
        </w:rPr>
      </w:pPr>
      <w:r>
        <w:rPr>
          <w:rFonts w:hint="eastAsia"/>
          <w:color w:val="auto"/>
        </w:rPr>
        <w:t>道路运输存在的主要环境影响因素为运输噪声</w:t>
      </w:r>
      <w:r>
        <w:rPr>
          <w:color w:val="auto"/>
        </w:rPr>
        <w:t>、</w:t>
      </w:r>
      <w:r>
        <w:rPr>
          <w:rFonts w:hint="eastAsia"/>
          <w:color w:val="auto"/>
        </w:rPr>
        <w:t>运输</w:t>
      </w:r>
      <w:r>
        <w:rPr>
          <w:color w:val="auto"/>
        </w:rPr>
        <w:t>扬尘及汽车尾气等</w:t>
      </w:r>
      <w:r>
        <w:rPr>
          <w:rFonts w:hint="eastAsia"/>
          <w:color w:val="auto"/>
        </w:rPr>
        <w:t>。</w:t>
      </w:r>
    </w:p>
    <w:p>
      <w:pPr>
        <w:ind w:firstLine="480"/>
        <w:rPr>
          <w:color w:val="auto"/>
        </w:rPr>
      </w:pPr>
      <w:r>
        <w:rPr>
          <w:rFonts w:hint="eastAsia"/>
          <w:color w:val="auto"/>
        </w:rPr>
        <w:t>（1）</w:t>
      </w:r>
      <w:r>
        <w:rPr>
          <w:color w:val="auto"/>
        </w:rPr>
        <w:t>大气环境影响分析</w:t>
      </w:r>
    </w:p>
    <w:p>
      <w:pPr>
        <w:ind w:firstLine="480"/>
        <w:rPr>
          <w:rFonts w:hint="eastAsia"/>
          <w:color w:val="auto"/>
        </w:rPr>
      </w:pPr>
      <w:r>
        <w:rPr>
          <w:rFonts w:hint="eastAsia"/>
          <w:color w:val="auto"/>
        </w:rPr>
        <w:t>1）车辆行驶扬尘环境影响分析</w:t>
      </w:r>
    </w:p>
    <w:p>
      <w:pPr>
        <w:ind w:firstLine="480"/>
        <w:rPr>
          <w:rFonts w:hint="eastAsia"/>
          <w:color w:val="auto"/>
        </w:rPr>
      </w:pPr>
      <w:r>
        <w:rPr>
          <w:rFonts w:hint="eastAsia"/>
          <w:color w:val="auto"/>
        </w:rPr>
        <w:t>汽车运输过程对环境空气产生的主要污染物为TSP。根据类似现场汽车运输引起的扬尘现场监测结果，灰土运输车辆下风向50m处TSP的浓度为11.625mg/m</w:t>
      </w:r>
      <w:r>
        <w:rPr>
          <w:rFonts w:hint="eastAsia"/>
          <w:color w:val="auto"/>
          <w:vertAlign w:val="superscript"/>
        </w:rPr>
        <w:t>3</w:t>
      </w:r>
      <w:r>
        <w:rPr>
          <w:rFonts w:hint="eastAsia"/>
          <w:color w:val="auto"/>
        </w:rPr>
        <w:t>；下风向100m处TSP的浓度为9.694mg/m</w:t>
      </w:r>
      <w:r>
        <w:rPr>
          <w:rFonts w:hint="eastAsia"/>
          <w:color w:val="auto"/>
          <w:vertAlign w:val="superscript"/>
        </w:rPr>
        <w:t>3</w:t>
      </w:r>
      <w:r>
        <w:rPr>
          <w:rFonts w:hint="eastAsia"/>
          <w:color w:val="auto"/>
        </w:rPr>
        <w:t>；下风向150m处TSP的浓度为5.093mg/m</w:t>
      </w:r>
      <w:r>
        <w:rPr>
          <w:rFonts w:hint="eastAsia"/>
          <w:color w:val="auto"/>
          <w:vertAlign w:val="superscript"/>
        </w:rPr>
        <w:t>3</w:t>
      </w:r>
      <w:r>
        <w:rPr>
          <w:rFonts w:hint="eastAsia"/>
          <w:color w:val="auto"/>
        </w:rPr>
        <w:t xml:space="preserve">，超过环境空气质量二级标准。 </w:t>
      </w:r>
    </w:p>
    <w:p>
      <w:pPr>
        <w:ind w:firstLine="480"/>
        <w:rPr>
          <w:rFonts w:hint="eastAsia"/>
          <w:color w:val="auto"/>
        </w:rPr>
      </w:pPr>
      <w:r>
        <w:rPr>
          <w:rFonts w:hint="eastAsia"/>
          <w:color w:val="auto"/>
        </w:rPr>
        <w:t>根据</w:t>
      </w:r>
      <w:r>
        <w:rPr>
          <w:color w:val="auto"/>
        </w:rPr>
        <w:t>运输路线图</w:t>
      </w:r>
      <w:r>
        <w:rPr>
          <w:rFonts w:hint="eastAsia"/>
          <w:color w:val="auto"/>
        </w:rPr>
        <w:t>居民分布情况分析，本项目沿线间断分散</w:t>
      </w:r>
      <w:r>
        <w:rPr>
          <w:color w:val="auto"/>
        </w:rPr>
        <w:t>有居民住户</w:t>
      </w:r>
      <w:r>
        <w:rPr>
          <w:rFonts w:hint="eastAsia"/>
          <w:color w:val="auto"/>
        </w:rPr>
        <w:t>，沿线敏感目标不多，</w:t>
      </w:r>
      <w:r>
        <w:rPr>
          <w:color w:val="auto"/>
        </w:rPr>
        <w:t>运输次数有限。总体来说，沿线居民</w:t>
      </w:r>
      <w:r>
        <w:rPr>
          <w:rFonts w:hint="eastAsia"/>
          <w:color w:val="auto"/>
        </w:rPr>
        <w:t>受本项目运输扬尘的影响较小。</w:t>
      </w:r>
    </w:p>
    <w:p>
      <w:pPr>
        <w:ind w:firstLine="480"/>
        <w:rPr>
          <w:rFonts w:hint="eastAsia"/>
          <w:color w:val="auto"/>
        </w:rPr>
      </w:pPr>
      <w:r>
        <w:rPr>
          <w:rFonts w:hint="eastAsia"/>
          <w:color w:val="auto"/>
        </w:rPr>
        <w:t>2）运输车辆汽车尾气</w:t>
      </w:r>
    </w:p>
    <w:p>
      <w:pPr>
        <w:ind w:firstLine="480"/>
        <w:rPr>
          <w:rFonts w:hint="eastAsia"/>
          <w:color w:val="auto"/>
        </w:rPr>
      </w:pPr>
      <w:r>
        <w:rPr>
          <w:rFonts w:hint="eastAsia"/>
          <w:color w:val="auto"/>
        </w:rPr>
        <w:t>汽车尾气中的污染物随着运输车辆的速度、道路结构等诸多因素有不同程度的影响，污染物浓度也有所变化，尾气中的污染物成分极为复杂。作业期间运输车辆密集，机动车排放尾气中的污染物必然将增大局部大气中CO、NOx、C</w:t>
      </w:r>
      <w:r>
        <w:rPr>
          <w:rFonts w:hint="eastAsia"/>
          <w:color w:val="auto"/>
          <w:vertAlign w:val="subscript"/>
        </w:rPr>
        <w:t>n</w:t>
      </w:r>
      <w:r>
        <w:rPr>
          <w:rFonts w:hint="eastAsia"/>
          <w:color w:val="auto"/>
        </w:rPr>
        <w:t>H</w:t>
      </w:r>
      <w:r>
        <w:rPr>
          <w:rFonts w:hint="eastAsia"/>
          <w:color w:val="auto"/>
          <w:vertAlign w:val="subscript"/>
        </w:rPr>
        <w:t>m</w:t>
      </w:r>
      <w:r>
        <w:rPr>
          <w:rFonts w:hint="eastAsia"/>
          <w:color w:val="auto"/>
        </w:rPr>
        <w:t>等的浓度。</w:t>
      </w:r>
    </w:p>
    <w:p>
      <w:pPr>
        <w:ind w:firstLine="480"/>
        <w:rPr>
          <w:rFonts w:hint="eastAsia"/>
          <w:color w:val="auto"/>
        </w:rPr>
      </w:pPr>
      <w:r>
        <w:rPr>
          <w:rFonts w:hint="eastAsia"/>
          <w:color w:val="auto"/>
        </w:rPr>
        <w:t>本</w:t>
      </w:r>
      <w:r>
        <w:rPr>
          <w:color w:val="auto"/>
        </w:rPr>
        <w:t>环评要求</w:t>
      </w:r>
      <w:r>
        <w:rPr>
          <w:rFonts w:hint="eastAsia"/>
          <w:color w:val="auto"/>
        </w:rPr>
        <w:t>各运输车辆应满足《重型柴油车污染物排放限值及测量方法（中国第六阶段）》（GB 17691—2018）。</w:t>
      </w:r>
    </w:p>
    <w:p>
      <w:pPr>
        <w:ind w:firstLine="480"/>
        <w:rPr>
          <w:color w:val="auto"/>
        </w:rPr>
      </w:pPr>
      <w:r>
        <w:rPr>
          <w:rFonts w:hint="eastAsia"/>
          <w:color w:val="auto"/>
        </w:rPr>
        <w:t>总体来说</w:t>
      </w:r>
      <w:r>
        <w:rPr>
          <w:color w:val="auto"/>
        </w:rPr>
        <w:t>，本项目运输次数有限，</w:t>
      </w:r>
      <w:r>
        <w:rPr>
          <w:rFonts w:hint="eastAsia"/>
          <w:color w:val="auto"/>
        </w:rPr>
        <w:t>经类比分析，汽车废气中污染物随环境扩散能够很快的降低浓度，在道路两侧的浓度己接近背景值，对沿线环境敏感点影响较小。</w:t>
      </w:r>
    </w:p>
    <w:p>
      <w:pPr>
        <w:ind w:firstLine="480"/>
        <w:rPr>
          <w:rFonts w:hAnsi="宋体"/>
          <w:color w:val="auto"/>
        </w:rPr>
      </w:pPr>
      <w:r>
        <w:rPr>
          <w:rFonts w:hint="eastAsia"/>
          <w:color w:val="auto"/>
        </w:rPr>
        <w:t>（2）</w:t>
      </w:r>
      <w:r>
        <w:rPr>
          <w:rFonts w:hAnsi="宋体"/>
          <w:color w:val="auto"/>
        </w:rPr>
        <w:t>声</w:t>
      </w:r>
      <w:r>
        <w:rPr>
          <w:rFonts w:hint="eastAsia" w:hAnsi="宋体"/>
          <w:color w:val="auto"/>
        </w:rPr>
        <w:t>环境影响分析</w:t>
      </w:r>
    </w:p>
    <w:p>
      <w:pPr>
        <w:ind w:firstLine="480"/>
        <w:rPr>
          <w:rFonts w:hint="eastAsia" w:hAnsi="宋体"/>
          <w:color w:val="auto"/>
        </w:rPr>
      </w:pPr>
      <w:r>
        <w:rPr>
          <w:rFonts w:hAnsi="宋体"/>
          <w:color w:val="auto"/>
        </w:rPr>
        <w:t>本项目运输车辆行车速度控制在</w:t>
      </w:r>
      <w:r>
        <w:rPr>
          <w:rFonts w:hint="eastAsia" w:hAnsi="宋体"/>
          <w:color w:val="auto"/>
        </w:rPr>
        <w:t>2</w:t>
      </w:r>
      <w:r>
        <w:rPr>
          <w:rFonts w:hAnsi="宋体"/>
          <w:color w:val="auto"/>
        </w:rPr>
        <w:t>0km/h</w:t>
      </w:r>
      <w:r>
        <w:rPr>
          <w:rFonts w:hint="eastAsia" w:hAnsi="宋体"/>
          <w:color w:val="auto"/>
        </w:rPr>
        <w:t>，新增车流量较小，总的来说建设单位只要严控车辆速度、行车时间及行车过程中禁止鸣笛等措施，噪声增量不大，对沿线居民的影响在可控范围内。</w:t>
      </w:r>
    </w:p>
    <w:p>
      <w:pPr>
        <w:ind w:firstLine="480"/>
        <w:rPr>
          <w:color w:val="auto"/>
        </w:rPr>
      </w:pPr>
      <w:r>
        <w:rPr>
          <w:rFonts w:hint="eastAsia"/>
          <w:color w:val="auto"/>
        </w:rPr>
        <w:t>为了进一步降低本项目对周围声环境造成的影响，环评要求本项目设备噪声采取以下防治措施：</w:t>
      </w:r>
    </w:p>
    <w:p>
      <w:pPr>
        <w:ind w:firstLine="480"/>
        <w:rPr>
          <w:rFonts w:hint="eastAsia"/>
          <w:color w:val="auto"/>
        </w:rPr>
      </w:pPr>
      <w:r>
        <w:rPr>
          <w:rFonts w:hint="eastAsia"/>
          <w:color w:val="auto"/>
        </w:rPr>
        <w:t>①合理安排作业时间，禁止夜间（22：00~06：00）</w:t>
      </w:r>
      <w:r>
        <w:rPr>
          <w:color w:val="auto"/>
        </w:rPr>
        <w:t>运输</w:t>
      </w:r>
      <w:r>
        <w:rPr>
          <w:rFonts w:hint="eastAsia"/>
          <w:color w:val="auto"/>
        </w:rPr>
        <w:t>作业；</w:t>
      </w:r>
    </w:p>
    <w:p>
      <w:pPr>
        <w:ind w:firstLine="480"/>
        <w:rPr>
          <w:color w:val="auto"/>
        </w:rPr>
      </w:pPr>
      <w:r>
        <w:rPr>
          <w:rFonts w:hint="eastAsia"/>
          <w:color w:val="auto"/>
        </w:rPr>
        <w:t>②控制</w:t>
      </w:r>
      <w:r>
        <w:rPr>
          <w:color w:val="auto"/>
        </w:rPr>
        <w:t>运输车辆行驶速度，运输过程中禁止鸣笛</w:t>
      </w:r>
      <w:r>
        <w:rPr>
          <w:rFonts w:hint="eastAsia"/>
          <w:color w:val="auto"/>
        </w:rPr>
        <w:t>。</w:t>
      </w:r>
    </w:p>
    <w:p>
      <w:pPr>
        <w:ind w:firstLine="480"/>
        <w:rPr>
          <w:color w:val="auto"/>
        </w:rPr>
      </w:pPr>
      <w:r>
        <w:rPr>
          <w:rFonts w:hint="eastAsia"/>
          <w:color w:val="auto"/>
        </w:rPr>
        <w:t>③加强车辆的保养，保证车辆正常运行。</w:t>
      </w:r>
    </w:p>
    <w:p>
      <w:pPr>
        <w:ind w:firstLine="480"/>
        <w:rPr>
          <w:rFonts w:hint="eastAsia"/>
          <w:color w:val="auto"/>
        </w:rPr>
      </w:pPr>
      <w:r>
        <w:rPr>
          <w:rFonts w:hint="eastAsia"/>
          <w:color w:val="auto"/>
        </w:rPr>
        <w:t>④严格</w:t>
      </w:r>
      <w:r>
        <w:rPr>
          <w:color w:val="auto"/>
        </w:rPr>
        <w:t>按照规定的运输路线进行，不得私自更改运输路线。</w:t>
      </w:r>
    </w:p>
    <w:p>
      <w:pPr>
        <w:ind w:firstLine="480"/>
        <w:rPr>
          <w:rFonts w:hint="eastAsia" w:ascii="Times New Roman" w:hAnsi="Times New Roman"/>
          <w:color w:val="auto"/>
        </w:rPr>
      </w:pPr>
      <w:r>
        <w:rPr>
          <w:rFonts w:hint="eastAsia"/>
          <w:color w:val="auto"/>
        </w:rPr>
        <w:t>总体来说，本项目运输次数有限，采取</w:t>
      </w:r>
      <w:r>
        <w:rPr>
          <w:color w:val="auto"/>
        </w:rPr>
        <w:t>以上措施后</w:t>
      </w:r>
      <w:r>
        <w:rPr>
          <w:rFonts w:hint="eastAsia"/>
          <w:color w:val="auto"/>
        </w:rPr>
        <w:t>，运输</w:t>
      </w:r>
      <w:r>
        <w:rPr>
          <w:color w:val="auto"/>
        </w:rPr>
        <w:t>噪声</w:t>
      </w:r>
      <w:r>
        <w:rPr>
          <w:rFonts w:hint="eastAsia"/>
          <w:color w:val="auto"/>
        </w:rPr>
        <w:t>对沿线环境敏感点影响较小。</w:t>
      </w:r>
    </w:p>
    <w:p>
      <w:pPr>
        <w:pStyle w:val="8"/>
        <w:tabs>
          <w:tab w:val="clear" w:pos="0"/>
        </w:tabs>
        <w:rPr>
          <w:rFonts w:eastAsia="黑体"/>
          <w:color w:val="auto"/>
          <w:sz w:val="28"/>
          <w:szCs w:val="28"/>
        </w:rPr>
      </w:pPr>
      <w:r>
        <w:rPr>
          <w:rFonts w:eastAsia="黑体"/>
          <w:color w:val="auto"/>
          <w:sz w:val="28"/>
          <w:szCs w:val="28"/>
        </w:rPr>
        <w:t>环境影响评价小结</w:t>
      </w:r>
    </w:p>
    <w:p>
      <w:pPr>
        <w:ind w:firstLine="480"/>
        <w:rPr>
          <w:color w:val="auto"/>
        </w:rPr>
      </w:pPr>
      <w:r>
        <w:rPr>
          <w:color w:val="auto"/>
        </w:rPr>
        <w:t>综上，本项目运营期在认真落实环评提出的各项污染防治措施的前提下，各污染物均能做到达标排放，不会对项目所在区域环境质量造成明显不利影响。</w:t>
      </w:r>
    </w:p>
    <w:p>
      <w:pPr>
        <w:pStyle w:val="16"/>
        <w:ind w:firstLine="480"/>
        <w:rPr>
          <w:rFonts w:hint="eastAsia"/>
          <w:color w:val="auto"/>
        </w:rPr>
      </w:pPr>
    </w:p>
    <w:p>
      <w:pPr>
        <w:ind w:firstLine="480"/>
        <w:rPr>
          <w:color w:val="auto"/>
        </w:rPr>
        <w:sectPr>
          <w:headerReference r:id="rId18" w:type="default"/>
          <w:pgSz w:w="11906" w:h="16838"/>
          <w:pgMar w:top="1418" w:right="1418" w:bottom="1418" w:left="1701" w:header="720" w:footer="720" w:gutter="0"/>
          <w:cols w:space="720" w:num="1"/>
          <w:docGrid w:linePitch="326" w:charSpace="0"/>
        </w:sectPr>
      </w:pPr>
    </w:p>
    <w:p>
      <w:pPr>
        <w:pStyle w:val="6"/>
        <w:rPr>
          <w:rFonts w:eastAsia="黑体"/>
          <w:color w:val="auto"/>
          <w:sz w:val="44"/>
        </w:rPr>
      </w:pPr>
      <w:bookmarkStart w:id="207" w:name="_Toc13467"/>
      <w:r>
        <w:rPr>
          <w:rFonts w:eastAsia="黑体"/>
          <w:color w:val="auto"/>
          <w:sz w:val="44"/>
        </w:rPr>
        <w:t>环境风险评价</w:t>
      </w:r>
      <w:bookmarkEnd w:id="207"/>
    </w:p>
    <w:p>
      <w:pPr>
        <w:pStyle w:val="7"/>
        <w:rPr>
          <w:color w:val="auto"/>
        </w:rPr>
      </w:pPr>
      <w:bookmarkStart w:id="208" w:name="_Toc10857"/>
      <w:bookmarkStart w:id="209" w:name="_Toc436035694"/>
      <w:r>
        <w:rPr>
          <w:rFonts w:hint="eastAsia" w:eastAsia="黑体"/>
          <w:color w:val="auto"/>
          <w:sz w:val="32"/>
        </w:rPr>
        <w:t>综述</w:t>
      </w:r>
      <w:bookmarkEnd w:id="208"/>
      <w:bookmarkEnd w:id="209"/>
    </w:p>
    <w:p>
      <w:pPr>
        <w:ind w:firstLine="480"/>
        <w:rPr>
          <w:rFonts w:hint="eastAsia"/>
          <w:bCs/>
          <w:color w:val="auto"/>
        </w:rPr>
      </w:pPr>
      <w:r>
        <w:rPr>
          <w:rFonts w:hint="eastAsia"/>
          <w:bCs/>
          <w:color w:val="auto"/>
        </w:rPr>
        <w:t>根据《建设项目环境风险评价技术导则》（HJ/T169-2018）和国家环境保护总局《关于防范环境风险加强环境影响评价管理的通知》，项目实施后环境风险评价的基本内容包括风险调查、环境风险潜势初判、风险识别、风险事故情形分析、风险预测与评价、环境风险管理等，其具体如下：</w:t>
      </w:r>
    </w:p>
    <w:p>
      <w:pPr>
        <w:ind w:firstLine="480"/>
        <w:rPr>
          <w:rFonts w:hint="eastAsia"/>
          <w:bCs/>
          <w:color w:val="auto"/>
        </w:rPr>
      </w:pPr>
      <w:r>
        <w:rPr>
          <w:rFonts w:hint="eastAsia"/>
          <w:bCs/>
          <w:color w:val="auto"/>
        </w:rPr>
        <w:t>（1）项目风险调查。在分析建设项目物质及工艺系统危险性和环境敏感性的基础下，进行风险潜势的判断，确定风险评价等级。</w:t>
      </w:r>
    </w:p>
    <w:p>
      <w:pPr>
        <w:ind w:firstLine="480"/>
        <w:rPr>
          <w:rFonts w:hint="eastAsia"/>
          <w:bCs/>
          <w:color w:val="auto"/>
        </w:rPr>
      </w:pPr>
      <w:r>
        <w:rPr>
          <w:rFonts w:hint="eastAsia"/>
          <w:bCs/>
          <w:color w:val="auto"/>
        </w:rPr>
        <w:t>（2）项目风险识别及风险事故情形分析。明确危险物质在生产系统中的主要分布，筛选具有代表性的风险事故情形，合理设定事故源项。</w:t>
      </w:r>
    </w:p>
    <w:p>
      <w:pPr>
        <w:ind w:firstLine="480"/>
        <w:rPr>
          <w:rFonts w:hint="eastAsia"/>
          <w:bCs/>
          <w:color w:val="auto"/>
        </w:rPr>
      </w:pPr>
      <w:r>
        <w:rPr>
          <w:rFonts w:hint="eastAsia"/>
          <w:bCs/>
          <w:color w:val="auto"/>
        </w:rPr>
        <w:t>（3）开展预测评价。各环境要素按确定的评价工作等级分别预测评价，并分析说明环境风险危害范围与程度，提出环境风险防范的基本要求。</w:t>
      </w:r>
    </w:p>
    <w:p>
      <w:pPr>
        <w:ind w:firstLine="480"/>
        <w:rPr>
          <w:rFonts w:hint="eastAsia"/>
          <w:bCs/>
          <w:color w:val="auto"/>
        </w:rPr>
      </w:pPr>
      <w:r>
        <w:rPr>
          <w:rFonts w:hint="eastAsia"/>
          <w:bCs/>
          <w:color w:val="auto"/>
        </w:rPr>
        <w:t>（4）提出环境风险管理对策，明确环境风险防范措施及突发环境事件应急预案编制要求。</w:t>
      </w:r>
    </w:p>
    <w:p>
      <w:pPr>
        <w:ind w:firstLine="480"/>
        <w:rPr>
          <w:bCs/>
          <w:color w:val="auto"/>
        </w:rPr>
      </w:pPr>
      <w:r>
        <w:rPr>
          <w:rFonts w:hint="eastAsia"/>
          <w:bCs/>
          <w:color w:val="auto"/>
        </w:rPr>
        <w:t>（5）综合环境风险评价过程，给出评价结论与建议。</w:t>
      </w:r>
    </w:p>
    <w:p>
      <w:pPr>
        <w:pStyle w:val="8"/>
        <w:tabs>
          <w:tab w:val="clear" w:pos="0"/>
        </w:tabs>
        <w:rPr>
          <w:color w:val="auto"/>
        </w:rPr>
      </w:pPr>
      <w:r>
        <w:rPr>
          <w:rFonts w:eastAsia="黑体"/>
          <w:color w:val="auto"/>
          <w:sz w:val="28"/>
          <w:szCs w:val="28"/>
        </w:rPr>
        <w:t>评价原则</w:t>
      </w:r>
    </w:p>
    <w:p>
      <w:pPr>
        <w:ind w:firstLine="480"/>
        <w:rPr>
          <w:bCs/>
          <w:color w:val="auto"/>
        </w:rPr>
      </w:pPr>
      <w:r>
        <w:rPr>
          <w:rFonts w:hint="eastAsia"/>
          <w:bCs/>
          <w:color w:val="auto"/>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pStyle w:val="8"/>
        <w:tabs>
          <w:tab w:val="clear" w:pos="0"/>
        </w:tabs>
        <w:rPr>
          <w:color w:val="auto"/>
        </w:rPr>
      </w:pPr>
      <w:r>
        <w:rPr>
          <w:rFonts w:eastAsia="黑体"/>
          <w:color w:val="auto"/>
          <w:sz w:val="28"/>
          <w:szCs w:val="28"/>
        </w:rPr>
        <w:t>评价工作程序</w:t>
      </w:r>
    </w:p>
    <w:p>
      <w:pPr>
        <w:ind w:firstLine="480"/>
        <w:rPr>
          <w:bCs/>
          <w:color w:val="auto"/>
        </w:rPr>
      </w:pPr>
      <w:r>
        <w:rPr>
          <w:rFonts w:hint="eastAsia"/>
          <w:bCs/>
          <w:color w:val="auto"/>
        </w:rPr>
        <w:t>其评价工作流程见图</w:t>
      </w:r>
      <w:r>
        <w:rPr>
          <w:bCs/>
          <w:color w:val="auto"/>
        </w:rPr>
        <w:t>6</w:t>
      </w:r>
      <w:r>
        <w:rPr>
          <w:rFonts w:hint="eastAsia"/>
          <w:bCs/>
          <w:color w:val="auto"/>
        </w:rPr>
        <w:t>.1-1。</w:t>
      </w:r>
    </w:p>
    <w:p>
      <w:pPr>
        <w:ind w:firstLine="0" w:firstLineChars="0"/>
        <w:jc w:val="center"/>
        <w:rPr>
          <w:color w:val="auto"/>
          <w:lang/>
        </w:rPr>
      </w:pPr>
      <w:r>
        <w:rPr>
          <w:color w:val="auto"/>
          <w:lang/>
        </w:rPr>
        <w:drawing>
          <wp:inline distT="0" distB="0" distL="114300" distR="114300">
            <wp:extent cx="4225925" cy="4370070"/>
            <wp:effectExtent l="0" t="0" r="3175" b="1143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82"/>
                    <a:stretch>
                      <a:fillRect/>
                    </a:stretch>
                  </pic:blipFill>
                  <pic:spPr>
                    <a:xfrm>
                      <a:off x="0" y="0"/>
                      <a:ext cx="4225925" cy="4370070"/>
                    </a:xfrm>
                    <a:prstGeom prst="rect">
                      <a:avLst/>
                    </a:prstGeom>
                    <a:noFill/>
                    <a:ln>
                      <a:noFill/>
                    </a:ln>
                  </pic:spPr>
                </pic:pic>
              </a:graphicData>
            </a:graphic>
          </wp:inline>
        </w:drawing>
      </w:r>
    </w:p>
    <w:p>
      <w:pPr>
        <w:ind w:firstLine="0" w:firstLineChars="0"/>
        <w:jc w:val="center"/>
        <w:rPr>
          <w:b/>
          <w:color w:val="auto"/>
          <w:sz w:val="21"/>
          <w:szCs w:val="21"/>
          <w:lang/>
        </w:rPr>
      </w:pPr>
      <w:r>
        <w:rPr>
          <w:b/>
          <w:color w:val="auto"/>
          <w:sz w:val="21"/>
          <w:szCs w:val="21"/>
          <w:lang/>
        </w:rPr>
        <w:t>图6.1-1</w:t>
      </w:r>
      <w:r>
        <w:rPr>
          <w:rFonts w:hint="eastAsia"/>
          <w:b/>
          <w:color w:val="auto"/>
          <w:sz w:val="21"/>
          <w:szCs w:val="21"/>
          <w:lang w:val="en-US" w:eastAsia="zh-CN"/>
        </w:rPr>
        <w:t xml:space="preserve"> </w:t>
      </w:r>
      <w:r>
        <w:rPr>
          <w:b/>
          <w:color w:val="auto"/>
          <w:sz w:val="21"/>
          <w:szCs w:val="21"/>
          <w:lang/>
        </w:rPr>
        <w:t>风险评价工作流程图</w:t>
      </w:r>
    </w:p>
    <w:p>
      <w:pPr>
        <w:pStyle w:val="7"/>
        <w:rPr>
          <w:rFonts w:eastAsia="黑体"/>
          <w:color w:val="auto"/>
          <w:sz w:val="32"/>
        </w:rPr>
      </w:pPr>
      <w:bookmarkStart w:id="210" w:name="_Toc618"/>
      <w:r>
        <w:rPr>
          <w:rFonts w:hint="eastAsia" w:eastAsia="黑体"/>
          <w:color w:val="auto"/>
          <w:sz w:val="32"/>
        </w:rPr>
        <w:t>评价依据</w:t>
      </w:r>
      <w:bookmarkEnd w:id="210"/>
    </w:p>
    <w:p>
      <w:pPr>
        <w:pStyle w:val="8"/>
        <w:tabs>
          <w:tab w:val="clear" w:pos="0"/>
        </w:tabs>
        <w:rPr>
          <w:color w:val="auto"/>
        </w:rPr>
      </w:pPr>
      <w:r>
        <w:rPr>
          <w:rFonts w:hint="eastAsia" w:eastAsia="黑体"/>
          <w:color w:val="auto"/>
          <w:sz w:val="28"/>
          <w:szCs w:val="28"/>
        </w:rPr>
        <w:t>建设项目风险源调查</w:t>
      </w:r>
    </w:p>
    <w:p>
      <w:pPr>
        <w:ind w:firstLine="480"/>
        <w:rPr>
          <w:color w:val="auto"/>
        </w:rPr>
      </w:pPr>
      <w:r>
        <w:rPr>
          <w:color w:val="auto"/>
        </w:rPr>
        <w:t>根据《建设项目环境风险评价技术导则》（HJ169-2018）附录B.1中相关标准，项目运营期间涉及的主要危险物质包括柴油和沼气（沼气的主要成分为甲烷），其中柴油主要用于停电时供柴油发电机发电使用，项目发电机房储油间</w:t>
      </w:r>
      <w:r>
        <w:rPr>
          <w:rFonts w:hint="eastAsia"/>
          <w:color w:val="auto"/>
          <w:lang w:val="en-US" w:eastAsia="zh-CN"/>
        </w:rPr>
        <w:t>柴油</w:t>
      </w:r>
      <w:r>
        <w:rPr>
          <w:color w:val="auto"/>
        </w:rPr>
        <w:t>最大储量0.48t；其次为污水处理系统厌氧发酵时产生的沼气，80m</w:t>
      </w:r>
      <w:r>
        <w:rPr>
          <w:color w:val="auto"/>
          <w:vertAlign w:val="superscript"/>
        </w:rPr>
        <w:t>3</w:t>
      </w:r>
      <w:r>
        <w:rPr>
          <w:color w:val="auto"/>
        </w:rPr>
        <w:t>储气柜最大储存沼气</w:t>
      </w:r>
      <w:r>
        <w:rPr>
          <w:rFonts w:hint="eastAsia"/>
          <w:color w:val="auto"/>
          <w:lang w:val="en-US" w:eastAsia="zh-CN"/>
        </w:rPr>
        <w:t>约</w:t>
      </w:r>
      <w:r>
        <w:rPr>
          <w:rFonts w:hint="eastAsia"/>
          <w:color w:val="auto"/>
        </w:rPr>
        <w:t>0.0</w:t>
      </w:r>
      <w:r>
        <w:rPr>
          <w:rFonts w:hint="eastAsia"/>
          <w:color w:val="auto"/>
          <w:lang w:val="en-US" w:eastAsia="zh-CN"/>
        </w:rPr>
        <w:t>4</w:t>
      </w:r>
      <w:r>
        <w:rPr>
          <w:color w:val="auto"/>
        </w:rPr>
        <w:t>t</w:t>
      </w:r>
      <w:r>
        <w:rPr>
          <w:rFonts w:hint="eastAsia"/>
          <w:color w:val="auto"/>
          <w:lang w:eastAsia="zh-CN"/>
        </w:rPr>
        <w:t>（最大贮存量按</w:t>
      </w:r>
      <w:r>
        <w:rPr>
          <w:color w:val="auto"/>
        </w:rPr>
        <w:t>储气柜</w:t>
      </w:r>
      <w:r>
        <w:rPr>
          <w:rFonts w:hint="eastAsia"/>
          <w:color w:val="auto"/>
          <w:lang w:eastAsia="zh-CN"/>
        </w:rPr>
        <w:t>容积的 70%计，则沼气最大储存量为</w:t>
      </w:r>
      <w:r>
        <w:rPr>
          <w:rFonts w:hint="eastAsia"/>
          <w:color w:val="auto"/>
          <w:lang w:val="en-US" w:eastAsia="zh-CN"/>
        </w:rPr>
        <w:t>56</w:t>
      </w:r>
      <w:r>
        <w:rPr>
          <w:rFonts w:hint="eastAsia"/>
          <w:color w:val="auto"/>
          <w:lang w:eastAsia="zh-CN"/>
        </w:rPr>
        <w:t>m</w:t>
      </w:r>
      <w:r>
        <w:rPr>
          <w:rFonts w:hint="eastAsia"/>
          <w:color w:val="auto"/>
          <w:vertAlign w:val="superscript"/>
          <w:lang w:eastAsia="zh-CN"/>
        </w:rPr>
        <w:t xml:space="preserve"> 3</w:t>
      </w:r>
      <w:r>
        <w:rPr>
          <w:rFonts w:hint="eastAsia"/>
          <w:color w:val="auto"/>
          <w:lang w:eastAsia="zh-CN"/>
        </w:rPr>
        <w:t xml:space="preserve"> ，按甲烷密度 0.714kg/m </w:t>
      </w:r>
      <w:r>
        <w:rPr>
          <w:rFonts w:hint="eastAsia"/>
          <w:color w:val="auto"/>
          <w:vertAlign w:val="superscript"/>
          <w:lang w:eastAsia="zh-CN"/>
        </w:rPr>
        <w:t>3</w:t>
      </w:r>
      <w:r>
        <w:rPr>
          <w:rFonts w:hint="eastAsia"/>
          <w:color w:val="auto"/>
          <w:lang w:eastAsia="zh-CN"/>
        </w:rPr>
        <w:t>计）</w:t>
      </w:r>
      <w:r>
        <w:rPr>
          <w:rFonts w:hint="eastAsia"/>
          <w:color w:val="auto"/>
        </w:rPr>
        <w:t>，黑膜沼气池最大储存沼气</w:t>
      </w:r>
      <w:r>
        <w:rPr>
          <w:rFonts w:hint="eastAsia"/>
          <w:color w:val="auto"/>
          <w:lang w:val="en-US" w:eastAsia="zh-CN"/>
        </w:rPr>
        <w:t>0.274</w:t>
      </w:r>
      <w:r>
        <w:rPr>
          <w:rFonts w:hint="eastAsia"/>
          <w:color w:val="auto"/>
        </w:rPr>
        <w:t>t（拟建项目建成后，黑膜沼气池产气量约为</w:t>
      </w:r>
      <w:r>
        <w:rPr>
          <w:rFonts w:hint="eastAsia"/>
          <w:color w:val="auto"/>
          <w:lang w:val="en-US" w:eastAsia="zh-CN"/>
        </w:rPr>
        <w:t>21.349</w:t>
      </w:r>
      <w:r>
        <w:rPr>
          <w:rFonts w:hint="eastAsia"/>
          <w:color w:val="auto"/>
        </w:rPr>
        <w:t>m</w:t>
      </w:r>
      <w:r>
        <w:rPr>
          <w:rFonts w:hint="eastAsia"/>
          <w:color w:val="auto"/>
          <w:vertAlign w:val="superscript"/>
        </w:rPr>
        <w:t>3</w:t>
      </w:r>
      <w:r>
        <w:rPr>
          <w:rFonts w:hint="eastAsia"/>
          <w:color w:val="auto"/>
        </w:rPr>
        <w:t>/d，最大贮存量按一个月产气量计，密度以50%、60%、70%三种密度平均值计算，</w:t>
      </w:r>
      <w:r>
        <w:rPr>
          <w:rFonts w:hint="eastAsia"/>
          <w:color w:val="auto"/>
          <w:lang w:eastAsia="zh-CN"/>
        </w:rPr>
        <w:t xml:space="preserve">按甲烷密度 0.714kg/m </w:t>
      </w:r>
      <w:r>
        <w:rPr>
          <w:rFonts w:hint="eastAsia"/>
          <w:color w:val="auto"/>
          <w:vertAlign w:val="superscript"/>
          <w:lang w:eastAsia="zh-CN"/>
        </w:rPr>
        <w:t>3</w:t>
      </w:r>
      <w:r>
        <w:rPr>
          <w:rFonts w:hint="eastAsia"/>
          <w:color w:val="auto"/>
          <w:lang w:eastAsia="zh-CN"/>
        </w:rPr>
        <w:t>计</w:t>
      </w:r>
      <w:r>
        <w:rPr>
          <w:rFonts w:hint="eastAsia"/>
          <w:color w:val="auto"/>
        </w:rPr>
        <w:t>）</w:t>
      </w:r>
      <w:r>
        <w:rPr>
          <w:color w:val="auto"/>
        </w:rPr>
        <w:t>。本项目涉及的危险物质为柴油和沼气（甲烷），其安全技术说明书见表6.2-1和6.2-2。</w:t>
      </w:r>
    </w:p>
    <w:p>
      <w:pPr>
        <w:pStyle w:val="166"/>
        <w:spacing w:before="120" w:beforeLines="0"/>
        <w:rPr>
          <w:color w:val="auto"/>
        </w:rPr>
      </w:pPr>
      <w:r>
        <w:rPr>
          <w:color w:val="auto"/>
        </w:rPr>
        <w:t>表6.2-1</w:t>
      </w:r>
      <w:r>
        <w:rPr>
          <w:rFonts w:hint="eastAsia"/>
          <w:color w:val="auto"/>
          <w:lang w:val="en-US" w:eastAsia="zh-CN"/>
        </w:rPr>
        <w:t xml:space="preserve"> </w:t>
      </w:r>
      <w:r>
        <w:rPr>
          <w:color w:val="auto"/>
        </w:rPr>
        <w:t>柴油安全技术说明书</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fixed"/>
        <w:tblCellMar>
          <w:top w:w="0" w:type="dxa"/>
          <w:left w:w="0" w:type="dxa"/>
          <w:bottom w:w="0" w:type="dxa"/>
          <w:right w:w="0" w:type="dxa"/>
        </w:tblCellMar>
      </w:tblPr>
      <w:tblGrid>
        <w:gridCol w:w="749"/>
        <w:gridCol w:w="804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标识</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中文名称：柴油；  英文名称：Diesel oil；Diesel fuel；</w:t>
            </w:r>
          </w:p>
          <w:p>
            <w:pPr>
              <w:pStyle w:val="332"/>
              <w:widowControl/>
              <w:ind w:left="103" w:leftChars="43" w:right="142" w:rightChars="59"/>
              <w:jc w:val="both"/>
              <w:rPr>
                <w:color w:val="auto"/>
                <w:kern w:val="2"/>
                <w:sz w:val="21"/>
                <w:szCs w:val="21"/>
              </w:rPr>
            </w:pPr>
            <w:r>
              <w:rPr>
                <w:color w:val="auto"/>
                <w:kern w:val="2"/>
                <w:sz w:val="21"/>
                <w:szCs w:val="21"/>
              </w:rPr>
              <w:t>CAS NO：68334-30-5；  相对分子质量：224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理化性质</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外观与性状：稍有粘性的棕色液体。</w:t>
            </w:r>
          </w:p>
          <w:p>
            <w:pPr>
              <w:pStyle w:val="332"/>
              <w:widowControl/>
              <w:ind w:left="103" w:leftChars="43" w:right="142" w:rightChars="59"/>
              <w:jc w:val="both"/>
              <w:rPr>
                <w:color w:val="auto"/>
                <w:kern w:val="2"/>
                <w:sz w:val="21"/>
                <w:szCs w:val="21"/>
              </w:rPr>
            </w:pPr>
            <w:r>
              <w:rPr>
                <w:color w:val="auto"/>
                <w:kern w:val="2"/>
                <w:sz w:val="21"/>
                <w:szCs w:val="21"/>
              </w:rPr>
              <w:t>主要用途： 用作柴油机的燃料。</w:t>
            </w:r>
          </w:p>
          <w:p>
            <w:pPr>
              <w:pStyle w:val="332"/>
              <w:widowControl/>
              <w:ind w:left="103" w:leftChars="43" w:right="142" w:rightChars="59"/>
              <w:jc w:val="both"/>
              <w:rPr>
                <w:color w:val="auto"/>
                <w:kern w:val="2"/>
                <w:sz w:val="21"/>
                <w:szCs w:val="21"/>
              </w:rPr>
            </w:pPr>
            <w:r>
              <w:rPr>
                <w:color w:val="auto"/>
                <w:kern w:val="2"/>
                <w:sz w:val="21"/>
                <w:szCs w:val="21"/>
              </w:rPr>
              <w:t>熔点（℃）：-18；相对密度（水=1）：0.87-0.9；沸点（℃）：282-338；</w:t>
            </w:r>
          </w:p>
          <w:p>
            <w:pPr>
              <w:pStyle w:val="332"/>
              <w:widowControl/>
              <w:ind w:left="103" w:leftChars="43" w:right="142" w:rightChars="59"/>
              <w:jc w:val="both"/>
              <w:rPr>
                <w:color w:val="auto"/>
                <w:kern w:val="2"/>
                <w:sz w:val="21"/>
                <w:szCs w:val="21"/>
              </w:rPr>
            </w:pPr>
            <w:r>
              <w:rPr>
                <w:color w:val="auto"/>
                <w:kern w:val="2"/>
                <w:sz w:val="21"/>
                <w:szCs w:val="21"/>
              </w:rPr>
              <w:t>溶解性：不溶于水，能与多种有机溶剂相混溶。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燃烧爆炸危险性</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闪点（℃）：55；爆炸极限（v%）：0.7~5；</w:t>
            </w:r>
          </w:p>
          <w:p>
            <w:pPr>
              <w:pStyle w:val="332"/>
              <w:widowControl/>
              <w:ind w:left="103" w:leftChars="43" w:right="142" w:rightChars="59"/>
              <w:jc w:val="both"/>
              <w:rPr>
                <w:color w:val="auto"/>
                <w:kern w:val="2"/>
                <w:sz w:val="21"/>
                <w:szCs w:val="21"/>
              </w:rPr>
            </w:pPr>
            <w:r>
              <w:rPr>
                <w:color w:val="auto"/>
                <w:kern w:val="2"/>
                <w:sz w:val="21"/>
                <w:szCs w:val="21"/>
              </w:rPr>
              <w:t>燃爆危险：本品易燃，具刺激性。</w:t>
            </w:r>
          </w:p>
          <w:p>
            <w:pPr>
              <w:pStyle w:val="332"/>
              <w:widowControl/>
              <w:ind w:left="103" w:leftChars="43" w:right="142" w:rightChars="59"/>
              <w:jc w:val="both"/>
              <w:rPr>
                <w:color w:val="auto"/>
                <w:kern w:val="2"/>
                <w:sz w:val="21"/>
                <w:szCs w:val="21"/>
              </w:rPr>
            </w:pPr>
            <w:r>
              <w:rPr>
                <w:color w:val="auto"/>
                <w:kern w:val="2"/>
                <w:sz w:val="21"/>
                <w:szCs w:val="21"/>
              </w:rPr>
              <w:t>危险特性：遇明火、高热或与氧化剂接触，有引起燃烧爆炸的危险。若遇高热，容器内压增大，有开裂和爆炸的危险。</w:t>
            </w:r>
          </w:p>
          <w:p>
            <w:pPr>
              <w:pStyle w:val="332"/>
              <w:widowControl/>
              <w:ind w:left="103" w:leftChars="43" w:right="142" w:rightChars="59"/>
              <w:jc w:val="both"/>
              <w:rPr>
                <w:color w:val="auto"/>
                <w:kern w:val="2"/>
                <w:sz w:val="21"/>
                <w:szCs w:val="21"/>
              </w:rPr>
            </w:pPr>
            <w:r>
              <w:rPr>
                <w:color w:val="auto"/>
                <w:kern w:val="2"/>
                <w:sz w:val="21"/>
                <w:szCs w:val="21"/>
              </w:rPr>
              <w:t>燃烧（分解）产物：一氧化碳、二氧化碳。</w:t>
            </w:r>
          </w:p>
          <w:p>
            <w:pPr>
              <w:pStyle w:val="332"/>
              <w:widowControl/>
              <w:ind w:left="103" w:leftChars="43" w:right="142" w:rightChars="59"/>
              <w:jc w:val="both"/>
              <w:rPr>
                <w:color w:val="auto"/>
                <w:kern w:val="2"/>
                <w:sz w:val="21"/>
                <w:szCs w:val="21"/>
              </w:rPr>
            </w:pPr>
            <w:r>
              <w:rPr>
                <w:color w:val="auto"/>
                <w:kern w:val="2"/>
                <w:sz w:val="21"/>
                <w:szCs w:val="21"/>
              </w:rPr>
              <w:t>禁配物：强氧化剂、卤素。</w:t>
            </w:r>
          </w:p>
          <w:p>
            <w:pPr>
              <w:pStyle w:val="332"/>
              <w:widowControl/>
              <w:ind w:left="103" w:leftChars="43" w:right="142" w:rightChars="59"/>
              <w:jc w:val="both"/>
              <w:rPr>
                <w:color w:val="auto"/>
                <w:kern w:val="2"/>
                <w:sz w:val="21"/>
                <w:szCs w:val="21"/>
              </w:rPr>
            </w:pPr>
            <w:r>
              <w:rPr>
                <w:color w:val="auto"/>
                <w:kern w:val="2"/>
                <w:sz w:val="21"/>
                <w:szCs w:val="21"/>
              </w:rPr>
              <w:t>灭火方法：消防人员须佩戴防毒面具、穿全身消防服，在上风向灭火。尽可能将容器从火场移至空旷处。喷水保持火场容器冷却，直至灭火结束。处在火场中的容器若已变色或从安全泄压装置中产生声音，必须马上撤离。</w:t>
            </w:r>
          </w:p>
          <w:p>
            <w:pPr>
              <w:pStyle w:val="332"/>
              <w:widowControl/>
              <w:ind w:left="103" w:leftChars="43" w:right="142" w:rightChars="59"/>
              <w:jc w:val="both"/>
              <w:rPr>
                <w:color w:val="auto"/>
                <w:kern w:val="2"/>
                <w:sz w:val="21"/>
                <w:szCs w:val="21"/>
              </w:rPr>
            </w:pPr>
            <w:r>
              <w:rPr>
                <w:color w:val="auto"/>
                <w:kern w:val="2"/>
                <w:sz w:val="21"/>
                <w:szCs w:val="21"/>
              </w:rPr>
              <w:t>灭火剂：雾状水、泡沫、干粉、二氧化碳、砂土。</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操作与储存</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操作注意事项：密闭操作，注意通风。操作人员必须经过专门培训，严格遵守操作规程。建议操作人员佩戴自吸过滤式防毒面具（半面罩），戴化学安全防护眼镜，戴橡胶耐油手套。远离火种、热源，工作场所严禁吸烟。使用防爆型的通风系统和设备。防止蒸气泄漏到工作场所空气中。避免与氧化剂、卤素接触。充装要控制流速，防止静电积聚。搬运时要轻装轻卸，防止包装及容器损坏。配备相应品种和数量的消防器材及泄漏应急处理设备。倒空的容器可能残留有害物。</w:t>
            </w:r>
          </w:p>
          <w:p>
            <w:pPr>
              <w:pStyle w:val="332"/>
              <w:widowControl/>
              <w:ind w:left="103" w:leftChars="43" w:right="142" w:rightChars="59"/>
              <w:jc w:val="both"/>
              <w:rPr>
                <w:color w:val="auto"/>
                <w:kern w:val="2"/>
                <w:sz w:val="21"/>
                <w:szCs w:val="21"/>
              </w:rPr>
            </w:pPr>
            <w:r>
              <w:rPr>
                <w:color w:val="auto"/>
                <w:kern w:val="2"/>
                <w:sz w:val="21"/>
                <w:szCs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ind w:right="37"/>
              <w:jc w:val="center"/>
              <w:rPr>
                <w:color w:val="auto"/>
                <w:kern w:val="2"/>
                <w:sz w:val="21"/>
                <w:szCs w:val="21"/>
              </w:rPr>
            </w:pPr>
            <w:r>
              <w:rPr>
                <w:color w:val="auto"/>
                <w:kern w:val="2"/>
                <w:sz w:val="21"/>
                <w:szCs w:val="21"/>
              </w:rPr>
              <w:t>运输信息</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 氧化剂、卤素、食用化学品等混装混运。运输途中应防曝晒、雨淋，防高温。中途停留时应远 离火种、热源、高温区。装运该物品的车辆排气管必须配备阻火装置，禁止使用易产生火花的机械设备和工具装卸。运输车船必须彻底清洗、消毒，否则不得装运其它物品。船时，配装位置应远离卧室、厨房，并与机舱、电源、火源等部位隔离。公路运输时要按规定路线行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毒性、健康及环境危害性</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接触限值：中国 MAC(mg/m</w:t>
            </w:r>
            <w:r>
              <w:rPr>
                <w:color w:val="auto"/>
                <w:kern w:val="2"/>
                <w:sz w:val="21"/>
                <w:szCs w:val="21"/>
                <w:vertAlign w:val="superscript"/>
              </w:rPr>
              <w:t>3</w:t>
            </w:r>
            <w:r>
              <w:rPr>
                <w:color w:val="auto"/>
                <w:kern w:val="2"/>
                <w:sz w:val="21"/>
                <w:szCs w:val="21"/>
              </w:rPr>
              <w:t>)：未制定标准；TLVTN：未制订标准；TLVWN：未制订标准。</w:t>
            </w:r>
          </w:p>
          <w:p>
            <w:pPr>
              <w:pStyle w:val="332"/>
              <w:widowControl/>
              <w:ind w:left="103" w:leftChars="43" w:right="142" w:rightChars="59"/>
              <w:jc w:val="both"/>
              <w:rPr>
                <w:color w:val="auto"/>
                <w:kern w:val="2"/>
                <w:sz w:val="21"/>
                <w:szCs w:val="21"/>
              </w:rPr>
            </w:pPr>
            <w:r>
              <w:rPr>
                <w:color w:val="auto"/>
                <w:kern w:val="2"/>
                <w:sz w:val="21"/>
                <w:szCs w:val="21"/>
              </w:rPr>
              <w:t>急性毒性：LD50：大鼠经口7500mg/kg，兔经皮LD:＞5ml/kg。具有刺激作用。</w:t>
            </w:r>
          </w:p>
          <w:p>
            <w:pPr>
              <w:pStyle w:val="332"/>
              <w:widowControl/>
              <w:ind w:left="103" w:leftChars="43" w:right="142" w:rightChars="59"/>
              <w:jc w:val="both"/>
              <w:rPr>
                <w:color w:val="auto"/>
                <w:kern w:val="2"/>
                <w:sz w:val="21"/>
                <w:szCs w:val="21"/>
              </w:rPr>
            </w:pPr>
            <w:r>
              <w:rPr>
                <w:color w:val="auto"/>
                <w:kern w:val="2"/>
                <w:sz w:val="21"/>
                <w:szCs w:val="21"/>
              </w:rPr>
              <w:t>侵入途径：吸入、食入、经皮肤吸收。</w:t>
            </w:r>
          </w:p>
          <w:p>
            <w:pPr>
              <w:pStyle w:val="332"/>
              <w:widowControl/>
              <w:ind w:left="103" w:leftChars="43" w:right="142" w:rightChars="59"/>
              <w:jc w:val="both"/>
              <w:rPr>
                <w:color w:val="auto"/>
                <w:kern w:val="2"/>
                <w:sz w:val="21"/>
                <w:szCs w:val="21"/>
              </w:rPr>
            </w:pPr>
            <w:r>
              <w:rPr>
                <w:color w:val="auto"/>
                <w:kern w:val="2"/>
                <w:sz w:val="21"/>
                <w:szCs w:val="21"/>
              </w:rPr>
              <w:t>健康危害：皮肤接触可为主要吸收途径，可致急性肾脏损害。柴油可引起接触性皮炎、油性痤疮。吸入其雾滴或液体呛入可引起吸入性肺炎。能经胎盘进入胎儿血中。柴油废气可引起眼、鼻刺激症状，头晕及头痛。</w:t>
            </w:r>
          </w:p>
          <w:p>
            <w:pPr>
              <w:pStyle w:val="332"/>
              <w:widowControl/>
              <w:ind w:left="103" w:leftChars="43" w:right="142" w:rightChars="59"/>
              <w:jc w:val="both"/>
              <w:rPr>
                <w:color w:val="auto"/>
                <w:kern w:val="2"/>
                <w:sz w:val="21"/>
                <w:szCs w:val="21"/>
              </w:rPr>
            </w:pPr>
            <w:r>
              <w:rPr>
                <w:color w:val="auto"/>
                <w:kern w:val="2"/>
                <w:sz w:val="21"/>
                <w:szCs w:val="21"/>
              </w:rPr>
              <w:t>环境危害：对环境有危害，对水体和大气可造成污染。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急救措施</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皮肤接触：立即脱去污染的衣着，用肥皂水和清水彻底冲洗皮肤。就医。</w:t>
            </w:r>
          </w:p>
          <w:p>
            <w:pPr>
              <w:pStyle w:val="332"/>
              <w:widowControl/>
              <w:ind w:left="103" w:leftChars="43" w:right="142" w:rightChars="59"/>
              <w:jc w:val="both"/>
              <w:rPr>
                <w:color w:val="auto"/>
                <w:kern w:val="2"/>
                <w:sz w:val="21"/>
                <w:szCs w:val="21"/>
              </w:rPr>
            </w:pPr>
            <w:r>
              <w:rPr>
                <w:color w:val="auto"/>
                <w:kern w:val="2"/>
                <w:sz w:val="21"/>
                <w:szCs w:val="21"/>
              </w:rPr>
              <w:t>眼睛接触：提起眼睑，用流动清水或生理盐水冲洗。就医。</w:t>
            </w:r>
          </w:p>
          <w:p>
            <w:pPr>
              <w:pStyle w:val="332"/>
              <w:widowControl/>
              <w:ind w:left="103" w:leftChars="43" w:right="142" w:rightChars="59"/>
              <w:jc w:val="both"/>
              <w:rPr>
                <w:color w:val="auto"/>
                <w:kern w:val="2"/>
                <w:sz w:val="21"/>
                <w:szCs w:val="21"/>
              </w:rPr>
            </w:pPr>
            <w:r>
              <w:rPr>
                <w:color w:val="auto"/>
                <w:kern w:val="2"/>
                <w:sz w:val="21"/>
                <w:szCs w:val="21"/>
              </w:rPr>
              <w:t>吸入：迅速脱离现场至空气新鲜处。保持呼吸道通畅。如呼吸困难，给输氧。如呼吸停止，立即进行人工呼吸。就医。</w:t>
            </w:r>
          </w:p>
          <w:p>
            <w:pPr>
              <w:pStyle w:val="332"/>
              <w:widowControl/>
              <w:ind w:left="103" w:leftChars="43" w:right="142" w:rightChars="59"/>
              <w:jc w:val="both"/>
              <w:rPr>
                <w:color w:val="auto"/>
                <w:kern w:val="2"/>
                <w:sz w:val="21"/>
                <w:szCs w:val="21"/>
              </w:rPr>
            </w:pPr>
            <w:r>
              <w:rPr>
                <w:color w:val="auto"/>
                <w:kern w:val="2"/>
                <w:sz w:val="21"/>
                <w:szCs w:val="21"/>
              </w:rPr>
              <w:t>食入：尽快彻底洗胃，就医。</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trHeight w:val="1362" w:hRule="atLeast"/>
          <w:jc w:val="center"/>
        </w:trPr>
        <w:tc>
          <w:tcPr>
            <w:tcW w:w="749" w:type="dxa"/>
            <w:noWrap w:val="0"/>
            <w:vAlign w:val="center"/>
          </w:tcPr>
          <w:p>
            <w:pPr>
              <w:pStyle w:val="332"/>
              <w:widowControl/>
              <w:jc w:val="center"/>
              <w:rPr>
                <w:color w:val="auto"/>
                <w:kern w:val="2"/>
                <w:sz w:val="21"/>
                <w:szCs w:val="21"/>
              </w:rPr>
            </w:pPr>
            <w:r>
              <w:rPr>
                <w:color w:val="auto"/>
                <w:kern w:val="2"/>
                <w:sz w:val="21"/>
                <w:szCs w:val="21"/>
              </w:rPr>
              <w:t>防护 措施</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工程控制：密闭操作，注意通风。</w:t>
            </w:r>
          </w:p>
          <w:p>
            <w:pPr>
              <w:pStyle w:val="332"/>
              <w:widowControl/>
              <w:ind w:left="103" w:leftChars="43" w:right="142" w:rightChars="59"/>
              <w:jc w:val="both"/>
              <w:rPr>
                <w:color w:val="auto"/>
                <w:kern w:val="2"/>
                <w:sz w:val="21"/>
                <w:szCs w:val="21"/>
              </w:rPr>
            </w:pPr>
            <w:r>
              <w:rPr>
                <w:color w:val="auto"/>
                <w:kern w:val="2"/>
                <w:sz w:val="21"/>
                <w:szCs w:val="21"/>
              </w:rPr>
              <w:t>呼吸系统防护：空气中浓度超标时，建议佩戴自吸过滤式防毒面具（半面罩）。紧急事态抢救或撤离时，应该佩戴空气呼吸器。 眼睛防护：戴化学安全防护眼镜。 身体防护：穿一般作业防护服。</w:t>
            </w:r>
          </w:p>
          <w:p>
            <w:pPr>
              <w:pStyle w:val="332"/>
              <w:widowControl/>
              <w:ind w:left="103" w:leftChars="43" w:right="142" w:rightChars="59"/>
              <w:jc w:val="both"/>
              <w:rPr>
                <w:color w:val="auto"/>
                <w:kern w:val="2"/>
                <w:sz w:val="21"/>
                <w:szCs w:val="21"/>
              </w:rPr>
            </w:pPr>
            <w:r>
              <w:rPr>
                <w:color w:val="auto"/>
                <w:kern w:val="2"/>
                <w:sz w:val="21"/>
                <w:szCs w:val="21"/>
              </w:rPr>
              <w:t>手防护：戴橡胶耐油手套。</w:t>
            </w:r>
          </w:p>
          <w:p>
            <w:pPr>
              <w:pStyle w:val="332"/>
              <w:widowControl/>
              <w:ind w:left="103" w:leftChars="43" w:right="142" w:rightChars="59"/>
              <w:jc w:val="both"/>
              <w:rPr>
                <w:color w:val="auto"/>
                <w:kern w:val="2"/>
                <w:sz w:val="21"/>
                <w:szCs w:val="21"/>
              </w:rPr>
            </w:pPr>
            <w:r>
              <w:rPr>
                <w:color w:val="auto"/>
                <w:kern w:val="2"/>
                <w:sz w:val="21"/>
                <w:szCs w:val="21"/>
              </w:rPr>
              <w:t>其他防护：工作现场严禁吸烟。避免长期反复接触。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wBefore w:w="0" w:type="dxa"/>
          <w:wAfter w:w="0" w:type="dxa"/>
          <w:jc w:val="center"/>
        </w:trPr>
        <w:tc>
          <w:tcPr>
            <w:tcW w:w="749" w:type="dxa"/>
            <w:noWrap w:val="0"/>
            <w:vAlign w:val="center"/>
          </w:tcPr>
          <w:p>
            <w:pPr>
              <w:pStyle w:val="332"/>
              <w:widowControl/>
              <w:jc w:val="center"/>
              <w:rPr>
                <w:color w:val="auto"/>
                <w:kern w:val="2"/>
                <w:sz w:val="21"/>
                <w:szCs w:val="21"/>
              </w:rPr>
            </w:pPr>
            <w:r>
              <w:rPr>
                <w:color w:val="auto"/>
                <w:kern w:val="2"/>
                <w:sz w:val="21"/>
                <w:szCs w:val="21"/>
              </w:rPr>
              <w:t>泄露应急处置</w:t>
            </w:r>
          </w:p>
        </w:tc>
        <w:tc>
          <w:tcPr>
            <w:tcW w:w="8044" w:type="dxa"/>
            <w:noWrap w:val="0"/>
            <w:vAlign w:val="center"/>
          </w:tcPr>
          <w:p>
            <w:pPr>
              <w:pStyle w:val="332"/>
              <w:widowControl/>
              <w:ind w:left="103" w:leftChars="43" w:right="142" w:rightChars="59"/>
              <w:jc w:val="both"/>
              <w:rPr>
                <w:color w:val="auto"/>
                <w:kern w:val="2"/>
                <w:sz w:val="21"/>
                <w:szCs w:val="21"/>
              </w:rPr>
            </w:pPr>
            <w:r>
              <w:rPr>
                <w:color w:val="auto"/>
                <w:kern w:val="2"/>
                <w:sz w:val="21"/>
                <w:szCs w:val="21"/>
              </w:rPr>
              <w:t>迅速撤离泄漏污染区人员至安全区，并进行隔离，严格限制出入。切断火源。建议应急处理人 员戴自给正压式呼吸器，穿一般作业工作服。尽可能切断泄漏源。防止流入下水道、排洪沟等 限制性空间。小量泄漏：用活性炭或其它惰性材料吸收。大量泄漏：构筑围堤或挖坑收容。用泵转移至槽车或专用收集器内，回收或运至废物处理场所处置。</w:t>
            </w:r>
          </w:p>
        </w:tc>
      </w:tr>
    </w:tbl>
    <w:p>
      <w:pPr>
        <w:pStyle w:val="166"/>
        <w:spacing w:before="120" w:beforeLines="0"/>
        <w:rPr>
          <w:color w:val="auto"/>
        </w:rPr>
      </w:pPr>
      <w:r>
        <w:rPr>
          <w:color w:val="auto"/>
        </w:rPr>
        <w:t>表6.2-2    甲烷安全技术说明书</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23"/>
        <w:gridCol w:w="1889"/>
        <w:gridCol w:w="1459"/>
        <w:gridCol w:w="1026"/>
        <w:gridCol w:w="1536"/>
        <w:gridCol w:w="146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甲烷</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中文名</w:t>
            </w:r>
          </w:p>
        </w:tc>
        <w:tc>
          <w:tcPr>
            <w:tcW w:w="1889" w:type="dxa"/>
            <w:noWrap w:val="0"/>
            <w:vAlign w:val="center"/>
          </w:tcPr>
          <w:p>
            <w:pPr>
              <w:pStyle w:val="332"/>
              <w:kinsoku w:val="0"/>
              <w:overflowPunct w:val="0"/>
              <w:ind w:left="103" w:right="-1"/>
              <w:jc w:val="center"/>
              <w:rPr>
                <w:color w:val="auto"/>
                <w:kern w:val="2"/>
                <w:sz w:val="21"/>
                <w:szCs w:val="21"/>
              </w:rPr>
            </w:pPr>
            <w:r>
              <w:rPr>
                <w:color w:val="auto"/>
                <w:kern w:val="2"/>
                <w:sz w:val="21"/>
                <w:szCs w:val="21"/>
              </w:rPr>
              <w:t>甲烷（别名沼气）</w:t>
            </w:r>
          </w:p>
        </w:tc>
        <w:tc>
          <w:tcPr>
            <w:tcW w:w="1459" w:type="dxa"/>
            <w:noWrap w:val="0"/>
            <w:vAlign w:val="center"/>
          </w:tcPr>
          <w:p>
            <w:pPr>
              <w:pStyle w:val="332"/>
              <w:kinsoku w:val="0"/>
              <w:overflowPunct w:val="0"/>
              <w:ind w:left="477"/>
              <w:jc w:val="center"/>
              <w:rPr>
                <w:color w:val="auto"/>
                <w:kern w:val="2"/>
                <w:sz w:val="21"/>
                <w:szCs w:val="21"/>
              </w:rPr>
            </w:pPr>
            <w:r>
              <w:rPr>
                <w:color w:val="auto"/>
                <w:kern w:val="2"/>
                <w:sz w:val="21"/>
                <w:szCs w:val="21"/>
              </w:rPr>
              <w:t>英文名</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methane</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分子式</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CH</w:t>
            </w:r>
            <w:r>
              <w:rPr>
                <w:color w:val="auto"/>
                <w:kern w:val="2"/>
                <w:sz w:val="21"/>
                <w:szCs w:val="21"/>
                <w:vertAlign w:val="subscript"/>
              </w:rPr>
              <w:t>4</w:t>
            </w:r>
          </w:p>
        </w:tc>
        <w:tc>
          <w:tcPr>
            <w:tcW w:w="1459" w:type="dxa"/>
            <w:noWrap w:val="0"/>
            <w:vAlign w:val="center"/>
          </w:tcPr>
          <w:p>
            <w:pPr>
              <w:pStyle w:val="332"/>
              <w:kinsoku w:val="0"/>
              <w:overflowPunct w:val="0"/>
              <w:ind w:left="163"/>
              <w:jc w:val="center"/>
              <w:rPr>
                <w:color w:val="auto"/>
                <w:kern w:val="2"/>
                <w:sz w:val="21"/>
                <w:szCs w:val="21"/>
              </w:rPr>
            </w:pPr>
            <w:r>
              <w:rPr>
                <w:color w:val="auto"/>
                <w:kern w:val="2"/>
                <w:sz w:val="21"/>
                <w:szCs w:val="21"/>
              </w:rPr>
              <w:t>相对分子质量</w:t>
            </w:r>
          </w:p>
        </w:tc>
        <w:tc>
          <w:tcPr>
            <w:tcW w:w="1026" w:type="dxa"/>
            <w:noWrap w:val="0"/>
            <w:vAlign w:val="center"/>
          </w:tcPr>
          <w:p>
            <w:pPr>
              <w:pStyle w:val="332"/>
              <w:kinsoku w:val="0"/>
              <w:overflowPunct w:val="0"/>
              <w:jc w:val="center"/>
              <w:rPr>
                <w:color w:val="auto"/>
                <w:kern w:val="2"/>
                <w:sz w:val="21"/>
                <w:szCs w:val="21"/>
              </w:rPr>
            </w:pPr>
            <w:r>
              <w:rPr>
                <w:color w:val="auto"/>
                <w:kern w:val="2"/>
                <w:sz w:val="21"/>
                <w:szCs w:val="21"/>
              </w:rPr>
              <w:t>16.04</w:t>
            </w:r>
          </w:p>
        </w:tc>
        <w:tc>
          <w:tcPr>
            <w:tcW w:w="1536" w:type="dxa"/>
            <w:noWrap w:val="0"/>
            <w:vAlign w:val="center"/>
          </w:tcPr>
          <w:p>
            <w:pPr>
              <w:pStyle w:val="332"/>
              <w:kinsoku w:val="0"/>
              <w:overflowPunct w:val="0"/>
              <w:jc w:val="center"/>
              <w:rPr>
                <w:color w:val="auto"/>
                <w:kern w:val="2"/>
                <w:sz w:val="21"/>
                <w:szCs w:val="21"/>
              </w:rPr>
            </w:pPr>
            <w:r>
              <w:rPr>
                <w:color w:val="auto"/>
                <w:kern w:val="2"/>
                <w:sz w:val="21"/>
                <w:szCs w:val="21"/>
              </w:rPr>
              <w:t>CAS号</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74-82-8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危险性类别</w:t>
            </w:r>
          </w:p>
        </w:tc>
        <w:tc>
          <w:tcPr>
            <w:tcW w:w="4374" w:type="dxa"/>
            <w:gridSpan w:val="3"/>
            <w:noWrap w:val="0"/>
            <w:vAlign w:val="center"/>
          </w:tcPr>
          <w:p>
            <w:pPr>
              <w:pStyle w:val="332"/>
              <w:kinsoku w:val="0"/>
              <w:overflowPunct w:val="0"/>
              <w:ind w:right="1"/>
              <w:jc w:val="center"/>
              <w:rPr>
                <w:color w:val="auto"/>
                <w:kern w:val="2"/>
                <w:sz w:val="21"/>
                <w:szCs w:val="21"/>
              </w:rPr>
            </w:pPr>
            <w:r>
              <w:rPr>
                <w:color w:val="auto"/>
                <w:kern w:val="2"/>
                <w:sz w:val="21"/>
                <w:szCs w:val="21"/>
              </w:rPr>
              <w:t>易燃气体</w:t>
            </w:r>
          </w:p>
        </w:tc>
        <w:tc>
          <w:tcPr>
            <w:tcW w:w="1536" w:type="dxa"/>
            <w:noWrap w:val="0"/>
            <w:vAlign w:val="center"/>
          </w:tcPr>
          <w:p>
            <w:pPr>
              <w:pStyle w:val="332"/>
              <w:kinsoku w:val="0"/>
              <w:overflowPunct w:val="0"/>
              <w:jc w:val="center"/>
              <w:rPr>
                <w:color w:val="auto"/>
                <w:kern w:val="2"/>
                <w:sz w:val="21"/>
                <w:szCs w:val="21"/>
              </w:rPr>
            </w:pPr>
            <w:r>
              <w:rPr>
                <w:color w:val="auto"/>
                <w:kern w:val="2"/>
                <w:sz w:val="21"/>
                <w:szCs w:val="21"/>
              </w:rPr>
              <w:t>化学类别</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烷烃</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主要组成与性状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主要成分</w:t>
            </w:r>
          </w:p>
        </w:tc>
        <w:tc>
          <w:tcPr>
            <w:tcW w:w="1889" w:type="dxa"/>
            <w:noWrap w:val="0"/>
            <w:vAlign w:val="center"/>
          </w:tcPr>
          <w:p>
            <w:pPr>
              <w:pStyle w:val="332"/>
              <w:kinsoku w:val="0"/>
              <w:overflowPunct w:val="0"/>
              <w:ind w:right="1"/>
              <w:jc w:val="center"/>
              <w:rPr>
                <w:color w:val="auto"/>
                <w:kern w:val="2"/>
                <w:sz w:val="21"/>
                <w:szCs w:val="21"/>
              </w:rPr>
            </w:pPr>
            <w:r>
              <w:rPr>
                <w:color w:val="auto"/>
                <w:kern w:val="2"/>
                <w:sz w:val="21"/>
                <w:szCs w:val="21"/>
              </w:rPr>
              <w:t>甲烷</w:t>
            </w:r>
          </w:p>
        </w:tc>
        <w:tc>
          <w:tcPr>
            <w:tcW w:w="1459" w:type="dxa"/>
            <w:noWrap w:val="0"/>
            <w:vAlign w:val="center"/>
          </w:tcPr>
          <w:p>
            <w:pPr>
              <w:pStyle w:val="332"/>
              <w:kinsoku w:val="0"/>
              <w:overflowPunct w:val="0"/>
              <w:jc w:val="center"/>
              <w:rPr>
                <w:color w:val="auto"/>
                <w:kern w:val="2"/>
                <w:sz w:val="21"/>
                <w:szCs w:val="21"/>
              </w:rPr>
            </w:pPr>
            <w:r>
              <w:rPr>
                <w:color w:val="auto"/>
                <w:kern w:val="2"/>
                <w:sz w:val="21"/>
                <w:szCs w:val="21"/>
              </w:rPr>
              <w:t>外观与性状</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气态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健康危害</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侵入途径</w:t>
            </w:r>
          </w:p>
        </w:tc>
        <w:tc>
          <w:tcPr>
            <w:tcW w:w="7374" w:type="dxa"/>
            <w:gridSpan w:val="5"/>
            <w:noWrap w:val="0"/>
            <w:vAlign w:val="center"/>
          </w:tcPr>
          <w:p>
            <w:pPr>
              <w:pStyle w:val="332"/>
              <w:kinsoku w:val="0"/>
              <w:overflowPunct w:val="0"/>
              <w:jc w:val="center"/>
              <w:rPr>
                <w:color w:val="auto"/>
                <w:kern w:val="2"/>
                <w:sz w:val="21"/>
                <w:szCs w:val="21"/>
              </w:rPr>
            </w:pPr>
            <w:r>
              <w:rPr>
                <w:color w:val="auto"/>
                <w:kern w:val="2"/>
                <w:sz w:val="21"/>
                <w:szCs w:val="21"/>
              </w:rPr>
              <w:t>吸入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健康危害</w:t>
            </w:r>
          </w:p>
        </w:tc>
        <w:tc>
          <w:tcPr>
            <w:tcW w:w="7374" w:type="dxa"/>
            <w:gridSpan w:val="5"/>
            <w:noWrap w:val="0"/>
            <w:vAlign w:val="center"/>
          </w:tcPr>
          <w:p>
            <w:pPr>
              <w:pStyle w:val="332"/>
              <w:kinsoku w:val="0"/>
              <w:overflowPunct w:val="0"/>
              <w:ind w:left="103"/>
              <w:rPr>
                <w:color w:val="auto"/>
                <w:kern w:val="2"/>
                <w:sz w:val="21"/>
                <w:szCs w:val="21"/>
              </w:rPr>
            </w:pPr>
            <w:r>
              <w:rPr>
                <w:color w:val="auto"/>
                <w:kern w:val="2"/>
                <w:sz w:val="21"/>
                <w:szCs w:val="21"/>
              </w:rPr>
              <w:t>甲烷对人基本无毒，但浓度过高时，使空气中氧含量明显降低，使人窒息。当空气中甲烷达25%～30%时，可引起头痛、头晕、乏力、注意力不集中、呼吸和心跳加 速、共济失调。若不及时脱离，可致窒息死亡。皮肤接触液化本品，可致冻伤。</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危险特性与灭火方法</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危险特性</w:t>
            </w:r>
          </w:p>
        </w:tc>
        <w:tc>
          <w:tcPr>
            <w:tcW w:w="7374" w:type="dxa"/>
            <w:gridSpan w:val="5"/>
            <w:noWrap w:val="0"/>
            <w:vAlign w:val="center"/>
          </w:tcPr>
          <w:p>
            <w:pPr>
              <w:pStyle w:val="332"/>
              <w:kinsoku w:val="0"/>
              <w:overflowPunct w:val="0"/>
              <w:ind w:left="139" w:leftChars="58"/>
              <w:rPr>
                <w:color w:val="auto"/>
                <w:kern w:val="2"/>
                <w:sz w:val="21"/>
                <w:szCs w:val="21"/>
              </w:rPr>
            </w:pPr>
            <w:r>
              <w:rPr>
                <w:color w:val="auto"/>
                <w:kern w:val="2"/>
                <w:sz w:val="21"/>
                <w:szCs w:val="21"/>
              </w:rPr>
              <w:t>易燃，与空气混合能形成爆炸性混合物，遇热源和明火有燃烧爆炸的危险。与五氧化溴、氯气、次氯酸、三氟化氮、液氧、二氟化氧及其它强氧化剂接触剧烈反应。</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灭火方法</w:t>
            </w:r>
          </w:p>
        </w:tc>
        <w:tc>
          <w:tcPr>
            <w:tcW w:w="7374" w:type="dxa"/>
            <w:gridSpan w:val="5"/>
            <w:noWrap w:val="0"/>
            <w:vAlign w:val="center"/>
          </w:tcPr>
          <w:p>
            <w:pPr>
              <w:pStyle w:val="332"/>
              <w:kinsoku w:val="0"/>
              <w:overflowPunct w:val="0"/>
              <w:ind w:left="139" w:leftChars="58"/>
              <w:rPr>
                <w:color w:val="auto"/>
                <w:kern w:val="2"/>
                <w:sz w:val="21"/>
                <w:szCs w:val="21"/>
              </w:rPr>
            </w:pPr>
            <w:r>
              <w:rPr>
                <w:color w:val="auto"/>
                <w:kern w:val="2"/>
                <w:sz w:val="21"/>
                <w:szCs w:val="21"/>
              </w:rPr>
              <w:t>切断气源。若不能切断气源，则不允许熄灭泄漏处的火焰。喷水冷却容器，可能的话将容器从火场移至空旷处。灭火剂：雾状水、泡沫、二氧化碳、干粉。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毒理性质：LD</w:t>
            </w:r>
            <w:r>
              <w:rPr>
                <w:color w:val="auto"/>
                <w:kern w:val="2"/>
                <w:sz w:val="21"/>
                <w:szCs w:val="21"/>
                <w:vertAlign w:val="subscript"/>
              </w:rPr>
              <w:t>50</w:t>
            </w:r>
            <w:r>
              <w:rPr>
                <w:color w:val="auto"/>
                <w:kern w:val="2"/>
                <w:sz w:val="21"/>
                <w:szCs w:val="21"/>
              </w:rPr>
              <w:t>：无资料 LC</w:t>
            </w:r>
            <w:r>
              <w:rPr>
                <w:color w:val="auto"/>
                <w:kern w:val="2"/>
                <w:sz w:val="21"/>
                <w:szCs w:val="21"/>
                <w:vertAlign w:val="subscript"/>
              </w:rPr>
              <w:t>50</w:t>
            </w:r>
            <w:r>
              <w:rPr>
                <w:color w:val="auto"/>
                <w:kern w:val="2"/>
                <w:sz w:val="21"/>
                <w:szCs w:val="21"/>
              </w:rPr>
              <w:t>：无资料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理化性质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熔点（℃）</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-182.5</w:t>
            </w:r>
          </w:p>
        </w:tc>
        <w:tc>
          <w:tcPr>
            <w:tcW w:w="1459" w:type="dxa"/>
            <w:noWrap w:val="0"/>
            <w:vAlign w:val="center"/>
          </w:tcPr>
          <w:p>
            <w:pPr>
              <w:pStyle w:val="332"/>
              <w:kinsoku w:val="0"/>
              <w:overflowPunct w:val="0"/>
              <w:jc w:val="center"/>
              <w:rPr>
                <w:color w:val="auto"/>
                <w:kern w:val="2"/>
                <w:sz w:val="21"/>
                <w:szCs w:val="21"/>
              </w:rPr>
            </w:pPr>
            <w:r>
              <w:rPr>
                <w:color w:val="auto"/>
                <w:kern w:val="2"/>
                <w:sz w:val="21"/>
                <w:szCs w:val="21"/>
              </w:rPr>
              <w:t>沸点（℃）</w:t>
            </w:r>
          </w:p>
        </w:tc>
        <w:tc>
          <w:tcPr>
            <w:tcW w:w="1026" w:type="dxa"/>
            <w:noWrap w:val="0"/>
            <w:vAlign w:val="center"/>
          </w:tcPr>
          <w:p>
            <w:pPr>
              <w:pStyle w:val="332"/>
              <w:kinsoku w:val="0"/>
              <w:overflowPunct w:val="0"/>
              <w:jc w:val="center"/>
              <w:rPr>
                <w:color w:val="auto"/>
                <w:kern w:val="2"/>
                <w:sz w:val="21"/>
                <w:szCs w:val="21"/>
              </w:rPr>
            </w:pPr>
            <w:r>
              <w:rPr>
                <w:color w:val="auto"/>
                <w:kern w:val="2"/>
                <w:sz w:val="21"/>
                <w:szCs w:val="21"/>
              </w:rPr>
              <w:t>-161.5</w:t>
            </w:r>
          </w:p>
        </w:tc>
        <w:tc>
          <w:tcPr>
            <w:tcW w:w="1536" w:type="dxa"/>
            <w:noWrap w:val="0"/>
            <w:vAlign w:val="center"/>
          </w:tcPr>
          <w:p>
            <w:pPr>
              <w:pStyle w:val="332"/>
              <w:kinsoku w:val="0"/>
              <w:overflowPunct w:val="0"/>
              <w:jc w:val="center"/>
              <w:rPr>
                <w:color w:val="auto"/>
                <w:kern w:val="2"/>
                <w:sz w:val="21"/>
                <w:szCs w:val="21"/>
              </w:rPr>
            </w:pPr>
            <w:r>
              <w:rPr>
                <w:color w:val="auto"/>
                <w:kern w:val="2"/>
                <w:sz w:val="21"/>
                <w:szCs w:val="21"/>
              </w:rPr>
              <w:t>相对密度</w:t>
            </w:r>
          </w:p>
          <w:p>
            <w:pPr>
              <w:pStyle w:val="332"/>
              <w:kinsoku w:val="0"/>
              <w:overflowPunct w:val="0"/>
              <w:jc w:val="center"/>
              <w:rPr>
                <w:color w:val="auto"/>
                <w:kern w:val="2"/>
                <w:sz w:val="21"/>
                <w:szCs w:val="21"/>
              </w:rPr>
            </w:pPr>
            <w:r>
              <w:rPr>
                <w:color w:val="auto"/>
                <w:kern w:val="2"/>
                <w:sz w:val="21"/>
                <w:szCs w:val="21"/>
              </w:rPr>
              <w:t>（水=1）</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0.42(-164℃)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相对密度</w:t>
            </w:r>
          </w:p>
          <w:p>
            <w:pPr>
              <w:pStyle w:val="332"/>
              <w:kinsoku w:val="0"/>
              <w:overflowPunct w:val="0"/>
              <w:jc w:val="center"/>
              <w:rPr>
                <w:color w:val="auto"/>
                <w:kern w:val="2"/>
                <w:sz w:val="21"/>
                <w:szCs w:val="21"/>
              </w:rPr>
            </w:pPr>
            <w:r>
              <w:rPr>
                <w:color w:val="auto"/>
                <w:kern w:val="2"/>
                <w:sz w:val="21"/>
                <w:szCs w:val="21"/>
              </w:rPr>
              <w:t>（空气=1）</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0.55</w:t>
            </w:r>
          </w:p>
        </w:tc>
        <w:tc>
          <w:tcPr>
            <w:tcW w:w="1459" w:type="dxa"/>
            <w:noWrap w:val="0"/>
            <w:vAlign w:val="center"/>
          </w:tcPr>
          <w:p>
            <w:pPr>
              <w:pStyle w:val="332"/>
              <w:kinsoku w:val="0"/>
              <w:overflowPunct w:val="0"/>
              <w:jc w:val="center"/>
              <w:rPr>
                <w:color w:val="auto"/>
                <w:kern w:val="2"/>
                <w:sz w:val="21"/>
                <w:szCs w:val="21"/>
              </w:rPr>
            </w:pPr>
            <w:r>
              <w:rPr>
                <w:color w:val="auto"/>
                <w:kern w:val="2"/>
                <w:sz w:val="21"/>
                <w:szCs w:val="21"/>
              </w:rPr>
              <w:t>饱和蒸汽压</w:t>
            </w:r>
          </w:p>
          <w:p>
            <w:pPr>
              <w:pStyle w:val="332"/>
              <w:kinsoku w:val="0"/>
              <w:overflowPunct w:val="0"/>
              <w:jc w:val="center"/>
              <w:rPr>
                <w:color w:val="auto"/>
                <w:kern w:val="2"/>
                <w:sz w:val="21"/>
                <w:szCs w:val="21"/>
              </w:rPr>
            </w:pPr>
            <w:r>
              <w:rPr>
                <w:color w:val="auto"/>
                <w:kern w:val="2"/>
                <w:sz w:val="21"/>
                <w:szCs w:val="21"/>
              </w:rPr>
              <w:t>（mPa）</w:t>
            </w:r>
          </w:p>
        </w:tc>
        <w:tc>
          <w:tcPr>
            <w:tcW w:w="1026" w:type="dxa"/>
            <w:noWrap w:val="0"/>
            <w:vAlign w:val="center"/>
          </w:tcPr>
          <w:p>
            <w:pPr>
              <w:pStyle w:val="332"/>
              <w:kinsoku w:val="0"/>
              <w:overflowPunct w:val="0"/>
              <w:jc w:val="center"/>
              <w:rPr>
                <w:color w:val="auto"/>
                <w:kern w:val="2"/>
                <w:sz w:val="21"/>
                <w:szCs w:val="21"/>
              </w:rPr>
            </w:pPr>
            <w:r>
              <w:rPr>
                <w:color w:val="auto"/>
                <w:kern w:val="2"/>
                <w:sz w:val="21"/>
                <w:szCs w:val="21"/>
              </w:rPr>
              <w:t>53.32</w:t>
            </w:r>
          </w:p>
          <w:p>
            <w:pPr>
              <w:pStyle w:val="332"/>
              <w:kinsoku w:val="0"/>
              <w:overflowPunct w:val="0"/>
              <w:jc w:val="center"/>
              <w:rPr>
                <w:color w:val="auto"/>
                <w:kern w:val="2"/>
                <w:sz w:val="21"/>
                <w:szCs w:val="21"/>
              </w:rPr>
            </w:pPr>
            <w:r>
              <w:rPr>
                <w:color w:val="auto"/>
                <w:kern w:val="2"/>
                <w:sz w:val="21"/>
                <w:szCs w:val="21"/>
              </w:rPr>
              <w:t>(-168.8℃)</w:t>
            </w:r>
          </w:p>
        </w:tc>
        <w:tc>
          <w:tcPr>
            <w:tcW w:w="1536" w:type="dxa"/>
            <w:noWrap w:val="0"/>
            <w:vAlign w:val="center"/>
          </w:tcPr>
          <w:p>
            <w:pPr>
              <w:pStyle w:val="332"/>
              <w:kinsoku w:val="0"/>
              <w:overflowPunct w:val="0"/>
              <w:jc w:val="center"/>
              <w:rPr>
                <w:color w:val="auto"/>
                <w:kern w:val="2"/>
                <w:sz w:val="21"/>
                <w:szCs w:val="21"/>
              </w:rPr>
            </w:pPr>
            <w:r>
              <w:rPr>
                <w:color w:val="auto"/>
                <w:kern w:val="2"/>
                <w:sz w:val="21"/>
                <w:szCs w:val="21"/>
              </w:rPr>
              <w:t>辛醇/水分配系</w:t>
            </w:r>
          </w:p>
          <w:p>
            <w:pPr>
              <w:pStyle w:val="332"/>
              <w:kinsoku w:val="0"/>
              <w:overflowPunct w:val="0"/>
              <w:jc w:val="center"/>
              <w:rPr>
                <w:color w:val="auto"/>
                <w:kern w:val="2"/>
                <w:sz w:val="21"/>
                <w:szCs w:val="21"/>
              </w:rPr>
            </w:pPr>
            <w:r>
              <w:rPr>
                <w:color w:val="auto"/>
                <w:kern w:val="2"/>
                <w:sz w:val="21"/>
                <w:szCs w:val="21"/>
              </w:rPr>
              <w:t>数的对数值</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无资料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燃烧热</w:t>
            </w:r>
          </w:p>
          <w:p>
            <w:pPr>
              <w:pStyle w:val="332"/>
              <w:kinsoku w:val="0"/>
              <w:overflowPunct w:val="0"/>
              <w:jc w:val="center"/>
              <w:rPr>
                <w:color w:val="auto"/>
                <w:kern w:val="2"/>
                <w:sz w:val="21"/>
                <w:szCs w:val="21"/>
              </w:rPr>
            </w:pPr>
            <w:r>
              <w:rPr>
                <w:color w:val="auto"/>
                <w:kern w:val="2"/>
                <w:sz w:val="21"/>
                <w:szCs w:val="21"/>
              </w:rPr>
              <w:t>（kJ/mol）</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889.5</w:t>
            </w:r>
          </w:p>
        </w:tc>
        <w:tc>
          <w:tcPr>
            <w:tcW w:w="1459" w:type="dxa"/>
            <w:noWrap w:val="0"/>
            <w:vAlign w:val="center"/>
          </w:tcPr>
          <w:p>
            <w:pPr>
              <w:pStyle w:val="332"/>
              <w:kinsoku w:val="0"/>
              <w:overflowPunct w:val="0"/>
              <w:jc w:val="center"/>
              <w:rPr>
                <w:color w:val="auto"/>
                <w:kern w:val="2"/>
                <w:sz w:val="21"/>
                <w:szCs w:val="21"/>
              </w:rPr>
            </w:pPr>
            <w:r>
              <w:rPr>
                <w:color w:val="auto"/>
                <w:kern w:val="2"/>
                <w:sz w:val="21"/>
                <w:szCs w:val="21"/>
              </w:rPr>
              <w:t>临界温度（℃）</w:t>
            </w:r>
          </w:p>
        </w:tc>
        <w:tc>
          <w:tcPr>
            <w:tcW w:w="1026" w:type="dxa"/>
            <w:noWrap w:val="0"/>
            <w:vAlign w:val="center"/>
          </w:tcPr>
          <w:p>
            <w:pPr>
              <w:pStyle w:val="332"/>
              <w:kinsoku w:val="0"/>
              <w:overflowPunct w:val="0"/>
              <w:jc w:val="center"/>
              <w:rPr>
                <w:color w:val="auto"/>
                <w:kern w:val="2"/>
                <w:sz w:val="21"/>
                <w:szCs w:val="21"/>
              </w:rPr>
            </w:pPr>
            <w:r>
              <w:rPr>
                <w:color w:val="auto"/>
                <w:kern w:val="2"/>
                <w:sz w:val="21"/>
                <w:szCs w:val="21"/>
              </w:rPr>
              <w:t>-188</w:t>
            </w:r>
          </w:p>
        </w:tc>
        <w:tc>
          <w:tcPr>
            <w:tcW w:w="1536" w:type="dxa"/>
            <w:noWrap w:val="0"/>
            <w:vAlign w:val="center"/>
          </w:tcPr>
          <w:p>
            <w:pPr>
              <w:pStyle w:val="332"/>
              <w:kinsoku w:val="0"/>
              <w:overflowPunct w:val="0"/>
              <w:ind w:right="-2"/>
              <w:jc w:val="center"/>
              <w:rPr>
                <w:color w:val="auto"/>
                <w:kern w:val="2"/>
                <w:sz w:val="21"/>
                <w:szCs w:val="21"/>
              </w:rPr>
            </w:pPr>
            <w:r>
              <w:rPr>
                <w:color w:val="auto"/>
                <w:kern w:val="2"/>
                <w:sz w:val="21"/>
                <w:szCs w:val="21"/>
              </w:rPr>
              <w:t>临界压力</w:t>
            </w:r>
          </w:p>
          <w:p>
            <w:pPr>
              <w:pStyle w:val="332"/>
              <w:kinsoku w:val="0"/>
              <w:overflowPunct w:val="0"/>
              <w:ind w:right="-2"/>
              <w:jc w:val="center"/>
              <w:rPr>
                <w:color w:val="auto"/>
                <w:kern w:val="2"/>
                <w:sz w:val="21"/>
                <w:szCs w:val="21"/>
              </w:rPr>
            </w:pPr>
            <w:r>
              <w:rPr>
                <w:color w:val="auto"/>
                <w:kern w:val="2"/>
                <w:sz w:val="21"/>
                <w:szCs w:val="21"/>
              </w:rPr>
              <w:t>（MPa）</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4.59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折射率</w:t>
            </w:r>
          </w:p>
        </w:tc>
        <w:tc>
          <w:tcPr>
            <w:tcW w:w="1889" w:type="dxa"/>
            <w:noWrap w:val="0"/>
            <w:vAlign w:val="center"/>
          </w:tcPr>
          <w:p>
            <w:pPr>
              <w:pStyle w:val="332"/>
              <w:kinsoku w:val="0"/>
              <w:overflowPunct w:val="0"/>
              <w:ind w:left="1"/>
              <w:jc w:val="center"/>
              <w:rPr>
                <w:color w:val="auto"/>
                <w:kern w:val="2"/>
                <w:sz w:val="21"/>
                <w:szCs w:val="21"/>
              </w:rPr>
            </w:pPr>
            <w:r>
              <w:rPr>
                <w:color w:val="auto"/>
                <w:kern w:val="2"/>
                <w:sz w:val="21"/>
                <w:szCs w:val="21"/>
              </w:rPr>
              <w:t>—</w:t>
            </w:r>
          </w:p>
        </w:tc>
        <w:tc>
          <w:tcPr>
            <w:tcW w:w="1459" w:type="dxa"/>
            <w:noWrap w:val="0"/>
            <w:vAlign w:val="center"/>
          </w:tcPr>
          <w:p>
            <w:pPr>
              <w:pStyle w:val="332"/>
              <w:kinsoku w:val="0"/>
              <w:overflowPunct w:val="0"/>
              <w:ind w:left="477"/>
              <w:jc w:val="center"/>
              <w:rPr>
                <w:color w:val="auto"/>
                <w:kern w:val="2"/>
                <w:sz w:val="21"/>
                <w:szCs w:val="21"/>
              </w:rPr>
            </w:pPr>
            <w:r>
              <w:rPr>
                <w:color w:val="auto"/>
                <w:kern w:val="2"/>
                <w:sz w:val="21"/>
                <w:szCs w:val="21"/>
              </w:rPr>
              <w:t>溶解性</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微溶于水，溶于醇、乙醚。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燃爆特性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燃烧性</w:t>
            </w:r>
          </w:p>
        </w:tc>
        <w:tc>
          <w:tcPr>
            <w:tcW w:w="1889" w:type="dxa"/>
            <w:noWrap w:val="0"/>
            <w:vAlign w:val="center"/>
          </w:tcPr>
          <w:p>
            <w:pPr>
              <w:pStyle w:val="332"/>
              <w:kinsoku w:val="0"/>
              <w:overflowPunct w:val="0"/>
              <w:ind w:right="1"/>
              <w:jc w:val="center"/>
              <w:rPr>
                <w:color w:val="auto"/>
                <w:kern w:val="2"/>
                <w:sz w:val="21"/>
                <w:szCs w:val="21"/>
              </w:rPr>
            </w:pPr>
            <w:r>
              <w:rPr>
                <w:color w:val="auto"/>
                <w:kern w:val="2"/>
                <w:sz w:val="21"/>
                <w:szCs w:val="21"/>
              </w:rPr>
              <w:t>易燃</w:t>
            </w:r>
          </w:p>
        </w:tc>
        <w:tc>
          <w:tcPr>
            <w:tcW w:w="1459" w:type="dxa"/>
            <w:noWrap w:val="0"/>
            <w:vAlign w:val="center"/>
          </w:tcPr>
          <w:p>
            <w:pPr>
              <w:pStyle w:val="332"/>
              <w:kinsoku w:val="0"/>
              <w:overflowPunct w:val="0"/>
              <w:ind w:left="268"/>
              <w:jc w:val="center"/>
              <w:rPr>
                <w:color w:val="auto"/>
                <w:kern w:val="2"/>
                <w:sz w:val="21"/>
                <w:szCs w:val="21"/>
              </w:rPr>
            </w:pPr>
            <w:r>
              <w:rPr>
                <w:color w:val="auto"/>
                <w:kern w:val="2"/>
                <w:sz w:val="21"/>
                <w:szCs w:val="21"/>
              </w:rPr>
              <w:t>闪点（℃）</w:t>
            </w:r>
          </w:p>
        </w:tc>
        <w:tc>
          <w:tcPr>
            <w:tcW w:w="1026" w:type="dxa"/>
            <w:noWrap w:val="0"/>
            <w:vAlign w:val="center"/>
          </w:tcPr>
          <w:p>
            <w:pPr>
              <w:pStyle w:val="332"/>
              <w:kinsoku w:val="0"/>
              <w:overflowPunct w:val="0"/>
              <w:jc w:val="center"/>
              <w:rPr>
                <w:color w:val="auto"/>
                <w:kern w:val="2"/>
                <w:sz w:val="21"/>
                <w:szCs w:val="21"/>
              </w:rPr>
            </w:pPr>
            <w:r>
              <w:rPr>
                <w:color w:val="auto"/>
                <w:kern w:val="2"/>
                <w:sz w:val="21"/>
                <w:szCs w:val="21"/>
              </w:rPr>
              <w:t>4.59</w:t>
            </w:r>
          </w:p>
        </w:tc>
        <w:tc>
          <w:tcPr>
            <w:tcW w:w="1536" w:type="dxa"/>
            <w:noWrap w:val="0"/>
            <w:vAlign w:val="center"/>
          </w:tcPr>
          <w:p>
            <w:pPr>
              <w:pStyle w:val="332"/>
              <w:kinsoku w:val="0"/>
              <w:overflowPunct w:val="0"/>
              <w:ind w:left="103"/>
              <w:jc w:val="center"/>
              <w:rPr>
                <w:color w:val="auto"/>
                <w:kern w:val="2"/>
                <w:sz w:val="21"/>
                <w:szCs w:val="21"/>
              </w:rPr>
            </w:pPr>
            <w:r>
              <w:rPr>
                <w:color w:val="auto"/>
                <w:kern w:val="2"/>
                <w:sz w:val="21"/>
                <w:szCs w:val="21"/>
              </w:rPr>
              <w:t>引燃温度（℃）</w:t>
            </w:r>
          </w:p>
        </w:tc>
        <w:tc>
          <w:tcPr>
            <w:tcW w:w="1464" w:type="dxa"/>
            <w:noWrap w:val="0"/>
            <w:vAlign w:val="center"/>
          </w:tcPr>
          <w:p>
            <w:pPr>
              <w:pStyle w:val="332"/>
              <w:kinsoku w:val="0"/>
              <w:overflowPunct w:val="0"/>
              <w:jc w:val="center"/>
              <w:rPr>
                <w:color w:val="auto"/>
                <w:kern w:val="2"/>
                <w:sz w:val="21"/>
                <w:szCs w:val="21"/>
              </w:rPr>
            </w:pPr>
            <w:r>
              <w:rPr>
                <w:color w:val="auto"/>
                <w:kern w:val="2"/>
                <w:sz w:val="21"/>
                <w:szCs w:val="21"/>
              </w:rPr>
              <w:t>538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爆炸下限（%）</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5.3</w:t>
            </w:r>
          </w:p>
        </w:tc>
        <w:tc>
          <w:tcPr>
            <w:tcW w:w="2485" w:type="dxa"/>
            <w:gridSpan w:val="2"/>
            <w:noWrap w:val="0"/>
            <w:vAlign w:val="center"/>
          </w:tcPr>
          <w:p>
            <w:pPr>
              <w:pStyle w:val="332"/>
              <w:kinsoku w:val="0"/>
              <w:overflowPunct w:val="0"/>
              <w:jc w:val="center"/>
              <w:rPr>
                <w:color w:val="auto"/>
                <w:kern w:val="2"/>
                <w:sz w:val="21"/>
                <w:szCs w:val="21"/>
              </w:rPr>
            </w:pPr>
            <w:r>
              <w:rPr>
                <w:color w:val="auto"/>
                <w:kern w:val="2"/>
                <w:sz w:val="21"/>
                <w:szCs w:val="21"/>
              </w:rPr>
              <w:t>爆炸上限（%）</w:t>
            </w:r>
          </w:p>
        </w:tc>
        <w:tc>
          <w:tcPr>
            <w:tcW w:w="3000" w:type="dxa"/>
            <w:gridSpan w:val="2"/>
            <w:noWrap w:val="0"/>
            <w:vAlign w:val="center"/>
          </w:tcPr>
          <w:p>
            <w:pPr>
              <w:pStyle w:val="332"/>
              <w:kinsoku w:val="0"/>
              <w:overflowPunct w:val="0"/>
              <w:jc w:val="center"/>
              <w:rPr>
                <w:color w:val="auto"/>
                <w:kern w:val="2"/>
                <w:sz w:val="21"/>
                <w:szCs w:val="21"/>
              </w:rPr>
            </w:pPr>
            <w:r>
              <w:rPr>
                <w:color w:val="auto"/>
                <w:kern w:val="2"/>
                <w:sz w:val="21"/>
                <w:szCs w:val="21"/>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最小点火能</w:t>
            </w:r>
          </w:p>
          <w:p>
            <w:pPr>
              <w:pStyle w:val="332"/>
              <w:kinsoku w:val="0"/>
              <w:overflowPunct w:val="0"/>
              <w:jc w:val="center"/>
              <w:rPr>
                <w:color w:val="auto"/>
                <w:kern w:val="2"/>
                <w:sz w:val="21"/>
                <w:szCs w:val="21"/>
              </w:rPr>
            </w:pPr>
            <w:r>
              <w:rPr>
                <w:color w:val="auto"/>
                <w:kern w:val="2"/>
                <w:sz w:val="21"/>
                <w:szCs w:val="21"/>
              </w:rPr>
              <w:t>（mJ）</w:t>
            </w:r>
          </w:p>
        </w:tc>
        <w:tc>
          <w:tcPr>
            <w:tcW w:w="1889" w:type="dxa"/>
            <w:noWrap w:val="0"/>
            <w:vAlign w:val="center"/>
          </w:tcPr>
          <w:p>
            <w:pPr>
              <w:pStyle w:val="332"/>
              <w:kinsoku w:val="0"/>
              <w:overflowPunct w:val="0"/>
              <w:jc w:val="center"/>
              <w:rPr>
                <w:color w:val="auto"/>
                <w:kern w:val="2"/>
                <w:sz w:val="21"/>
                <w:szCs w:val="21"/>
              </w:rPr>
            </w:pPr>
            <w:r>
              <w:rPr>
                <w:color w:val="auto"/>
                <w:kern w:val="2"/>
                <w:sz w:val="21"/>
                <w:szCs w:val="21"/>
              </w:rPr>
              <w:t>－</w:t>
            </w:r>
          </w:p>
        </w:tc>
        <w:tc>
          <w:tcPr>
            <w:tcW w:w="2485" w:type="dxa"/>
            <w:gridSpan w:val="2"/>
            <w:noWrap w:val="0"/>
            <w:vAlign w:val="center"/>
          </w:tcPr>
          <w:p>
            <w:pPr>
              <w:pStyle w:val="332"/>
              <w:kinsoku w:val="0"/>
              <w:overflowPunct w:val="0"/>
              <w:jc w:val="center"/>
              <w:rPr>
                <w:color w:val="auto"/>
                <w:kern w:val="2"/>
                <w:sz w:val="21"/>
                <w:szCs w:val="21"/>
              </w:rPr>
            </w:pPr>
            <w:r>
              <w:rPr>
                <w:color w:val="auto"/>
                <w:kern w:val="2"/>
                <w:sz w:val="21"/>
                <w:szCs w:val="21"/>
              </w:rPr>
              <w:t>最大爆炸压力（MPa）</w:t>
            </w:r>
          </w:p>
        </w:tc>
        <w:tc>
          <w:tcPr>
            <w:tcW w:w="3000" w:type="dxa"/>
            <w:gridSpan w:val="2"/>
            <w:noWrap w:val="0"/>
            <w:vAlign w:val="center"/>
          </w:tcPr>
          <w:p>
            <w:pPr>
              <w:pStyle w:val="332"/>
              <w:kinsoku w:val="0"/>
              <w:overflowPunct w:val="0"/>
              <w:jc w:val="center"/>
              <w:rPr>
                <w:color w:val="auto"/>
                <w:kern w:val="2"/>
                <w:sz w:val="21"/>
                <w:szCs w:val="21"/>
              </w:rPr>
            </w:pPr>
            <w:r>
              <w:rPr>
                <w:color w:val="auto"/>
                <w:kern w:val="2"/>
                <w:sz w:val="2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8797" w:type="dxa"/>
            <w:gridSpan w:val="6"/>
            <w:noWrap w:val="0"/>
            <w:vAlign w:val="center"/>
          </w:tcPr>
          <w:p>
            <w:pPr>
              <w:pStyle w:val="332"/>
              <w:kinsoku w:val="0"/>
              <w:overflowPunct w:val="0"/>
              <w:jc w:val="center"/>
              <w:rPr>
                <w:color w:val="auto"/>
                <w:kern w:val="2"/>
                <w:sz w:val="21"/>
                <w:szCs w:val="21"/>
              </w:rPr>
            </w:pPr>
            <w:r>
              <w:rPr>
                <w:color w:val="auto"/>
                <w:kern w:val="2"/>
                <w:sz w:val="21"/>
                <w:szCs w:val="21"/>
              </w:rPr>
              <w:t>稳定性和反应活性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稳定性</w:t>
            </w:r>
          </w:p>
        </w:tc>
        <w:tc>
          <w:tcPr>
            <w:tcW w:w="1889" w:type="dxa"/>
            <w:noWrap w:val="0"/>
            <w:vAlign w:val="center"/>
          </w:tcPr>
          <w:p>
            <w:pPr>
              <w:pStyle w:val="332"/>
              <w:kinsoku w:val="0"/>
              <w:overflowPunct w:val="0"/>
              <w:ind w:right="1"/>
              <w:jc w:val="center"/>
              <w:rPr>
                <w:color w:val="auto"/>
                <w:kern w:val="2"/>
                <w:sz w:val="21"/>
                <w:szCs w:val="21"/>
              </w:rPr>
            </w:pPr>
            <w:r>
              <w:rPr>
                <w:color w:val="auto"/>
                <w:kern w:val="2"/>
                <w:sz w:val="21"/>
                <w:szCs w:val="21"/>
              </w:rPr>
              <w:t>稳定</w:t>
            </w:r>
          </w:p>
        </w:tc>
        <w:tc>
          <w:tcPr>
            <w:tcW w:w="1459" w:type="dxa"/>
            <w:noWrap w:val="0"/>
            <w:vAlign w:val="center"/>
          </w:tcPr>
          <w:p>
            <w:pPr>
              <w:pStyle w:val="332"/>
              <w:kinsoku w:val="0"/>
              <w:overflowPunct w:val="0"/>
              <w:ind w:left="372"/>
              <w:jc w:val="center"/>
              <w:rPr>
                <w:color w:val="auto"/>
                <w:kern w:val="2"/>
                <w:sz w:val="21"/>
                <w:szCs w:val="21"/>
              </w:rPr>
            </w:pPr>
            <w:r>
              <w:rPr>
                <w:color w:val="auto"/>
                <w:kern w:val="2"/>
                <w:sz w:val="21"/>
                <w:szCs w:val="21"/>
              </w:rPr>
              <w:t>聚合危害</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4771" w:type="dxa"/>
            <w:gridSpan w:val="3"/>
            <w:noWrap w:val="0"/>
            <w:vAlign w:val="center"/>
          </w:tcPr>
          <w:p>
            <w:pPr>
              <w:pStyle w:val="332"/>
              <w:kinsoku w:val="0"/>
              <w:overflowPunct w:val="0"/>
              <w:jc w:val="center"/>
              <w:rPr>
                <w:color w:val="auto"/>
                <w:kern w:val="2"/>
                <w:sz w:val="21"/>
                <w:szCs w:val="21"/>
              </w:rPr>
            </w:pPr>
            <w:r>
              <w:rPr>
                <w:color w:val="auto"/>
                <w:kern w:val="2"/>
                <w:sz w:val="21"/>
                <w:szCs w:val="21"/>
              </w:rPr>
              <w:t>避免接触条件</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4771" w:type="dxa"/>
            <w:gridSpan w:val="3"/>
            <w:noWrap w:val="0"/>
            <w:vAlign w:val="center"/>
          </w:tcPr>
          <w:p>
            <w:pPr>
              <w:pStyle w:val="332"/>
              <w:kinsoku w:val="0"/>
              <w:overflowPunct w:val="0"/>
              <w:jc w:val="center"/>
              <w:rPr>
                <w:color w:val="auto"/>
                <w:kern w:val="2"/>
                <w:sz w:val="21"/>
                <w:szCs w:val="21"/>
              </w:rPr>
            </w:pPr>
            <w:r>
              <w:rPr>
                <w:color w:val="auto"/>
                <w:kern w:val="2"/>
                <w:sz w:val="21"/>
                <w:szCs w:val="21"/>
              </w:rPr>
              <w:t>禁忌物</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强氧化剂、氟、氯。</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4771" w:type="dxa"/>
            <w:gridSpan w:val="3"/>
            <w:noWrap w:val="0"/>
            <w:vAlign w:val="center"/>
          </w:tcPr>
          <w:p>
            <w:pPr>
              <w:pStyle w:val="332"/>
              <w:kinsoku w:val="0"/>
              <w:overflowPunct w:val="0"/>
              <w:jc w:val="center"/>
              <w:rPr>
                <w:color w:val="auto"/>
                <w:kern w:val="2"/>
                <w:sz w:val="21"/>
                <w:szCs w:val="21"/>
              </w:rPr>
            </w:pPr>
            <w:r>
              <w:rPr>
                <w:color w:val="auto"/>
                <w:kern w:val="2"/>
                <w:sz w:val="21"/>
                <w:szCs w:val="21"/>
              </w:rPr>
              <w:t>燃烧（分解）产物</w:t>
            </w:r>
          </w:p>
        </w:tc>
        <w:tc>
          <w:tcPr>
            <w:tcW w:w="4026" w:type="dxa"/>
            <w:gridSpan w:val="3"/>
            <w:noWrap w:val="0"/>
            <w:vAlign w:val="center"/>
          </w:tcPr>
          <w:p>
            <w:pPr>
              <w:pStyle w:val="332"/>
              <w:kinsoku w:val="0"/>
              <w:overflowPunct w:val="0"/>
              <w:jc w:val="center"/>
              <w:rPr>
                <w:color w:val="auto"/>
                <w:kern w:val="2"/>
                <w:sz w:val="21"/>
                <w:szCs w:val="21"/>
              </w:rPr>
            </w:pPr>
            <w:r>
              <w:rPr>
                <w:color w:val="auto"/>
                <w:kern w:val="2"/>
                <w:sz w:val="21"/>
                <w:szCs w:val="21"/>
              </w:rPr>
              <w:t>一氧化碳、二氧化碳、水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wBefore w:w="0" w:type="dxa"/>
          <w:wAfter w:w="0" w:type="dxa"/>
          <w:jc w:val="center"/>
        </w:trPr>
        <w:tc>
          <w:tcPr>
            <w:tcW w:w="1423" w:type="dxa"/>
            <w:noWrap w:val="0"/>
            <w:vAlign w:val="center"/>
          </w:tcPr>
          <w:p>
            <w:pPr>
              <w:pStyle w:val="332"/>
              <w:kinsoku w:val="0"/>
              <w:overflowPunct w:val="0"/>
              <w:jc w:val="center"/>
              <w:rPr>
                <w:color w:val="auto"/>
                <w:kern w:val="2"/>
                <w:sz w:val="21"/>
                <w:szCs w:val="21"/>
              </w:rPr>
            </w:pPr>
            <w:r>
              <w:rPr>
                <w:color w:val="auto"/>
                <w:kern w:val="2"/>
                <w:sz w:val="21"/>
                <w:szCs w:val="21"/>
              </w:rPr>
              <w:t>对应的事故防范措施</w:t>
            </w:r>
          </w:p>
        </w:tc>
        <w:tc>
          <w:tcPr>
            <w:tcW w:w="7374" w:type="dxa"/>
            <w:gridSpan w:val="5"/>
            <w:noWrap w:val="0"/>
            <w:vAlign w:val="center"/>
          </w:tcPr>
          <w:p>
            <w:pPr>
              <w:pStyle w:val="332"/>
              <w:kinsoku w:val="0"/>
              <w:overflowPunct w:val="0"/>
              <w:ind w:left="103"/>
              <w:rPr>
                <w:color w:val="auto"/>
                <w:kern w:val="2"/>
                <w:sz w:val="21"/>
                <w:szCs w:val="21"/>
              </w:rPr>
            </w:pPr>
            <w:r>
              <w:rPr>
                <w:color w:val="auto"/>
                <w:kern w:val="2"/>
                <w:sz w:val="21"/>
                <w:szCs w:val="21"/>
              </w:rPr>
              <w:t>应急处理：迅速撤离泄漏污染区人员至上风处，并进行隔离，严格限制出入。切断火源。建议应急处理人员戴自给正压式呼吸器，穿防静电工作服。尽可能切断泄漏 源。合理通风，加速扩散。喷雾状水稀释、溶解。构筑围堤或挖坑收容产生的大量 废水。如有可能，将漏出气用排风机送至空旷地方或装设适当喷头烧掉。也可以将 漏气的容器移至空旷处，注意通风。漏气容器要妥善处理，修复、检验后再用。 急救措施：皮肤接触或眼睛接触：皮肤或眼睛接触液态甲烷会冻伤，应及时就医。 吸入：迅速脱离现场至空气新鲜处。保持呼吸道通畅。如呼吸困难，给输氧。如呼 吸停止，立即进行人工呼吸。就医。</w:t>
            </w:r>
          </w:p>
        </w:tc>
      </w:tr>
    </w:tbl>
    <w:p>
      <w:pPr>
        <w:spacing w:before="120" w:beforeLines="50"/>
        <w:ind w:firstLine="480"/>
        <w:rPr>
          <w:color w:val="auto"/>
        </w:rPr>
      </w:pPr>
      <w:r>
        <w:rPr>
          <w:bCs/>
          <w:color w:val="auto"/>
        </w:rPr>
        <w:t>本项目为</w:t>
      </w:r>
      <w:r>
        <w:rPr>
          <w:rFonts w:hint="eastAsia"/>
          <w:bCs/>
          <w:color w:val="auto"/>
          <w:lang w:eastAsia="zh-CN"/>
        </w:rPr>
        <w:t>养猪场</w:t>
      </w:r>
      <w:r>
        <w:rPr>
          <w:bCs/>
          <w:color w:val="auto"/>
        </w:rPr>
        <w:t>建设项目，主要危险物质</w:t>
      </w:r>
      <w:r>
        <w:rPr>
          <w:color w:val="auto"/>
        </w:rPr>
        <w:t>危险特性见表6.2-3。</w:t>
      </w:r>
      <w:r>
        <w:rPr>
          <w:rFonts w:hint="eastAsia"/>
          <w:color w:val="auto"/>
        </w:rPr>
        <w:t xml:space="preserve"> </w:t>
      </w:r>
    </w:p>
    <w:p>
      <w:pPr>
        <w:pStyle w:val="166"/>
        <w:spacing w:before="120" w:beforeLines="0"/>
        <w:rPr>
          <w:color w:val="auto"/>
        </w:rPr>
      </w:pPr>
      <w:r>
        <w:rPr>
          <w:color w:val="auto"/>
        </w:rPr>
        <w:t>表6.2-3</w:t>
      </w:r>
      <w:r>
        <w:rPr>
          <w:rFonts w:hint="eastAsia"/>
          <w:color w:val="auto"/>
          <w:lang w:val="en-US" w:eastAsia="zh-CN"/>
        </w:rPr>
        <w:t xml:space="preserve"> </w:t>
      </w:r>
      <w:r>
        <w:rPr>
          <w:color w:val="auto"/>
        </w:rPr>
        <w:t>主要危险物质危险特性表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555"/>
        <w:gridCol w:w="1326"/>
        <w:gridCol w:w="810"/>
        <w:gridCol w:w="1266"/>
        <w:gridCol w:w="1299"/>
        <w:gridCol w:w="1215"/>
        <w:gridCol w:w="8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80" w:type="dxa"/>
            <w:noWrap w:val="0"/>
            <w:vAlign w:val="center"/>
          </w:tcPr>
          <w:p>
            <w:pPr>
              <w:spacing w:line="240" w:lineRule="auto"/>
              <w:ind w:firstLine="0" w:firstLineChars="0"/>
              <w:jc w:val="center"/>
              <w:rPr>
                <w:b/>
                <w:color w:val="auto"/>
                <w:sz w:val="20"/>
                <w:szCs w:val="20"/>
              </w:rPr>
            </w:pPr>
            <w:r>
              <w:rPr>
                <w:b/>
                <w:color w:val="auto"/>
                <w:sz w:val="20"/>
                <w:szCs w:val="20"/>
              </w:rPr>
              <w:t>序号</w:t>
            </w:r>
          </w:p>
        </w:tc>
        <w:tc>
          <w:tcPr>
            <w:tcW w:w="1555" w:type="dxa"/>
            <w:noWrap w:val="0"/>
            <w:vAlign w:val="center"/>
          </w:tcPr>
          <w:p>
            <w:pPr>
              <w:spacing w:line="240" w:lineRule="auto"/>
              <w:ind w:firstLine="0" w:firstLineChars="0"/>
              <w:jc w:val="center"/>
              <w:rPr>
                <w:b/>
                <w:color w:val="auto"/>
                <w:sz w:val="20"/>
                <w:szCs w:val="20"/>
              </w:rPr>
            </w:pPr>
            <w:r>
              <w:rPr>
                <w:b/>
                <w:color w:val="auto"/>
                <w:sz w:val="20"/>
                <w:szCs w:val="20"/>
              </w:rPr>
              <w:t>物料名称</w:t>
            </w:r>
          </w:p>
        </w:tc>
        <w:tc>
          <w:tcPr>
            <w:tcW w:w="1326" w:type="dxa"/>
            <w:noWrap w:val="0"/>
            <w:vAlign w:val="center"/>
          </w:tcPr>
          <w:p>
            <w:pPr>
              <w:spacing w:line="240" w:lineRule="auto"/>
              <w:ind w:firstLine="0" w:firstLineChars="0"/>
              <w:jc w:val="center"/>
              <w:rPr>
                <w:b/>
                <w:color w:val="auto"/>
                <w:sz w:val="20"/>
                <w:szCs w:val="20"/>
              </w:rPr>
            </w:pPr>
            <w:r>
              <w:rPr>
                <w:b/>
                <w:color w:val="auto"/>
                <w:sz w:val="20"/>
                <w:szCs w:val="20"/>
              </w:rPr>
              <w:t>主要成分</w:t>
            </w:r>
          </w:p>
        </w:tc>
        <w:tc>
          <w:tcPr>
            <w:tcW w:w="810" w:type="dxa"/>
            <w:noWrap w:val="0"/>
            <w:vAlign w:val="center"/>
          </w:tcPr>
          <w:p>
            <w:pPr>
              <w:spacing w:line="240" w:lineRule="auto"/>
              <w:ind w:firstLine="0" w:firstLineChars="0"/>
              <w:jc w:val="center"/>
              <w:rPr>
                <w:b/>
                <w:color w:val="auto"/>
                <w:sz w:val="20"/>
                <w:szCs w:val="20"/>
              </w:rPr>
            </w:pPr>
            <w:r>
              <w:rPr>
                <w:b/>
                <w:color w:val="auto"/>
                <w:sz w:val="20"/>
                <w:szCs w:val="20"/>
              </w:rPr>
              <w:t>状态</w:t>
            </w:r>
          </w:p>
        </w:tc>
        <w:tc>
          <w:tcPr>
            <w:tcW w:w="1266" w:type="dxa"/>
            <w:noWrap w:val="0"/>
            <w:vAlign w:val="center"/>
          </w:tcPr>
          <w:p>
            <w:pPr>
              <w:spacing w:line="240" w:lineRule="auto"/>
              <w:ind w:firstLine="0" w:firstLineChars="0"/>
              <w:jc w:val="center"/>
              <w:rPr>
                <w:b/>
                <w:color w:val="auto"/>
                <w:sz w:val="20"/>
                <w:szCs w:val="20"/>
              </w:rPr>
            </w:pPr>
            <w:r>
              <w:rPr>
                <w:b/>
                <w:color w:val="auto"/>
                <w:sz w:val="20"/>
                <w:szCs w:val="20"/>
              </w:rPr>
              <w:t>储存方式</w:t>
            </w:r>
          </w:p>
        </w:tc>
        <w:tc>
          <w:tcPr>
            <w:tcW w:w="1299" w:type="dxa"/>
            <w:noWrap w:val="0"/>
            <w:vAlign w:val="center"/>
          </w:tcPr>
          <w:p>
            <w:pPr>
              <w:spacing w:line="240" w:lineRule="auto"/>
              <w:ind w:firstLine="0" w:firstLineChars="0"/>
              <w:jc w:val="center"/>
              <w:rPr>
                <w:b/>
                <w:color w:val="auto"/>
                <w:sz w:val="20"/>
                <w:szCs w:val="20"/>
              </w:rPr>
            </w:pPr>
            <w:r>
              <w:rPr>
                <w:b/>
                <w:color w:val="auto"/>
                <w:sz w:val="20"/>
                <w:szCs w:val="20"/>
              </w:rPr>
              <w:t>最大储存量</w:t>
            </w:r>
          </w:p>
        </w:tc>
        <w:tc>
          <w:tcPr>
            <w:tcW w:w="1215" w:type="dxa"/>
            <w:noWrap w:val="0"/>
            <w:vAlign w:val="center"/>
          </w:tcPr>
          <w:p>
            <w:pPr>
              <w:spacing w:line="240" w:lineRule="auto"/>
              <w:ind w:firstLine="0" w:firstLineChars="0"/>
              <w:jc w:val="center"/>
              <w:rPr>
                <w:b/>
                <w:color w:val="auto"/>
                <w:sz w:val="20"/>
                <w:szCs w:val="20"/>
              </w:rPr>
            </w:pPr>
            <w:r>
              <w:rPr>
                <w:b/>
                <w:color w:val="auto"/>
                <w:sz w:val="20"/>
                <w:szCs w:val="20"/>
              </w:rPr>
              <w:t>CAS号</w:t>
            </w:r>
          </w:p>
        </w:tc>
        <w:tc>
          <w:tcPr>
            <w:tcW w:w="852" w:type="dxa"/>
            <w:noWrap w:val="0"/>
            <w:vAlign w:val="center"/>
          </w:tcPr>
          <w:p>
            <w:pPr>
              <w:spacing w:line="240" w:lineRule="auto"/>
              <w:ind w:firstLine="0" w:firstLineChars="0"/>
              <w:jc w:val="center"/>
              <w:rPr>
                <w:b/>
                <w:color w:val="auto"/>
                <w:sz w:val="20"/>
                <w:szCs w:val="20"/>
              </w:rPr>
            </w:pPr>
            <w:r>
              <w:rPr>
                <w:b/>
                <w:color w:val="auto"/>
                <w:sz w:val="20"/>
                <w:szCs w:val="20"/>
              </w:rPr>
              <w:t>特性/危险性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80" w:type="dxa"/>
            <w:noWrap w:val="0"/>
            <w:vAlign w:val="center"/>
          </w:tcPr>
          <w:p>
            <w:pPr>
              <w:spacing w:line="240" w:lineRule="auto"/>
              <w:ind w:firstLine="0" w:firstLineChars="0"/>
              <w:jc w:val="center"/>
              <w:rPr>
                <w:color w:val="auto"/>
                <w:sz w:val="20"/>
                <w:szCs w:val="20"/>
              </w:rPr>
            </w:pPr>
            <w:r>
              <w:rPr>
                <w:color w:val="auto"/>
                <w:sz w:val="20"/>
                <w:szCs w:val="20"/>
              </w:rPr>
              <w:t>1</w:t>
            </w:r>
          </w:p>
        </w:tc>
        <w:tc>
          <w:tcPr>
            <w:tcW w:w="1555" w:type="dxa"/>
            <w:noWrap w:val="0"/>
            <w:vAlign w:val="center"/>
          </w:tcPr>
          <w:p>
            <w:pPr>
              <w:spacing w:line="240" w:lineRule="auto"/>
              <w:ind w:firstLine="0" w:firstLineChars="0"/>
              <w:jc w:val="center"/>
              <w:rPr>
                <w:color w:val="auto"/>
                <w:sz w:val="20"/>
                <w:szCs w:val="20"/>
              </w:rPr>
            </w:pPr>
            <w:r>
              <w:rPr>
                <w:color w:val="auto"/>
                <w:sz w:val="20"/>
                <w:szCs w:val="20"/>
              </w:rPr>
              <w:t>柴油</w:t>
            </w:r>
          </w:p>
        </w:tc>
        <w:tc>
          <w:tcPr>
            <w:tcW w:w="1326" w:type="dxa"/>
            <w:noWrap w:val="0"/>
            <w:vAlign w:val="center"/>
          </w:tcPr>
          <w:p>
            <w:pPr>
              <w:spacing w:line="240" w:lineRule="auto"/>
              <w:ind w:firstLine="0" w:firstLineChars="0"/>
              <w:jc w:val="center"/>
              <w:rPr>
                <w:color w:val="auto"/>
                <w:sz w:val="20"/>
                <w:szCs w:val="20"/>
              </w:rPr>
            </w:pPr>
            <w:r>
              <w:rPr>
                <w:color w:val="auto"/>
                <w:sz w:val="20"/>
                <w:szCs w:val="20"/>
              </w:rPr>
              <w:t>烃类混合物</w:t>
            </w:r>
          </w:p>
        </w:tc>
        <w:tc>
          <w:tcPr>
            <w:tcW w:w="810" w:type="dxa"/>
            <w:noWrap w:val="0"/>
            <w:vAlign w:val="center"/>
          </w:tcPr>
          <w:p>
            <w:pPr>
              <w:spacing w:line="240" w:lineRule="auto"/>
              <w:ind w:firstLine="0" w:firstLineChars="0"/>
              <w:jc w:val="center"/>
              <w:rPr>
                <w:color w:val="auto"/>
                <w:sz w:val="20"/>
                <w:szCs w:val="20"/>
              </w:rPr>
            </w:pPr>
            <w:r>
              <w:rPr>
                <w:color w:val="auto"/>
                <w:sz w:val="20"/>
                <w:szCs w:val="20"/>
              </w:rPr>
              <w:t>液态</w:t>
            </w:r>
          </w:p>
        </w:tc>
        <w:tc>
          <w:tcPr>
            <w:tcW w:w="1266" w:type="dxa"/>
            <w:noWrap w:val="0"/>
            <w:vAlign w:val="center"/>
          </w:tcPr>
          <w:p>
            <w:pPr>
              <w:spacing w:line="240" w:lineRule="auto"/>
              <w:ind w:firstLine="0" w:firstLineChars="0"/>
              <w:jc w:val="center"/>
              <w:rPr>
                <w:color w:val="auto"/>
                <w:sz w:val="20"/>
                <w:szCs w:val="20"/>
              </w:rPr>
            </w:pPr>
            <w:r>
              <w:rPr>
                <w:color w:val="auto"/>
                <w:sz w:val="20"/>
                <w:szCs w:val="20"/>
              </w:rPr>
              <w:t>钢桶</w:t>
            </w:r>
          </w:p>
        </w:tc>
        <w:tc>
          <w:tcPr>
            <w:tcW w:w="1299" w:type="dxa"/>
            <w:noWrap w:val="0"/>
            <w:vAlign w:val="center"/>
          </w:tcPr>
          <w:p>
            <w:pPr>
              <w:spacing w:line="240" w:lineRule="auto"/>
              <w:ind w:firstLine="0" w:firstLineChars="0"/>
              <w:jc w:val="center"/>
              <w:rPr>
                <w:color w:val="auto"/>
                <w:sz w:val="20"/>
                <w:szCs w:val="20"/>
              </w:rPr>
            </w:pPr>
            <w:r>
              <w:rPr>
                <w:color w:val="auto"/>
                <w:sz w:val="20"/>
                <w:szCs w:val="20"/>
              </w:rPr>
              <w:t>0.48t</w:t>
            </w:r>
          </w:p>
        </w:tc>
        <w:tc>
          <w:tcPr>
            <w:tcW w:w="1215" w:type="dxa"/>
            <w:noWrap w:val="0"/>
            <w:vAlign w:val="center"/>
          </w:tcPr>
          <w:p>
            <w:pPr>
              <w:spacing w:line="240" w:lineRule="auto"/>
              <w:ind w:firstLine="0" w:firstLineChars="0"/>
              <w:jc w:val="center"/>
              <w:rPr>
                <w:color w:val="auto"/>
                <w:sz w:val="20"/>
                <w:szCs w:val="20"/>
              </w:rPr>
            </w:pPr>
            <w:r>
              <w:rPr>
                <w:color w:val="auto"/>
                <w:sz w:val="20"/>
                <w:szCs w:val="20"/>
              </w:rPr>
              <w:t>/</w:t>
            </w:r>
          </w:p>
        </w:tc>
        <w:tc>
          <w:tcPr>
            <w:tcW w:w="852" w:type="dxa"/>
            <w:noWrap w:val="0"/>
            <w:vAlign w:val="center"/>
          </w:tcPr>
          <w:p>
            <w:pPr>
              <w:spacing w:line="240" w:lineRule="auto"/>
              <w:ind w:firstLine="0" w:firstLineChars="0"/>
              <w:jc w:val="center"/>
              <w:rPr>
                <w:color w:val="auto"/>
                <w:sz w:val="20"/>
                <w:szCs w:val="20"/>
              </w:rPr>
            </w:pPr>
            <w:r>
              <w:rPr>
                <w:color w:val="auto"/>
                <w:sz w:val="20"/>
                <w:szCs w:val="20"/>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80" w:type="dxa"/>
            <w:noWrap w:val="0"/>
            <w:vAlign w:val="center"/>
          </w:tcPr>
          <w:p>
            <w:pPr>
              <w:spacing w:line="240" w:lineRule="auto"/>
              <w:ind w:firstLine="0" w:firstLineChars="0"/>
              <w:jc w:val="center"/>
              <w:rPr>
                <w:color w:val="auto"/>
                <w:sz w:val="20"/>
                <w:szCs w:val="20"/>
              </w:rPr>
            </w:pPr>
            <w:r>
              <w:rPr>
                <w:color w:val="auto"/>
                <w:sz w:val="20"/>
                <w:szCs w:val="20"/>
              </w:rPr>
              <w:t>2</w:t>
            </w:r>
          </w:p>
        </w:tc>
        <w:tc>
          <w:tcPr>
            <w:tcW w:w="1555" w:type="dxa"/>
            <w:noWrap w:val="0"/>
            <w:vAlign w:val="center"/>
          </w:tcPr>
          <w:p>
            <w:pPr>
              <w:spacing w:line="240" w:lineRule="auto"/>
              <w:ind w:firstLine="0" w:firstLineChars="0"/>
              <w:jc w:val="center"/>
              <w:rPr>
                <w:color w:val="auto"/>
                <w:sz w:val="20"/>
                <w:szCs w:val="20"/>
              </w:rPr>
            </w:pPr>
            <w:r>
              <w:rPr>
                <w:color w:val="auto"/>
                <w:sz w:val="20"/>
                <w:szCs w:val="20"/>
              </w:rPr>
              <w:t>沼气（甲烷）</w:t>
            </w:r>
          </w:p>
        </w:tc>
        <w:tc>
          <w:tcPr>
            <w:tcW w:w="1326" w:type="dxa"/>
            <w:noWrap w:val="0"/>
            <w:vAlign w:val="center"/>
          </w:tcPr>
          <w:p>
            <w:pPr>
              <w:spacing w:line="240" w:lineRule="auto"/>
              <w:ind w:firstLine="0" w:firstLineChars="0"/>
              <w:jc w:val="center"/>
              <w:rPr>
                <w:color w:val="auto"/>
                <w:sz w:val="20"/>
                <w:szCs w:val="20"/>
              </w:rPr>
            </w:pPr>
            <w:r>
              <w:rPr>
                <w:color w:val="auto"/>
                <w:sz w:val="20"/>
                <w:szCs w:val="20"/>
              </w:rPr>
              <w:t>CH</w:t>
            </w:r>
            <w:r>
              <w:rPr>
                <w:color w:val="auto"/>
                <w:sz w:val="20"/>
                <w:szCs w:val="20"/>
                <w:vertAlign w:val="subscript"/>
              </w:rPr>
              <w:t>4</w:t>
            </w:r>
          </w:p>
        </w:tc>
        <w:tc>
          <w:tcPr>
            <w:tcW w:w="810" w:type="dxa"/>
            <w:noWrap w:val="0"/>
            <w:vAlign w:val="center"/>
          </w:tcPr>
          <w:p>
            <w:pPr>
              <w:spacing w:line="240" w:lineRule="auto"/>
              <w:ind w:firstLine="0" w:firstLineChars="0"/>
              <w:jc w:val="center"/>
              <w:rPr>
                <w:color w:val="auto"/>
                <w:sz w:val="20"/>
                <w:szCs w:val="20"/>
              </w:rPr>
            </w:pPr>
            <w:r>
              <w:rPr>
                <w:color w:val="auto"/>
                <w:sz w:val="20"/>
                <w:szCs w:val="20"/>
              </w:rPr>
              <w:t>气态</w:t>
            </w:r>
          </w:p>
        </w:tc>
        <w:tc>
          <w:tcPr>
            <w:tcW w:w="1266" w:type="dxa"/>
            <w:noWrap w:val="0"/>
            <w:vAlign w:val="center"/>
          </w:tcPr>
          <w:p>
            <w:pPr>
              <w:spacing w:line="240" w:lineRule="auto"/>
              <w:ind w:firstLine="0" w:firstLineChars="0"/>
              <w:jc w:val="center"/>
              <w:rPr>
                <w:color w:val="auto"/>
                <w:sz w:val="20"/>
                <w:szCs w:val="20"/>
              </w:rPr>
            </w:pPr>
            <w:r>
              <w:rPr>
                <w:color w:val="auto"/>
                <w:sz w:val="20"/>
                <w:szCs w:val="20"/>
              </w:rPr>
              <w:t>储气柜</w:t>
            </w:r>
          </w:p>
        </w:tc>
        <w:tc>
          <w:tcPr>
            <w:tcW w:w="1299" w:type="dxa"/>
            <w:noWrap w:val="0"/>
            <w:vAlign w:val="center"/>
          </w:tcPr>
          <w:p>
            <w:pPr>
              <w:spacing w:line="240" w:lineRule="auto"/>
              <w:ind w:firstLine="0" w:firstLineChars="0"/>
              <w:jc w:val="center"/>
              <w:rPr>
                <w:color w:val="auto"/>
                <w:sz w:val="20"/>
                <w:szCs w:val="20"/>
              </w:rPr>
            </w:pPr>
            <w:r>
              <w:rPr>
                <w:color w:val="auto"/>
                <w:sz w:val="20"/>
                <w:szCs w:val="20"/>
              </w:rPr>
              <w:t>0.</w:t>
            </w:r>
            <w:r>
              <w:rPr>
                <w:rFonts w:hint="eastAsia"/>
                <w:color w:val="auto"/>
                <w:sz w:val="20"/>
                <w:szCs w:val="20"/>
                <w:lang w:val="en-US" w:eastAsia="zh-CN"/>
              </w:rPr>
              <w:t>04</w:t>
            </w:r>
            <w:r>
              <w:rPr>
                <w:color w:val="auto"/>
                <w:sz w:val="20"/>
                <w:szCs w:val="20"/>
              </w:rPr>
              <w:t>t</w:t>
            </w:r>
          </w:p>
        </w:tc>
        <w:tc>
          <w:tcPr>
            <w:tcW w:w="1215" w:type="dxa"/>
            <w:noWrap w:val="0"/>
            <w:vAlign w:val="center"/>
          </w:tcPr>
          <w:p>
            <w:pPr>
              <w:spacing w:line="240" w:lineRule="auto"/>
              <w:ind w:firstLine="0" w:firstLineChars="0"/>
              <w:jc w:val="center"/>
              <w:rPr>
                <w:color w:val="auto"/>
                <w:sz w:val="20"/>
                <w:szCs w:val="20"/>
              </w:rPr>
            </w:pPr>
            <w:r>
              <w:rPr>
                <w:color w:val="auto"/>
                <w:sz w:val="20"/>
                <w:szCs w:val="20"/>
              </w:rPr>
              <w:t>74-82-8</w:t>
            </w:r>
          </w:p>
        </w:tc>
        <w:tc>
          <w:tcPr>
            <w:tcW w:w="852" w:type="dxa"/>
            <w:noWrap w:val="0"/>
            <w:vAlign w:val="center"/>
          </w:tcPr>
          <w:p>
            <w:pPr>
              <w:spacing w:line="240" w:lineRule="auto"/>
              <w:ind w:firstLine="0" w:firstLineChars="0"/>
              <w:jc w:val="center"/>
              <w:rPr>
                <w:color w:val="auto"/>
                <w:sz w:val="20"/>
                <w:szCs w:val="20"/>
              </w:rPr>
            </w:pPr>
            <w:r>
              <w:rPr>
                <w:color w:val="auto"/>
                <w:sz w:val="20"/>
                <w:szCs w:val="20"/>
              </w:rPr>
              <w:t>易燃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80" w:type="dxa"/>
            <w:noWrap w:val="0"/>
            <w:vAlign w:val="center"/>
          </w:tcPr>
          <w:p>
            <w:pPr>
              <w:spacing w:line="240" w:lineRule="auto"/>
              <w:ind w:firstLine="0" w:firstLineChars="0"/>
              <w:jc w:val="center"/>
              <w:rPr>
                <w:color w:val="auto"/>
                <w:sz w:val="20"/>
                <w:szCs w:val="20"/>
              </w:rPr>
            </w:pPr>
            <w:r>
              <w:rPr>
                <w:rFonts w:hint="eastAsia"/>
                <w:color w:val="auto"/>
                <w:sz w:val="20"/>
                <w:szCs w:val="20"/>
              </w:rPr>
              <w:t>3</w:t>
            </w:r>
          </w:p>
        </w:tc>
        <w:tc>
          <w:tcPr>
            <w:tcW w:w="1555" w:type="dxa"/>
            <w:noWrap w:val="0"/>
            <w:vAlign w:val="center"/>
          </w:tcPr>
          <w:p>
            <w:pPr>
              <w:spacing w:line="240" w:lineRule="auto"/>
              <w:ind w:firstLine="0" w:firstLineChars="0"/>
              <w:jc w:val="center"/>
              <w:rPr>
                <w:color w:val="auto"/>
                <w:sz w:val="20"/>
                <w:szCs w:val="20"/>
              </w:rPr>
            </w:pPr>
            <w:r>
              <w:rPr>
                <w:color w:val="auto"/>
                <w:sz w:val="20"/>
                <w:szCs w:val="20"/>
              </w:rPr>
              <w:t>沼气（甲烷）</w:t>
            </w:r>
          </w:p>
        </w:tc>
        <w:tc>
          <w:tcPr>
            <w:tcW w:w="1326" w:type="dxa"/>
            <w:noWrap w:val="0"/>
            <w:vAlign w:val="center"/>
          </w:tcPr>
          <w:p>
            <w:pPr>
              <w:spacing w:line="240" w:lineRule="auto"/>
              <w:ind w:firstLine="0" w:firstLineChars="0"/>
              <w:jc w:val="center"/>
              <w:rPr>
                <w:color w:val="auto"/>
                <w:sz w:val="20"/>
                <w:szCs w:val="20"/>
              </w:rPr>
            </w:pPr>
            <w:r>
              <w:rPr>
                <w:color w:val="auto"/>
                <w:sz w:val="20"/>
                <w:szCs w:val="20"/>
              </w:rPr>
              <w:t>CH</w:t>
            </w:r>
            <w:r>
              <w:rPr>
                <w:color w:val="auto"/>
                <w:sz w:val="20"/>
                <w:szCs w:val="20"/>
                <w:vertAlign w:val="subscript"/>
              </w:rPr>
              <w:t>4</w:t>
            </w:r>
          </w:p>
        </w:tc>
        <w:tc>
          <w:tcPr>
            <w:tcW w:w="810" w:type="dxa"/>
            <w:noWrap w:val="0"/>
            <w:vAlign w:val="center"/>
          </w:tcPr>
          <w:p>
            <w:pPr>
              <w:spacing w:line="240" w:lineRule="auto"/>
              <w:ind w:firstLine="0" w:firstLineChars="0"/>
              <w:jc w:val="center"/>
              <w:rPr>
                <w:color w:val="auto"/>
                <w:sz w:val="20"/>
                <w:szCs w:val="20"/>
              </w:rPr>
            </w:pPr>
            <w:r>
              <w:rPr>
                <w:color w:val="auto"/>
                <w:sz w:val="20"/>
                <w:szCs w:val="20"/>
              </w:rPr>
              <w:t>气态</w:t>
            </w:r>
          </w:p>
        </w:tc>
        <w:tc>
          <w:tcPr>
            <w:tcW w:w="1266" w:type="dxa"/>
            <w:noWrap w:val="0"/>
            <w:vAlign w:val="center"/>
          </w:tcPr>
          <w:p>
            <w:pPr>
              <w:spacing w:line="240" w:lineRule="auto"/>
              <w:ind w:firstLine="0" w:firstLineChars="0"/>
              <w:jc w:val="center"/>
              <w:rPr>
                <w:color w:val="auto"/>
                <w:sz w:val="20"/>
                <w:szCs w:val="20"/>
              </w:rPr>
            </w:pPr>
            <w:r>
              <w:rPr>
                <w:rFonts w:hint="eastAsia"/>
                <w:color w:val="auto"/>
                <w:sz w:val="20"/>
                <w:szCs w:val="20"/>
              </w:rPr>
              <w:t>黑膜沼气池</w:t>
            </w:r>
          </w:p>
        </w:tc>
        <w:tc>
          <w:tcPr>
            <w:tcW w:w="1299" w:type="dxa"/>
            <w:noWrap w:val="0"/>
            <w:vAlign w:val="center"/>
          </w:tcPr>
          <w:p>
            <w:pPr>
              <w:spacing w:line="240" w:lineRule="auto"/>
              <w:ind w:firstLine="0" w:firstLineChars="0"/>
              <w:jc w:val="center"/>
              <w:rPr>
                <w:color w:val="auto"/>
                <w:sz w:val="20"/>
                <w:szCs w:val="20"/>
              </w:rPr>
            </w:pPr>
            <w:r>
              <w:rPr>
                <w:rFonts w:hint="eastAsia"/>
                <w:color w:val="auto"/>
                <w:sz w:val="20"/>
                <w:szCs w:val="20"/>
                <w:lang w:val="en-US" w:eastAsia="zh-CN"/>
              </w:rPr>
              <w:t>0.274</w:t>
            </w:r>
            <w:r>
              <w:rPr>
                <w:color w:val="auto"/>
                <w:sz w:val="20"/>
                <w:szCs w:val="20"/>
              </w:rPr>
              <w:t>t</w:t>
            </w:r>
          </w:p>
        </w:tc>
        <w:tc>
          <w:tcPr>
            <w:tcW w:w="1215" w:type="dxa"/>
            <w:noWrap w:val="0"/>
            <w:vAlign w:val="center"/>
          </w:tcPr>
          <w:p>
            <w:pPr>
              <w:spacing w:line="240" w:lineRule="auto"/>
              <w:ind w:firstLine="0" w:firstLineChars="0"/>
              <w:jc w:val="center"/>
              <w:rPr>
                <w:color w:val="auto"/>
                <w:sz w:val="20"/>
                <w:szCs w:val="20"/>
              </w:rPr>
            </w:pPr>
            <w:r>
              <w:rPr>
                <w:color w:val="auto"/>
                <w:sz w:val="20"/>
                <w:szCs w:val="20"/>
              </w:rPr>
              <w:t>74-82-8</w:t>
            </w:r>
          </w:p>
        </w:tc>
        <w:tc>
          <w:tcPr>
            <w:tcW w:w="852" w:type="dxa"/>
            <w:noWrap w:val="0"/>
            <w:vAlign w:val="center"/>
          </w:tcPr>
          <w:p>
            <w:pPr>
              <w:spacing w:line="240" w:lineRule="auto"/>
              <w:ind w:firstLine="0" w:firstLineChars="0"/>
              <w:jc w:val="center"/>
              <w:rPr>
                <w:color w:val="auto"/>
                <w:sz w:val="20"/>
                <w:szCs w:val="20"/>
              </w:rPr>
            </w:pPr>
            <w:r>
              <w:rPr>
                <w:color w:val="auto"/>
                <w:sz w:val="20"/>
                <w:szCs w:val="20"/>
              </w:rPr>
              <w:t>易燃</w:t>
            </w:r>
          </w:p>
        </w:tc>
      </w:tr>
    </w:tbl>
    <w:p>
      <w:pPr>
        <w:pStyle w:val="8"/>
        <w:tabs>
          <w:tab w:val="clear" w:pos="0"/>
        </w:tabs>
        <w:spacing w:before="120"/>
        <w:rPr>
          <w:color w:val="auto"/>
        </w:rPr>
      </w:pPr>
      <w:r>
        <w:rPr>
          <w:rFonts w:hint="eastAsia" w:eastAsia="黑体"/>
          <w:color w:val="auto"/>
          <w:sz w:val="28"/>
          <w:szCs w:val="28"/>
        </w:rPr>
        <w:t>环境风险潜势初判</w:t>
      </w:r>
    </w:p>
    <w:p>
      <w:pPr>
        <w:pStyle w:val="9"/>
        <w:spacing w:before="120" w:beforeLines="50"/>
        <w:rPr>
          <w:color w:val="auto"/>
        </w:rPr>
      </w:pPr>
      <w:r>
        <w:rPr>
          <w:rFonts w:hint="eastAsia"/>
          <w:color w:val="auto"/>
        </w:rPr>
        <w:t>环境风险潜势划分</w:t>
      </w:r>
    </w:p>
    <w:p>
      <w:pPr>
        <w:ind w:firstLine="480"/>
        <w:rPr>
          <w:color w:val="auto"/>
          <w:lang/>
        </w:rPr>
      </w:pPr>
      <w:r>
        <w:rPr>
          <w:color w:val="auto"/>
          <w:lang/>
        </w:rPr>
        <w:t>根据《建设项目环境风险评价技术导则》（HJ169-2018）</w:t>
      </w:r>
      <w:r>
        <w:rPr>
          <w:rFonts w:hint="eastAsia"/>
          <w:color w:val="auto"/>
          <w:lang/>
        </w:rPr>
        <w:t>，</w:t>
      </w:r>
      <w:r>
        <w:rPr>
          <w:color w:val="auto"/>
          <w:lang/>
        </w:rPr>
        <w:t>建设项目环境风险潜势划分为</w:t>
      </w:r>
      <w:r>
        <w:rPr>
          <w:rFonts w:hint="eastAsia"/>
          <w:color w:val="auto"/>
          <w:lang/>
        </w:rPr>
        <w:t>Ⅰ</w:t>
      </w:r>
      <w:r>
        <w:rPr>
          <w:color w:val="auto"/>
          <w:lang/>
        </w:rPr>
        <w:t>、</w:t>
      </w:r>
      <w:r>
        <w:rPr>
          <w:rFonts w:hint="eastAsia"/>
          <w:color w:val="auto"/>
          <w:lang/>
        </w:rPr>
        <w:t>Ⅱ</w:t>
      </w:r>
      <w:r>
        <w:rPr>
          <w:color w:val="auto"/>
          <w:lang/>
        </w:rPr>
        <w:t>、</w:t>
      </w:r>
      <w:r>
        <w:rPr>
          <w:rFonts w:hint="eastAsia"/>
          <w:color w:val="auto"/>
          <w:lang/>
        </w:rPr>
        <w:t>Ⅲ</w:t>
      </w:r>
      <w:r>
        <w:rPr>
          <w:color w:val="auto"/>
          <w:lang/>
        </w:rPr>
        <w:t>、</w:t>
      </w:r>
      <w:r>
        <w:rPr>
          <w:rFonts w:hint="eastAsia"/>
          <w:color w:val="auto"/>
          <w:lang/>
        </w:rPr>
        <w:t>Ⅳ</w:t>
      </w:r>
      <w:r>
        <w:rPr>
          <w:color w:val="auto"/>
          <w:lang/>
        </w:rPr>
        <w:t>/</w:t>
      </w:r>
      <w:r>
        <w:rPr>
          <w:rFonts w:hint="eastAsia"/>
          <w:color w:val="auto"/>
          <w:lang/>
        </w:rPr>
        <w:t>Ⅳ</w:t>
      </w:r>
      <w:r>
        <w:rPr>
          <w:color w:val="auto"/>
          <w:vertAlign w:val="superscript"/>
          <w:lang/>
        </w:rPr>
        <w:t>+</w:t>
      </w:r>
      <w:r>
        <w:rPr>
          <w:color w:val="auto"/>
          <w:lang/>
        </w:rPr>
        <w:t>级。</w:t>
      </w:r>
    </w:p>
    <w:p>
      <w:pPr>
        <w:ind w:firstLine="480"/>
        <w:rPr>
          <w:color w:val="auto"/>
          <w:lang/>
        </w:rPr>
      </w:pPr>
      <w:r>
        <w:rPr>
          <w:color w:val="auto"/>
          <w:lang/>
        </w:rPr>
        <w:t>根据建设项目涉及的物质和工艺系统的危险性及其所在地的环境敏感程度，结合事故情环境影响途径，对建设项目潜在环境危害程度进行概化分析，进而确定环境风险潜势，确定依据见表6.2-4。</w:t>
      </w:r>
    </w:p>
    <w:p>
      <w:pPr>
        <w:spacing w:line="240" w:lineRule="auto"/>
        <w:ind w:firstLine="0" w:firstLineChars="0"/>
        <w:jc w:val="center"/>
        <w:rPr>
          <w:b/>
          <w:color w:val="auto"/>
          <w:sz w:val="21"/>
          <w:szCs w:val="21"/>
          <w:lang/>
        </w:rPr>
      </w:pPr>
      <w:r>
        <w:rPr>
          <w:b/>
          <w:color w:val="auto"/>
          <w:sz w:val="21"/>
          <w:szCs w:val="21"/>
          <w:lang/>
        </w:rPr>
        <w:t>表6.2-4</w:t>
      </w:r>
      <w:r>
        <w:rPr>
          <w:rFonts w:hint="eastAsia"/>
          <w:b/>
          <w:color w:val="auto"/>
          <w:sz w:val="21"/>
          <w:szCs w:val="21"/>
          <w:lang w:val="en-US" w:eastAsia="zh-CN"/>
        </w:rPr>
        <w:t xml:space="preserve"> </w:t>
      </w:r>
      <w:r>
        <w:rPr>
          <w:b/>
          <w:color w:val="auto"/>
          <w:sz w:val="21"/>
          <w:szCs w:val="21"/>
          <w:lang/>
        </w:rPr>
        <w:t>项目环境风险潜势划分依据一览表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46"/>
        <w:gridCol w:w="1665"/>
        <w:gridCol w:w="1665"/>
        <w:gridCol w:w="1753"/>
        <w:gridCol w:w="18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346" w:type="dxa"/>
            <w:vMerge w:val="restart"/>
            <w:noWrap w:val="0"/>
            <w:vAlign w:val="center"/>
          </w:tcPr>
          <w:p>
            <w:pPr>
              <w:spacing w:line="240" w:lineRule="auto"/>
              <w:ind w:firstLine="0" w:firstLineChars="0"/>
              <w:jc w:val="center"/>
              <w:rPr>
                <w:b/>
                <w:color w:val="auto"/>
                <w:sz w:val="20"/>
                <w:szCs w:val="20"/>
                <w:lang/>
              </w:rPr>
            </w:pPr>
            <w:r>
              <w:rPr>
                <w:b/>
                <w:color w:val="auto"/>
                <w:sz w:val="20"/>
                <w:szCs w:val="20"/>
                <w:lang/>
              </w:rPr>
              <w:t>环境敏感程度（E）</w:t>
            </w:r>
          </w:p>
        </w:tc>
        <w:tc>
          <w:tcPr>
            <w:tcW w:w="6941" w:type="dxa"/>
            <w:gridSpan w:val="4"/>
            <w:noWrap w:val="0"/>
            <w:vAlign w:val="center"/>
          </w:tcPr>
          <w:p>
            <w:pPr>
              <w:spacing w:line="240" w:lineRule="auto"/>
              <w:ind w:firstLine="0" w:firstLineChars="0"/>
              <w:jc w:val="center"/>
              <w:rPr>
                <w:b/>
                <w:color w:val="auto"/>
                <w:sz w:val="20"/>
                <w:szCs w:val="20"/>
                <w:lang/>
              </w:rPr>
            </w:pPr>
            <w:r>
              <w:rPr>
                <w:b/>
                <w:color w:val="auto"/>
                <w:sz w:val="20"/>
                <w:szCs w:val="20"/>
                <w:lang/>
              </w:rPr>
              <w:t>危险物质及工艺系统危险性（P）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346" w:type="dxa"/>
            <w:vMerge w:val="continue"/>
            <w:noWrap w:val="0"/>
            <w:vAlign w:val="center"/>
          </w:tcPr>
          <w:p>
            <w:pPr>
              <w:spacing w:line="240" w:lineRule="auto"/>
              <w:ind w:firstLine="0" w:firstLineChars="0"/>
              <w:jc w:val="center"/>
              <w:rPr>
                <w:b/>
                <w:color w:val="auto"/>
                <w:sz w:val="20"/>
                <w:szCs w:val="20"/>
                <w:lang/>
              </w:rPr>
            </w:pPr>
          </w:p>
        </w:tc>
        <w:tc>
          <w:tcPr>
            <w:tcW w:w="1665" w:type="dxa"/>
            <w:noWrap w:val="0"/>
            <w:vAlign w:val="center"/>
          </w:tcPr>
          <w:p>
            <w:pPr>
              <w:spacing w:line="240" w:lineRule="auto"/>
              <w:ind w:firstLine="0" w:firstLineChars="0"/>
              <w:jc w:val="center"/>
              <w:rPr>
                <w:b/>
                <w:color w:val="auto"/>
                <w:sz w:val="20"/>
                <w:szCs w:val="20"/>
                <w:lang/>
              </w:rPr>
            </w:pPr>
            <w:r>
              <w:rPr>
                <w:b/>
                <w:color w:val="auto"/>
                <w:sz w:val="20"/>
                <w:szCs w:val="20"/>
                <w:lang/>
              </w:rPr>
              <w:t>极高危害（P1）</w:t>
            </w:r>
          </w:p>
        </w:tc>
        <w:tc>
          <w:tcPr>
            <w:tcW w:w="1665" w:type="dxa"/>
            <w:noWrap w:val="0"/>
            <w:vAlign w:val="center"/>
          </w:tcPr>
          <w:p>
            <w:pPr>
              <w:spacing w:line="240" w:lineRule="auto"/>
              <w:ind w:firstLine="0" w:firstLineChars="0"/>
              <w:jc w:val="center"/>
              <w:rPr>
                <w:b/>
                <w:color w:val="auto"/>
                <w:sz w:val="20"/>
                <w:szCs w:val="20"/>
                <w:lang/>
              </w:rPr>
            </w:pPr>
            <w:r>
              <w:rPr>
                <w:b/>
                <w:color w:val="auto"/>
                <w:sz w:val="20"/>
                <w:szCs w:val="20"/>
                <w:lang/>
              </w:rPr>
              <w:t>高度危害（P2）</w:t>
            </w:r>
          </w:p>
        </w:tc>
        <w:tc>
          <w:tcPr>
            <w:tcW w:w="1753" w:type="dxa"/>
            <w:noWrap w:val="0"/>
            <w:vAlign w:val="center"/>
          </w:tcPr>
          <w:p>
            <w:pPr>
              <w:spacing w:line="240" w:lineRule="auto"/>
              <w:ind w:firstLine="0" w:firstLineChars="0"/>
              <w:jc w:val="center"/>
              <w:rPr>
                <w:b/>
                <w:color w:val="auto"/>
                <w:sz w:val="20"/>
                <w:szCs w:val="20"/>
                <w:lang/>
              </w:rPr>
            </w:pPr>
            <w:r>
              <w:rPr>
                <w:b/>
                <w:color w:val="auto"/>
                <w:sz w:val="20"/>
                <w:szCs w:val="20"/>
                <w:lang/>
              </w:rPr>
              <w:t>中度危害（P3）</w:t>
            </w:r>
          </w:p>
        </w:tc>
        <w:tc>
          <w:tcPr>
            <w:tcW w:w="1858" w:type="dxa"/>
            <w:noWrap w:val="0"/>
            <w:vAlign w:val="center"/>
          </w:tcPr>
          <w:p>
            <w:pPr>
              <w:spacing w:line="240" w:lineRule="auto"/>
              <w:ind w:firstLine="0" w:firstLineChars="0"/>
              <w:jc w:val="center"/>
              <w:rPr>
                <w:b/>
                <w:color w:val="auto"/>
                <w:sz w:val="20"/>
                <w:szCs w:val="20"/>
                <w:lang/>
              </w:rPr>
            </w:pPr>
            <w:r>
              <w:rPr>
                <w:b/>
                <w:color w:val="auto"/>
                <w:sz w:val="20"/>
                <w:szCs w:val="20"/>
                <w:lang/>
              </w:rPr>
              <w:t>轻度危害（P4）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346" w:type="dxa"/>
            <w:noWrap w:val="0"/>
            <w:vAlign w:val="center"/>
          </w:tcPr>
          <w:p>
            <w:pPr>
              <w:spacing w:line="240" w:lineRule="auto"/>
              <w:ind w:firstLine="0" w:firstLineChars="0"/>
              <w:jc w:val="center"/>
              <w:rPr>
                <w:color w:val="auto"/>
                <w:sz w:val="20"/>
                <w:szCs w:val="20"/>
                <w:lang/>
              </w:rPr>
            </w:pPr>
            <w:r>
              <w:rPr>
                <w:color w:val="auto"/>
                <w:sz w:val="20"/>
                <w:szCs w:val="20"/>
                <w:lang/>
              </w:rPr>
              <w:t>环境高度敏感区（E1）</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Ⅳ</w:t>
            </w:r>
            <w:r>
              <w:rPr>
                <w:color w:val="auto"/>
                <w:sz w:val="20"/>
                <w:szCs w:val="20"/>
                <w:lang/>
              </w:rPr>
              <w:t>+</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Ⅳ</w:t>
            </w:r>
          </w:p>
        </w:tc>
        <w:tc>
          <w:tcPr>
            <w:tcW w:w="1753"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c>
          <w:tcPr>
            <w:tcW w:w="1858"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2346" w:type="dxa"/>
            <w:noWrap w:val="0"/>
            <w:vAlign w:val="center"/>
          </w:tcPr>
          <w:p>
            <w:pPr>
              <w:spacing w:line="240" w:lineRule="auto"/>
              <w:ind w:firstLine="0" w:firstLineChars="0"/>
              <w:jc w:val="center"/>
              <w:rPr>
                <w:color w:val="auto"/>
                <w:sz w:val="20"/>
                <w:szCs w:val="20"/>
                <w:lang/>
              </w:rPr>
            </w:pPr>
            <w:r>
              <w:rPr>
                <w:color w:val="auto"/>
                <w:sz w:val="20"/>
                <w:szCs w:val="20"/>
                <w:lang/>
              </w:rPr>
              <w:t>环境中度敏感区（E2）</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Ⅳ</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c>
          <w:tcPr>
            <w:tcW w:w="1753"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c>
          <w:tcPr>
            <w:tcW w:w="1858"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wBefore w:w="0" w:type="dxa"/>
          <w:wAfter w:w="0" w:type="dxa"/>
          <w:trHeight w:val="340" w:hRule="atLeast"/>
          <w:jc w:val="center"/>
        </w:trPr>
        <w:tc>
          <w:tcPr>
            <w:tcW w:w="2346" w:type="dxa"/>
            <w:noWrap w:val="0"/>
            <w:vAlign w:val="center"/>
          </w:tcPr>
          <w:p>
            <w:pPr>
              <w:spacing w:line="240" w:lineRule="auto"/>
              <w:ind w:firstLine="0" w:firstLineChars="0"/>
              <w:jc w:val="center"/>
              <w:rPr>
                <w:color w:val="auto"/>
                <w:sz w:val="20"/>
                <w:szCs w:val="20"/>
                <w:lang/>
              </w:rPr>
            </w:pPr>
            <w:r>
              <w:rPr>
                <w:color w:val="auto"/>
                <w:sz w:val="20"/>
                <w:szCs w:val="20"/>
                <w:lang/>
              </w:rPr>
              <w:t>环境低度敏感区（E3）</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c>
          <w:tcPr>
            <w:tcW w:w="1665"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Ⅲ</w:t>
            </w:r>
          </w:p>
        </w:tc>
        <w:tc>
          <w:tcPr>
            <w:tcW w:w="1753"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Ⅱ</w:t>
            </w:r>
          </w:p>
        </w:tc>
        <w:tc>
          <w:tcPr>
            <w:tcW w:w="1858" w:type="dxa"/>
            <w:noWrap w:val="0"/>
            <w:vAlign w:val="center"/>
          </w:tcPr>
          <w:p>
            <w:pPr>
              <w:spacing w:line="240" w:lineRule="auto"/>
              <w:ind w:firstLine="0" w:firstLineChars="0"/>
              <w:jc w:val="center"/>
              <w:rPr>
                <w:color w:val="auto"/>
                <w:sz w:val="20"/>
                <w:szCs w:val="20"/>
                <w:lang/>
              </w:rPr>
            </w:pPr>
            <w:r>
              <w:rPr>
                <w:rFonts w:hint="eastAsia"/>
                <w:color w:val="auto"/>
                <w:sz w:val="20"/>
                <w:szCs w:val="20"/>
                <w:lang/>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9287" w:type="dxa"/>
            <w:gridSpan w:val="5"/>
            <w:noWrap w:val="0"/>
            <w:vAlign w:val="center"/>
          </w:tcPr>
          <w:p>
            <w:pPr>
              <w:spacing w:line="240" w:lineRule="auto"/>
              <w:ind w:firstLine="0" w:firstLineChars="0"/>
              <w:jc w:val="center"/>
              <w:rPr>
                <w:color w:val="auto"/>
                <w:sz w:val="20"/>
                <w:szCs w:val="20"/>
                <w:lang/>
              </w:rPr>
            </w:pPr>
            <w:r>
              <w:rPr>
                <w:color w:val="auto"/>
                <w:sz w:val="20"/>
                <w:szCs w:val="20"/>
                <w:lang/>
              </w:rPr>
              <w:t>注：</w:t>
            </w:r>
            <w:r>
              <w:rPr>
                <w:rFonts w:hint="eastAsia"/>
                <w:color w:val="auto"/>
                <w:sz w:val="20"/>
                <w:szCs w:val="20"/>
                <w:lang/>
              </w:rPr>
              <w:t>Ⅳ</w:t>
            </w:r>
            <w:r>
              <w:rPr>
                <w:color w:val="auto"/>
                <w:sz w:val="20"/>
                <w:szCs w:val="20"/>
                <w:lang/>
              </w:rPr>
              <w:t>+为极高环境风险。</w:t>
            </w:r>
          </w:p>
        </w:tc>
      </w:tr>
    </w:tbl>
    <w:p>
      <w:pPr>
        <w:pStyle w:val="9"/>
        <w:spacing w:before="120" w:beforeLines="50"/>
        <w:rPr>
          <w:color w:val="auto"/>
        </w:rPr>
      </w:pPr>
      <w:r>
        <w:rPr>
          <w:rFonts w:hint="eastAsia"/>
          <w:color w:val="auto"/>
        </w:rPr>
        <w:t>Q值的确定</w:t>
      </w:r>
    </w:p>
    <w:p>
      <w:pPr>
        <w:ind w:firstLine="480"/>
        <w:rPr>
          <w:color w:val="auto"/>
        </w:rPr>
      </w:pPr>
      <w:r>
        <w:rPr>
          <w:rFonts w:hint="eastAsia"/>
          <w:color w:val="auto"/>
        </w:rPr>
        <w:t>根据《建设项目环境风险评价技术导则》（</w:t>
      </w:r>
      <w:r>
        <w:rPr>
          <w:color w:val="auto"/>
        </w:rPr>
        <w:t>HJ169-2018）附录C的规定：</w:t>
      </w:r>
    </w:p>
    <w:p>
      <w:pPr>
        <w:ind w:firstLine="480"/>
        <w:rPr>
          <w:color w:val="auto"/>
        </w:rPr>
      </w:pPr>
      <w:r>
        <w:rPr>
          <w:rFonts w:hint="eastAsia"/>
          <w:color w:val="auto"/>
        </w:rPr>
        <w:t>（</w:t>
      </w:r>
      <w:r>
        <w:rPr>
          <w:color w:val="auto"/>
        </w:rPr>
        <w:t>1）当厂界内只涉及一种危险物质时，计算该物质的总量与其临界量比值，即为Q；</w:t>
      </w:r>
    </w:p>
    <w:p>
      <w:pPr>
        <w:ind w:firstLine="480"/>
        <w:rPr>
          <w:color w:val="auto"/>
        </w:rPr>
      </w:pPr>
      <w:r>
        <w:rPr>
          <w:rFonts w:hint="eastAsia"/>
          <w:color w:val="auto"/>
        </w:rPr>
        <w:t>（</w:t>
      </w:r>
      <w:r>
        <w:rPr>
          <w:color w:val="auto"/>
        </w:rPr>
        <w:t>2）当厂界内存在多种危险物质时，则按</w:t>
      </w:r>
      <w:r>
        <w:rPr>
          <w:rFonts w:hint="eastAsia"/>
          <w:color w:val="auto"/>
        </w:rPr>
        <w:t>下</w:t>
      </w:r>
      <w:r>
        <w:rPr>
          <w:color w:val="auto"/>
        </w:rPr>
        <w:t>式计算物质总量与其临界量比值（Q）：</w:t>
      </w:r>
    </w:p>
    <w:p>
      <w:pPr>
        <w:ind w:firstLine="480"/>
        <w:jc w:val="center"/>
        <w:rPr>
          <w:color w:val="auto"/>
        </w:rPr>
      </w:pPr>
      <w:r>
        <w:rPr>
          <w:color w:val="auto"/>
        </w:rPr>
        <w:drawing>
          <wp:inline distT="0" distB="0" distL="114300" distR="114300">
            <wp:extent cx="1323975" cy="342900"/>
            <wp:effectExtent l="0" t="0" r="9525" b="0"/>
            <wp:docPr id="35"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8"/>
                    <pic:cNvPicPr>
                      <a:picLocks noChangeAspect="1"/>
                    </pic:cNvPicPr>
                  </pic:nvPicPr>
                  <pic:blipFill>
                    <a:blip r:embed="rId83">
                      <a:clrChange>
                        <a:clrFrom>
                          <a:srgbClr val="FFFFFF"/>
                        </a:clrFrom>
                        <a:clrTo>
                          <a:srgbClr val="FFFFFF">
                            <a:alpha val="0"/>
                          </a:srgbClr>
                        </a:clrTo>
                      </a:clrChange>
                    </a:blip>
                    <a:stretch>
                      <a:fillRect/>
                    </a:stretch>
                  </pic:blipFill>
                  <pic:spPr>
                    <a:xfrm>
                      <a:off x="0" y="0"/>
                      <a:ext cx="1323975" cy="342900"/>
                    </a:xfrm>
                    <a:prstGeom prst="rect">
                      <a:avLst/>
                    </a:prstGeom>
                    <a:noFill/>
                    <a:ln>
                      <a:noFill/>
                    </a:ln>
                  </pic:spPr>
                </pic:pic>
              </a:graphicData>
            </a:graphic>
          </wp:inline>
        </w:drawing>
      </w:r>
    </w:p>
    <w:p>
      <w:pPr>
        <w:ind w:firstLine="480"/>
        <w:rPr>
          <w:color w:val="auto"/>
        </w:rPr>
      </w:pPr>
    </w:p>
    <w:p>
      <w:pPr>
        <w:ind w:firstLine="480"/>
        <w:rPr>
          <w:color w:val="auto"/>
        </w:rPr>
      </w:pPr>
      <w:r>
        <w:rPr>
          <w:rFonts w:hint="eastAsia"/>
          <w:color w:val="auto"/>
        </w:rPr>
        <w:t>式中，</w:t>
      </w:r>
      <w:r>
        <w:rPr>
          <w:color w:val="auto"/>
        </w:rPr>
        <w:t>q</w:t>
      </w:r>
      <w:r>
        <w:rPr>
          <w:color w:val="auto"/>
          <w:vertAlign w:val="subscript"/>
        </w:rPr>
        <w:t>1</w:t>
      </w:r>
      <w:r>
        <w:rPr>
          <w:color w:val="auto"/>
        </w:rPr>
        <w:t>，q</w:t>
      </w:r>
      <w:r>
        <w:rPr>
          <w:color w:val="auto"/>
          <w:vertAlign w:val="subscript"/>
        </w:rPr>
        <w:t>2</w:t>
      </w:r>
      <w:r>
        <w:rPr>
          <w:color w:val="auto"/>
        </w:rPr>
        <w:t>，…qn—每种危险物质的最大存在总量，t；</w:t>
      </w:r>
    </w:p>
    <w:p>
      <w:pPr>
        <w:ind w:firstLine="480"/>
        <w:rPr>
          <w:color w:val="auto"/>
        </w:rPr>
      </w:pPr>
      <w:r>
        <w:rPr>
          <w:color w:val="auto"/>
        </w:rPr>
        <w:t>Q</w:t>
      </w:r>
      <w:r>
        <w:rPr>
          <w:color w:val="auto"/>
          <w:vertAlign w:val="subscript"/>
        </w:rPr>
        <w:t>1</w:t>
      </w:r>
      <w:r>
        <w:rPr>
          <w:color w:val="auto"/>
        </w:rPr>
        <w:t>，Q</w:t>
      </w:r>
      <w:r>
        <w:rPr>
          <w:color w:val="auto"/>
          <w:vertAlign w:val="subscript"/>
        </w:rPr>
        <w:t>2</w:t>
      </w:r>
      <w:r>
        <w:rPr>
          <w:color w:val="auto"/>
        </w:rPr>
        <w:t>，…Qn——每种危险物质的临界量，t。</w:t>
      </w:r>
    </w:p>
    <w:p>
      <w:pPr>
        <w:ind w:firstLine="480"/>
        <w:rPr>
          <w:color w:val="auto"/>
        </w:rPr>
      </w:pPr>
      <w:r>
        <w:rPr>
          <w:rFonts w:hint="eastAsia"/>
          <w:color w:val="auto"/>
        </w:rPr>
        <w:t>当</w:t>
      </w:r>
      <w:r>
        <w:rPr>
          <w:color w:val="auto"/>
        </w:rPr>
        <w:t>Q＜1时，该项目环境风险潜势为</w:t>
      </w:r>
      <w:r>
        <w:rPr>
          <w:rFonts w:hint="eastAsia"/>
          <w:color w:val="auto"/>
        </w:rPr>
        <w:t>Ⅰ</w:t>
      </w:r>
      <w:r>
        <w:rPr>
          <w:color w:val="auto"/>
        </w:rPr>
        <w:t>。</w:t>
      </w:r>
    </w:p>
    <w:p>
      <w:pPr>
        <w:ind w:firstLine="480"/>
        <w:rPr>
          <w:color w:val="auto"/>
        </w:rPr>
      </w:pPr>
      <w:r>
        <w:rPr>
          <w:rFonts w:hint="eastAsia"/>
          <w:color w:val="auto"/>
        </w:rPr>
        <w:t>当</w:t>
      </w:r>
      <w:r>
        <w:rPr>
          <w:color w:val="auto"/>
        </w:rPr>
        <w:t>Q≥1时，将Q值划分为：</w:t>
      </w:r>
      <w:r>
        <w:rPr>
          <w:rFonts w:hint="eastAsia"/>
          <w:color w:val="auto"/>
        </w:rPr>
        <w:t>①</w:t>
      </w:r>
      <w:r>
        <w:rPr>
          <w:color w:val="auto"/>
        </w:rPr>
        <w:t>1≤Q＜10；</w:t>
      </w:r>
      <w:r>
        <w:rPr>
          <w:rFonts w:hint="eastAsia"/>
          <w:color w:val="auto"/>
        </w:rPr>
        <w:t>②</w:t>
      </w:r>
      <w:r>
        <w:rPr>
          <w:color w:val="auto"/>
        </w:rPr>
        <w:t>10≤Q＜100；</w:t>
      </w:r>
      <w:r>
        <w:rPr>
          <w:rFonts w:hint="eastAsia"/>
          <w:color w:val="auto"/>
        </w:rPr>
        <w:t>③</w:t>
      </w:r>
      <w:r>
        <w:rPr>
          <w:color w:val="auto"/>
        </w:rPr>
        <w:t>Q≥100。</w:t>
      </w:r>
    </w:p>
    <w:p>
      <w:pPr>
        <w:ind w:firstLine="480"/>
        <w:rPr>
          <w:color w:val="auto"/>
        </w:rPr>
      </w:pPr>
      <w:r>
        <w:rPr>
          <w:rFonts w:hint="eastAsia"/>
          <w:color w:val="auto"/>
        </w:rPr>
        <w:t>经计算，</w:t>
      </w:r>
      <w:r>
        <w:rPr>
          <w:color w:val="auto"/>
        </w:rPr>
        <w:t>本项目的Q值为</w:t>
      </w:r>
      <w:r>
        <w:rPr>
          <w:color w:val="auto"/>
          <w:lang/>
        </w:rPr>
        <w:t>0.010024</w:t>
      </w:r>
      <w:r>
        <w:rPr>
          <w:color w:val="auto"/>
        </w:rPr>
        <w:t>，具体见表6.2-</w:t>
      </w:r>
      <w:r>
        <w:rPr>
          <w:rFonts w:hint="eastAsia"/>
          <w:color w:val="auto"/>
        </w:rPr>
        <w:t>5</w:t>
      </w:r>
      <w:r>
        <w:rPr>
          <w:color w:val="auto"/>
        </w:rPr>
        <w:t xml:space="preserve">： </w:t>
      </w:r>
    </w:p>
    <w:p>
      <w:pPr>
        <w:ind w:firstLine="422"/>
        <w:jc w:val="center"/>
        <w:rPr>
          <w:b/>
          <w:color w:val="auto"/>
          <w:sz w:val="21"/>
          <w:szCs w:val="21"/>
        </w:rPr>
      </w:pPr>
      <w:r>
        <w:rPr>
          <w:b/>
          <w:color w:val="auto"/>
          <w:sz w:val="21"/>
          <w:szCs w:val="21"/>
        </w:rPr>
        <w:t>表6.2-5</w:t>
      </w:r>
      <w:r>
        <w:rPr>
          <w:rFonts w:hint="eastAsia"/>
          <w:b/>
          <w:color w:val="auto"/>
          <w:sz w:val="21"/>
          <w:szCs w:val="21"/>
          <w:lang w:val="en-US" w:eastAsia="zh-CN"/>
        </w:rPr>
        <w:t xml:space="preserve"> </w:t>
      </w:r>
      <w:r>
        <w:rPr>
          <w:rFonts w:hint="eastAsia"/>
          <w:b/>
          <w:color w:val="auto"/>
          <w:sz w:val="21"/>
          <w:szCs w:val="21"/>
        </w:rPr>
        <w:t>建设项目</w:t>
      </w:r>
      <w:r>
        <w:rPr>
          <w:b/>
          <w:color w:val="auto"/>
          <w:sz w:val="21"/>
          <w:szCs w:val="21"/>
        </w:rPr>
        <w:t>Q值确定表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842"/>
        <w:gridCol w:w="1307"/>
        <w:gridCol w:w="1745"/>
        <w:gridCol w:w="1269"/>
        <w:gridCol w:w="21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9" w:type="dxa"/>
            <w:noWrap w:val="0"/>
            <w:vAlign w:val="center"/>
          </w:tcPr>
          <w:p>
            <w:pPr>
              <w:spacing w:line="240" w:lineRule="auto"/>
              <w:ind w:firstLine="0" w:firstLineChars="0"/>
              <w:jc w:val="center"/>
              <w:rPr>
                <w:b/>
                <w:color w:val="auto"/>
                <w:sz w:val="20"/>
                <w:szCs w:val="20"/>
              </w:rPr>
            </w:pPr>
            <w:r>
              <w:rPr>
                <w:b/>
                <w:color w:val="auto"/>
                <w:sz w:val="20"/>
                <w:szCs w:val="20"/>
              </w:rPr>
              <w:t>序号</w:t>
            </w:r>
          </w:p>
        </w:tc>
        <w:tc>
          <w:tcPr>
            <w:tcW w:w="1842" w:type="dxa"/>
            <w:noWrap w:val="0"/>
            <w:vAlign w:val="center"/>
          </w:tcPr>
          <w:p>
            <w:pPr>
              <w:spacing w:line="240" w:lineRule="auto"/>
              <w:ind w:firstLine="0" w:firstLineChars="0"/>
              <w:jc w:val="center"/>
              <w:rPr>
                <w:b/>
                <w:color w:val="auto"/>
                <w:sz w:val="20"/>
                <w:szCs w:val="20"/>
              </w:rPr>
            </w:pPr>
            <w:r>
              <w:rPr>
                <w:b/>
                <w:color w:val="auto"/>
                <w:sz w:val="20"/>
                <w:szCs w:val="20"/>
              </w:rPr>
              <w:t>物料名称</w:t>
            </w:r>
          </w:p>
        </w:tc>
        <w:tc>
          <w:tcPr>
            <w:tcW w:w="1307" w:type="dxa"/>
            <w:noWrap w:val="0"/>
            <w:vAlign w:val="center"/>
          </w:tcPr>
          <w:p>
            <w:pPr>
              <w:spacing w:line="240" w:lineRule="auto"/>
              <w:ind w:firstLine="0" w:firstLineChars="0"/>
              <w:jc w:val="center"/>
              <w:rPr>
                <w:b/>
                <w:color w:val="auto"/>
                <w:sz w:val="20"/>
                <w:szCs w:val="20"/>
              </w:rPr>
            </w:pPr>
            <w:r>
              <w:rPr>
                <w:b/>
                <w:color w:val="auto"/>
                <w:sz w:val="20"/>
                <w:szCs w:val="20"/>
              </w:rPr>
              <w:t>CAS号</w:t>
            </w:r>
          </w:p>
        </w:tc>
        <w:tc>
          <w:tcPr>
            <w:tcW w:w="1745" w:type="dxa"/>
            <w:noWrap w:val="0"/>
            <w:vAlign w:val="center"/>
          </w:tcPr>
          <w:p>
            <w:pPr>
              <w:spacing w:line="240" w:lineRule="auto"/>
              <w:ind w:firstLine="0" w:firstLineChars="0"/>
              <w:jc w:val="center"/>
              <w:rPr>
                <w:b/>
                <w:color w:val="auto"/>
                <w:sz w:val="20"/>
                <w:szCs w:val="20"/>
              </w:rPr>
            </w:pPr>
            <w:r>
              <w:rPr>
                <w:b/>
                <w:color w:val="auto"/>
                <w:sz w:val="20"/>
                <w:szCs w:val="20"/>
              </w:rPr>
              <w:t>最大储存量(吨)</w:t>
            </w:r>
          </w:p>
        </w:tc>
        <w:tc>
          <w:tcPr>
            <w:tcW w:w="1269" w:type="dxa"/>
            <w:noWrap w:val="0"/>
            <w:vAlign w:val="center"/>
          </w:tcPr>
          <w:p>
            <w:pPr>
              <w:spacing w:line="240" w:lineRule="auto"/>
              <w:ind w:firstLine="0" w:firstLineChars="0"/>
              <w:jc w:val="center"/>
              <w:rPr>
                <w:b/>
                <w:color w:val="auto"/>
                <w:sz w:val="20"/>
                <w:szCs w:val="20"/>
              </w:rPr>
            </w:pPr>
            <w:r>
              <w:rPr>
                <w:b/>
                <w:color w:val="auto"/>
                <w:sz w:val="20"/>
                <w:szCs w:val="20"/>
              </w:rPr>
              <w:t>临界量(吨)</w:t>
            </w:r>
          </w:p>
        </w:tc>
        <w:tc>
          <w:tcPr>
            <w:tcW w:w="2161" w:type="dxa"/>
            <w:noWrap w:val="0"/>
            <w:vAlign w:val="center"/>
          </w:tcPr>
          <w:p>
            <w:pPr>
              <w:spacing w:line="240" w:lineRule="auto"/>
              <w:ind w:firstLine="0" w:firstLineChars="0"/>
              <w:jc w:val="center"/>
              <w:rPr>
                <w:b/>
                <w:color w:val="auto"/>
                <w:sz w:val="20"/>
                <w:szCs w:val="20"/>
              </w:rPr>
            </w:pPr>
            <w:r>
              <w:rPr>
                <w:b/>
                <w:color w:val="auto"/>
                <w:sz w:val="20"/>
                <w:szCs w:val="20"/>
              </w:rPr>
              <w:t>q/Q</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9" w:type="dxa"/>
            <w:noWrap w:val="0"/>
            <w:vAlign w:val="center"/>
          </w:tcPr>
          <w:p>
            <w:pPr>
              <w:spacing w:line="240" w:lineRule="auto"/>
              <w:ind w:firstLine="0" w:firstLineChars="0"/>
              <w:jc w:val="center"/>
              <w:rPr>
                <w:color w:val="auto"/>
                <w:sz w:val="20"/>
                <w:szCs w:val="20"/>
              </w:rPr>
            </w:pPr>
            <w:r>
              <w:rPr>
                <w:color w:val="auto"/>
                <w:sz w:val="20"/>
                <w:szCs w:val="20"/>
              </w:rPr>
              <w:t>1</w:t>
            </w:r>
          </w:p>
        </w:tc>
        <w:tc>
          <w:tcPr>
            <w:tcW w:w="1842" w:type="dxa"/>
            <w:noWrap w:val="0"/>
            <w:vAlign w:val="center"/>
          </w:tcPr>
          <w:p>
            <w:pPr>
              <w:spacing w:line="240" w:lineRule="auto"/>
              <w:ind w:firstLine="0" w:firstLineChars="0"/>
              <w:jc w:val="center"/>
              <w:rPr>
                <w:color w:val="auto"/>
                <w:sz w:val="20"/>
                <w:szCs w:val="20"/>
              </w:rPr>
            </w:pPr>
            <w:r>
              <w:rPr>
                <w:color w:val="auto"/>
                <w:sz w:val="20"/>
                <w:szCs w:val="20"/>
              </w:rPr>
              <w:t>柴油</w:t>
            </w:r>
          </w:p>
        </w:tc>
        <w:tc>
          <w:tcPr>
            <w:tcW w:w="1307" w:type="dxa"/>
            <w:noWrap w:val="0"/>
            <w:vAlign w:val="center"/>
          </w:tcPr>
          <w:p>
            <w:pPr>
              <w:spacing w:line="240" w:lineRule="auto"/>
              <w:ind w:firstLine="0" w:firstLineChars="0"/>
              <w:jc w:val="center"/>
              <w:rPr>
                <w:color w:val="auto"/>
                <w:sz w:val="20"/>
                <w:szCs w:val="20"/>
              </w:rPr>
            </w:pPr>
            <w:r>
              <w:rPr>
                <w:color w:val="auto"/>
                <w:sz w:val="20"/>
                <w:szCs w:val="20"/>
              </w:rPr>
              <w:t>/</w:t>
            </w:r>
          </w:p>
        </w:tc>
        <w:tc>
          <w:tcPr>
            <w:tcW w:w="1745" w:type="dxa"/>
            <w:noWrap w:val="0"/>
            <w:vAlign w:val="center"/>
          </w:tcPr>
          <w:p>
            <w:pPr>
              <w:spacing w:line="240" w:lineRule="auto"/>
              <w:ind w:firstLine="0" w:firstLineChars="0"/>
              <w:jc w:val="center"/>
              <w:rPr>
                <w:color w:val="auto"/>
                <w:sz w:val="20"/>
                <w:szCs w:val="20"/>
              </w:rPr>
            </w:pPr>
            <w:r>
              <w:rPr>
                <w:color w:val="auto"/>
                <w:sz w:val="20"/>
                <w:szCs w:val="20"/>
              </w:rPr>
              <w:t>0.48</w:t>
            </w:r>
          </w:p>
        </w:tc>
        <w:tc>
          <w:tcPr>
            <w:tcW w:w="1269" w:type="dxa"/>
            <w:noWrap w:val="0"/>
            <w:vAlign w:val="center"/>
          </w:tcPr>
          <w:p>
            <w:pPr>
              <w:spacing w:line="240" w:lineRule="auto"/>
              <w:ind w:firstLine="0" w:firstLineChars="0"/>
              <w:jc w:val="center"/>
              <w:rPr>
                <w:color w:val="auto"/>
                <w:sz w:val="20"/>
                <w:szCs w:val="20"/>
              </w:rPr>
            </w:pPr>
            <w:r>
              <w:rPr>
                <w:color w:val="auto"/>
                <w:sz w:val="20"/>
                <w:szCs w:val="20"/>
              </w:rPr>
              <w:t>2500</w:t>
            </w:r>
          </w:p>
        </w:tc>
        <w:tc>
          <w:tcPr>
            <w:tcW w:w="2161" w:type="dxa"/>
            <w:noWrap w:val="0"/>
            <w:vAlign w:val="center"/>
          </w:tcPr>
          <w:p>
            <w:pPr>
              <w:spacing w:line="240" w:lineRule="auto"/>
              <w:ind w:firstLine="0" w:firstLineChars="0"/>
              <w:jc w:val="center"/>
              <w:rPr>
                <w:color w:val="auto"/>
                <w:sz w:val="20"/>
                <w:szCs w:val="20"/>
              </w:rPr>
            </w:pPr>
            <w:r>
              <w:rPr>
                <w:rFonts w:hint="eastAsia"/>
                <w:color w:val="auto"/>
                <w:sz w:val="20"/>
                <w:szCs w:val="20"/>
              </w:rPr>
              <w:t>0.000192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0" w:hRule="atLeast"/>
          <w:jc w:val="center"/>
        </w:trPr>
        <w:tc>
          <w:tcPr>
            <w:tcW w:w="679" w:type="dxa"/>
            <w:noWrap w:val="0"/>
            <w:vAlign w:val="center"/>
          </w:tcPr>
          <w:p>
            <w:pPr>
              <w:spacing w:line="240" w:lineRule="auto"/>
              <w:ind w:firstLine="0" w:firstLineChars="0"/>
              <w:jc w:val="center"/>
              <w:rPr>
                <w:color w:val="auto"/>
                <w:sz w:val="20"/>
                <w:szCs w:val="20"/>
              </w:rPr>
            </w:pPr>
            <w:r>
              <w:rPr>
                <w:color w:val="auto"/>
                <w:sz w:val="20"/>
                <w:szCs w:val="20"/>
              </w:rPr>
              <w:t>2</w:t>
            </w:r>
          </w:p>
        </w:tc>
        <w:tc>
          <w:tcPr>
            <w:tcW w:w="1842" w:type="dxa"/>
            <w:noWrap w:val="0"/>
            <w:vAlign w:val="center"/>
          </w:tcPr>
          <w:p>
            <w:pPr>
              <w:spacing w:line="240" w:lineRule="auto"/>
              <w:ind w:firstLine="0" w:firstLineChars="0"/>
              <w:jc w:val="center"/>
              <w:rPr>
                <w:color w:val="auto"/>
                <w:sz w:val="20"/>
                <w:szCs w:val="20"/>
              </w:rPr>
            </w:pPr>
            <w:r>
              <w:rPr>
                <w:color w:val="auto"/>
                <w:sz w:val="20"/>
                <w:szCs w:val="20"/>
              </w:rPr>
              <w:t>沼气（甲烷）</w:t>
            </w:r>
          </w:p>
        </w:tc>
        <w:tc>
          <w:tcPr>
            <w:tcW w:w="1307" w:type="dxa"/>
            <w:noWrap w:val="0"/>
            <w:vAlign w:val="center"/>
          </w:tcPr>
          <w:p>
            <w:pPr>
              <w:spacing w:line="240" w:lineRule="auto"/>
              <w:ind w:firstLine="0" w:firstLineChars="0"/>
              <w:jc w:val="center"/>
              <w:rPr>
                <w:color w:val="auto"/>
                <w:sz w:val="20"/>
                <w:szCs w:val="20"/>
              </w:rPr>
            </w:pPr>
            <w:r>
              <w:rPr>
                <w:color w:val="auto"/>
                <w:sz w:val="20"/>
                <w:szCs w:val="20"/>
              </w:rPr>
              <w:t>74-82-8</w:t>
            </w:r>
          </w:p>
        </w:tc>
        <w:tc>
          <w:tcPr>
            <w:tcW w:w="1745" w:type="dxa"/>
            <w:noWrap w:val="0"/>
            <w:vAlign w:val="center"/>
          </w:tcPr>
          <w:p>
            <w:pPr>
              <w:spacing w:line="240" w:lineRule="auto"/>
              <w:ind w:firstLine="0" w:firstLineChars="0"/>
              <w:jc w:val="center"/>
              <w:rPr>
                <w:rFonts w:hint="default" w:eastAsia="宋体"/>
                <w:color w:val="auto"/>
                <w:sz w:val="20"/>
                <w:szCs w:val="20"/>
                <w:lang w:val="en-US" w:eastAsia="zh-CN"/>
              </w:rPr>
            </w:pPr>
            <w:r>
              <w:rPr>
                <w:rFonts w:hint="eastAsia"/>
                <w:color w:val="auto"/>
                <w:sz w:val="20"/>
                <w:szCs w:val="20"/>
                <w:lang w:val="en-US" w:eastAsia="zh-CN"/>
              </w:rPr>
              <w:t>0.314</w:t>
            </w:r>
          </w:p>
        </w:tc>
        <w:tc>
          <w:tcPr>
            <w:tcW w:w="1269" w:type="dxa"/>
            <w:noWrap w:val="0"/>
            <w:vAlign w:val="center"/>
          </w:tcPr>
          <w:p>
            <w:pPr>
              <w:spacing w:line="240" w:lineRule="auto"/>
              <w:ind w:firstLine="0" w:firstLineChars="0"/>
              <w:jc w:val="center"/>
              <w:rPr>
                <w:color w:val="auto"/>
                <w:sz w:val="20"/>
                <w:szCs w:val="20"/>
              </w:rPr>
            </w:pPr>
            <w:r>
              <w:rPr>
                <w:color w:val="auto"/>
                <w:sz w:val="20"/>
                <w:szCs w:val="20"/>
              </w:rPr>
              <w:t>10</w:t>
            </w:r>
          </w:p>
        </w:tc>
        <w:tc>
          <w:tcPr>
            <w:tcW w:w="2161" w:type="dxa"/>
            <w:noWrap w:val="0"/>
            <w:vAlign w:val="center"/>
          </w:tcPr>
          <w:p>
            <w:pPr>
              <w:spacing w:line="240" w:lineRule="auto"/>
              <w:ind w:firstLine="0" w:firstLineChars="0"/>
              <w:jc w:val="center"/>
              <w:rPr>
                <w:rFonts w:hint="default" w:eastAsia="宋体"/>
                <w:color w:val="auto"/>
                <w:sz w:val="20"/>
                <w:szCs w:val="20"/>
                <w:lang w:val="en-US" w:eastAsia="zh-CN"/>
              </w:rPr>
            </w:pPr>
            <w:r>
              <w:rPr>
                <w:color w:val="auto"/>
                <w:sz w:val="20"/>
                <w:szCs w:val="20"/>
              </w:rPr>
              <w:t>0.</w:t>
            </w:r>
            <w:r>
              <w:rPr>
                <w:rFonts w:hint="eastAsia"/>
                <w:color w:val="auto"/>
                <w:sz w:val="20"/>
                <w:szCs w:val="20"/>
                <w:lang w:val="en-US" w:eastAsia="zh-CN"/>
              </w:rPr>
              <w:t>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8" w:hRule="atLeast"/>
          <w:jc w:val="center"/>
        </w:trPr>
        <w:tc>
          <w:tcPr>
            <w:tcW w:w="6842" w:type="dxa"/>
            <w:gridSpan w:val="5"/>
            <w:noWrap w:val="0"/>
            <w:vAlign w:val="center"/>
          </w:tcPr>
          <w:p>
            <w:pPr>
              <w:spacing w:line="240" w:lineRule="auto"/>
              <w:ind w:firstLine="0" w:firstLineChars="0"/>
              <w:jc w:val="center"/>
              <w:rPr>
                <w:color w:val="auto"/>
                <w:sz w:val="20"/>
                <w:szCs w:val="20"/>
              </w:rPr>
            </w:pPr>
            <w:r>
              <w:rPr>
                <w:color w:val="auto"/>
                <w:sz w:val="20"/>
                <w:szCs w:val="20"/>
              </w:rPr>
              <w:t>合计</w:t>
            </w:r>
          </w:p>
        </w:tc>
        <w:tc>
          <w:tcPr>
            <w:tcW w:w="2161" w:type="dxa"/>
            <w:noWrap w:val="0"/>
            <w:vAlign w:val="center"/>
          </w:tcPr>
          <w:p>
            <w:pPr>
              <w:spacing w:line="240" w:lineRule="auto"/>
              <w:ind w:firstLine="0" w:firstLineChars="0"/>
              <w:jc w:val="center"/>
              <w:rPr>
                <w:color w:val="auto"/>
                <w:sz w:val="20"/>
                <w:szCs w:val="20"/>
              </w:rPr>
            </w:pPr>
            <w:r>
              <w:rPr>
                <w:rFonts w:hint="eastAsia"/>
                <w:color w:val="auto"/>
                <w:sz w:val="20"/>
                <w:szCs w:val="20"/>
              </w:rPr>
              <w:t>0.031592</w:t>
            </w:r>
          </w:p>
        </w:tc>
      </w:tr>
    </w:tbl>
    <w:p>
      <w:pPr>
        <w:pStyle w:val="9"/>
        <w:spacing w:before="120" w:beforeLines="50"/>
        <w:rPr>
          <w:color w:val="auto"/>
        </w:rPr>
      </w:pPr>
      <w:r>
        <w:rPr>
          <w:rFonts w:hint="eastAsia"/>
          <w:color w:val="auto"/>
        </w:rPr>
        <w:t>环境风险潜势判定</w:t>
      </w:r>
    </w:p>
    <w:p>
      <w:pPr>
        <w:ind w:firstLine="480"/>
        <w:rPr>
          <w:color w:val="auto"/>
        </w:rPr>
      </w:pPr>
      <w:r>
        <w:rPr>
          <w:rFonts w:hint="eastAsia"/>
          <w:color w:val="auto"/>
        </w:rPr>
        <w:t>经分析得知，本项目的Q值为0.031592＜1，根据《建设项目环境风险评价技术导则》（HJ169-2018），项目的环境风险潜势为Ⅰ级。</w:t>
      </w:r>
    </w:p>
    <w:p>
      <w:pPr>
        <w:pStyle w:val="8"/>
        <w:tabs>
          <w:tab w:val="clear" w:pos="0"/>
        </w:tabs>
        <w:spacing w:before="120"/>
        <w:rPr>
          <w:rFonts w:eastAsia="黑体"/>
          <w:color w:val="auto"/>
          <w:sz w:val="28"/>
          <w:szCs w:val="28"/>
        </w:rPr>
      </w:pPr>
      <w:r>
        <w:rPr>
          <w:rFonts w:hint="eastAsia" w:eastAsia="黑体"/>
          <w:color w:val="auto"/>
          <w:sz w:val="28"/>
          <w:szCs w:val="28"/>
        </w:rPr>
        <w:t>评级等级及评级范围</w:t>
      </w:r>
    </w:p>
    <w:p>
      <w:pPr>
        <w:pStyle w:val="9"/>
        <w:spacing w:before="120" w:beforeLines="50"/>
        <w:rPr>
          <w:color w:val="auto"/>
        </w:rPr>
      </w:pPr>
      <w:r>
        <w:rPr>
          <w:rFonts w:hint="eastAsia"/>
          <w:color w:val="auto"/>
        </w:rPr>
        <w:t xml:space="preserve">评价等级 </w:t>
      </w:r>
    </w:p>
    <w:p>
      <w:pPr>
        <w:ind w:firstLine="480"/>
        <w:rPr>
          <w:color w:val="auto"/>
          <w:lang/>
        </w:rPr>
      </w:pPr>
      <w:r>
        <w:rPr>
          <w:color w:val="auto"/>
          <w:lang/>
        </w:rPr>
        <w:t>根据《建设项目环境风险评价技术导则》（HJ169-2018）规定：“环境风险评价工作是依据建设项目涉及的物质及工艺系统危险性和所在地的环境敏感性确定环境风险潜势进行分级，环境影响评价工作等级划分为一级、二级、三级”，环境风险</w:t>
      </w:r>
      <w:r>
        <w:rPr>
          <w:rFonts w:hint="eastAsia"/>
          <w:color w:val="auto"/>
          <w:lang/>
        </w:rPr>
        <w:t>潜势Ⅰ</w:t>
      </w:r>
      <w:r>
        <w:rPr>
          <w:color w:val="auto"/>
          <w:lang/>
        </w:rPr>
        <w:t>级时</w:t>
      </w:r>
      <w:r>
        <w:rPr>
          <w:rFonts w:hint="eastAsia"/>
          <w:color w:val="auto"/>
          <w:lang/>
        </w:rPr>
        <w:t>，</w:t>
      </w:r>
      <w:r>
        <w:rPr>
          <w:color w:val="auto"/>
          <w:lang/>
        </w:rPr>
        <w:t>仅需开展简单分析</w:t>
      </w:r>
      <w:r>
        <w:rPr>
          <w:rFonts w:hint="eastAsia"/>
          <w:color w:val="auto"/>
          <w:lang/>
        </w:rPr>
        <w:t>。</w:t>
      </w:r>
      <w:r>
        <w:rPr>
          <w:color w:val="auto"/>
          <w:lang/>
        </w:rPr>
        <w:t>具体分级判据见表6.2-6。</w:t>
      </w:r>
    </w:p>
    <w:p>
      <w:pPr>
        <w:spacing w:line="240" w:lineRule="auto"/>
        <w:ind w:firstLine="0" w:firstLineChars="0"/>
        <w:jc w:val="center"/>
        <w:rPr>
          <w:b/>
          <w:color w:val="auto"/>
          <w:sz w:val="21"/>
          <w:szCs w:val="21"/>
        </w:rPr>
      </w:pPr>
      <w:r>
        <w:rPr>
          <w:b/>
          <w:color w:val="auto"/>
          <w:sz w:val="21"/>
          <w:szCs w:val="21"/>
        </w:rPr>
        <w:t>表6.2-6</w:t>
      </w:r>
      <w:r>
        <w:rPr>
          <w:rFonts w:hint="eastAsia"/>
          <w:b/>
          <w:color w:val="auto"/>
          <w:sz w:val="21"/>
          <w:szCs w:val="21"/>
          <w:lang w:val="en-US" w:eastAsia="zh-CN"/>
        </w:rPr>
        <w:t xml:space="preserve"> </w:t>
      </w:r>
      <w:r>
        <w:rPr>
          <w:b/>
          <w:color w:val="auto"/>
          <w:sz w:val="21"/>
          <w:szCs w:val="21"/>
        </w:rPr>
        <w:t>项目环境影响评价等级判据一览表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857"/>
        <w:gridCol w:w="1857"/>
        <w:gridCol w:w="1858"/>
        <w:gridCol w:w="18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57" w:type="dxa"/>
            <w:noWrap w:val="0"/>
            <w:vAlign w:val="center"/>
          </w:tcPr>
          <w:p>
            <w:pPr>
              <w:spacing w:line="240" w:lineRule="auto"/>
              <w:ind w:firstLine="0" w:firstLineChars="0"/>
              <w:jc w:val="center"/>
              <w:rPr>
                <w:color w:val="auto"/>
                <w:sz w:val="21"/>
                <w:szCs w:val="21"/>
                <w:lang/>
              </w:rPr>
            </w:pPr>
            <w:r>
              <w:rPr>
                <w:rFonts w:hint="eastAsia"/>
                <w:color w:val="auto"/>
                <w:sz w:val="21"/>
                <w:szCs w:val="21"/>
                <w:lang/>
              </w:rPr>
              <w:t>环境风险潜势</w:t>
            </w:r>
          </w:p>
        </w:tc>
        <w:tc>
          <w:tcPr>
            <w:tcW w:w="1857" w:type="dxa"/>
            <w:noWrap w:val="0"/>
            <w:vAlign w:val="center"/>
          </w:tcPr>
          <w:p>
            <w:pPr>
              <w:spacing w:line="240" w:lineRule="auto"/>
              <w:ind w:firstLine="0" w:firstLineChars="0"/>
              <w:jc w:val="center"/>
              <w:rPr>
                <w:color w:val="auto"/>
                <w:sz w:val="21"/>
                <w:szCs w:val="21"/>
                <w:lang/>
              </w:rPr>
            </w:pPr>
            <w:r>
              <w:rPr>
                <w:rFonts w:hint="eastAsia"/>
                <w:color w:val="auto"/>
                <w:sz w:val="21"/>
                <w:szCs w:val="21"/>
                <w:lang/>
              </w:rPr>
              <w:t>Ⅳ、Ⅳ</w:t>
            </w:r>
            <w:r>
              <w:rPr>
                <w:color w:val="auto"/>
                <w:sz w:val="21"/>
                <w:szCs w:val="21"/>
                <w:vertAlign w:val="superscript"/>
                <w:lang/>
              </w:rPr>
              <w:t>+</w:t>
            </w:r>
          </w:p>
        </w:tc>
        <w:tc>
          <w:tcPr>
            <w:tcW w:w="1857" w:type="dxa"/>
            <w:noWrap w:val="0"/>
            <w:vAlign w:val="center"/>
          </w:tcPr>
          <w:p>
            <w:pPr>
              <w:spacing w:line="240" w:lineRule="auto"/>
              <w:ind w:firstLine="0" w:firstLineChars="0"/>
              <w:jc w:val="center"/>
              <w:rPr>
                <w:color w:val="auto"/>
                <w:sz w:val="21"/>
                <w:szCs w:val="21"/>
                <w:lang/>
              </w:rPr>
            </w:pPr>
            <w:r>
              <w:rPr>
                <w:rFonts w:hint="eastAsia"/>
                <w:color w:val="auto"/>
                <w:sz w:val="21"/>
                <w:szCs w:val="21"/>
                <w:lang/>
              </w:rPr>
              <w:t>Ⅲ</w:t>
            </w:r>
          </w:p>
        </w:tc>
        <w:tc>
          <w:tcPr>
            <w:tcW w:w="1858" w:type="dxa"/>
            <w:noWrap w:val="0"/>
            <w:vAlign w:val="center"/>
          </w:tcPr>
          <w:p>
            <w:pPr>
              <w:spacing w:line="240" w:lineRule="auto"/>
              <w:ind w:firstLine="0" w:firstLineChars="0"/>
              <w:jc w:val="center"/>
              <w:rPr>
                <w:color w:val="auto"/>
                <w:sz w:val="21"/>
                <w:szCs w:val="21"/>
                <w:lang/>
              </w:rPr>
            </w:pPr>
            <w:r>
              <w:rPr>
                <w:rFonts w:hint="eastAsia"/>
                <w:color w:val="auto"/>
                <w:sz w:val="21"/>
                <w:szCs w:val="21"/>
                <w:lang/>
              </w:rPr>
              <w:t>Ⅱ</w:t>
            </w:r>
          </w:p>
        </w:tc>
        <w:tc>
          <w:tcPr>
            <w:tcW w:w="1858" w:type="dxa"/>
            <w:noWrap w:val="0"/>
            <w:vAlign w:val="center"/>
          </w:tcPr>
          <w:p>
            <w:pPr>
              <w:spacing w:line="240" w:lineRule="auto"/>
              <w:ind w:firstLine="0" w:firstLineChars="0"/>
              <w:jc w:val="center"/>
              <w:rPr>
                <w:color w:val="auto"/>
                <w:sz w:val="21"/>
                <w:szCs w:val="21"/>
                <w:lang/>
              </w:rPr>
            </w:pPr>
            <w:r>
              <w:rPr>
                <w:rFonts w:hint="eastAsia"/>
                <w:color w:val="auto"/>
                <w:sz w:val="21"/>
                <w:szCs w:val="21"/>
                <w:lang/>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57" w:type="dxa"/>
            <w:shd w:val="clear" w:color="auto" w:fill="auto"/>
            <w:noWrap w:val="0"/>
            <w:vAlign w:val="center"/>
          </w:tcPr>
          <w:p>
            <w:pPr>
              <w:spacing w:line="240" w:lineRule="auto"/>
              <w:ind w:firstLine="0" w:firstLineChars="0"/>
              <w:jc w:val="center"/>
              <w:rPr>
                <w:color w:val="auto"/>
                <w:sz w:val="21"/>
                <w:szCs w:val="21"/>
                <w:lang/>
              </w:rPr>
            </w:pPr>
            <w:r>
              <w:rPr>
                <w:rFonts w:hint="eastAsia"/>
                <w:color w:val="auto"/>
                <w:sz w:val="21"/>
                <w:szCs w:val="21"/>
                <w:lang/>
              </w:rPr>
              <w:t>评价工作等级</w:t>
            </w:r>
          </w:p>
        </w:tc>
        <w:tc>
          <w:tcPr>
            <w:tcW w:w="1857" w:type="dxa"/>
            <w:shd w:val="clear" w:color="auto" w:fill="auto"/>
            <w:noWrap w:val="0"/>
            <w:vAlign w:val="center"/>
          </w:tcPr>
          <w:p>
            <w:pPr>
              <w:spacing w:line="240" w:lineRule="auto"/>
              <w:ind w:firstLine="0" w:firstLineChars="0"/>
              <w:jc w:val="center"/>
              <w:rPr>
                <w:color w:val="auto"/>
                <w:sz w:val="21"/>
                <w:szCs w:val="21"/>
                <w:lang/>
              </w:rPr>
            </w:pPr>
            <w:r>
              <w:rPr>
                <w:rFonts w:hint="eastAsia"/>
                <w:color w:val="auto"/>
                <w:sz w:val="21"/>
                <w:szCs w:val="21"/>
                <w:lang/>
              </w:rPr>
              <w:t>一</w:t>
            </w:r>
          </w:p>
        </w:tc>
        <w:tc>
          <w:tcPr>
            <w:tcW w:w="1857" w:type="dxa"/>
            <w:shd w:val="clear" w:color="auto" w:fill="auto"/>
            <w:noWrap w:val="0"/>
            <w:vAlign w:val="center"/>
          </w:tcPr>
          <w:p>
            <w:pPr>
              <w:spacing w:line="240" w:lineRule="auto"/>
              <w:ind w:firstLine="0" w:firstLineChars="0"/>
              <w:jc w:val="center"/>
              <w:rPr>
                <w:color w:val="auto"/>
                <w:sz w:val="21"/>
                <w:szCs w:val="21"/>
                <w:lang/>
              </w:rPr>
            </w:pPr>
            <w:r>
              <w:rPr>
                <w:rFonts w:hint="eastAsia"/>
                <w:color w:val="auto"/>
                <w:sz w:val="21"/>
                <w:szCs w:val="21"/>
                <w:lang/>
              </w:rPr>
              <w:t>二</w:t>
            </w:r>
          </w:p>
        </w:tc>
        <w:tc>
          <w:tcPr>
            <w:tcW w:w="1858" w:type="dxa"/>
            <w:shd w:val="clear" w:color="auto" w:fill="auto"/>
            <w:noWrap w:val="0"/>
            <w:vAlign w:val="center"/>
          </w:tcPr>
          <w:p>
            <w:pPr>
              <w:spacing w:line="240" w:lineRule="auto"/>
              <w:ind w:firstLine="0" w:firstLineChars="0"/>
              <w:jc w:val="center"/>
              <w:rPr>
                <w:color w:val="auto"/>
                <w:sz w:val="21"/>
                <w:szCs w:val="21"/>
                <w:lang/>
              </w:rPr>
            </w:pPr>
            <w:r>
              <w:rPr>
                <w:rFonts w:hint="eastAsia"/>
                <w:color w:val="auto"/>
                <w:sz w:val="21"/>
                <w:szCs w:val="21"/>
                <w:lang/>
              </w:rPr>
              <w:t>三</w:t>
            </w:r>
          </w:p>
        </w:tc>
        <w:tc>
          <w:tcPr>
            <w:tcW w:w="1858" w:type="dxa"/>
            <w:shd w:val="clear" w:color="auto" w:fill="BFBFBF"/>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lang/>
              </w:rPr>
              <w:t>简单分析</w:t>
            </w:r>
            <w:r>
              <w:rPr>
                <w:color w:val="auto"/>
                <w:sz w:val="21"/>
                <w:szCs w:val="21"/>
                <w:vertAlign w:val="superscript"/>
                <w:lang/>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87" w:type="dxa"/>
            <w:gridSpan w:val="5"/>
            <w:noWrap w:val="0"/>
            <w:vAlign w:val="center"/>
          </w:tcPr>
          <w:p>
            <w:pPr>
              <w:spacing w:line="240" w:lineRule="auto"/>
              <w:ind w:firstLine="0" w:firstLineChars="0"/>
              <w:jc w:val="left"/>
              <w:rPr>
                <w:color w:val="auto"/>
                <w:sz w:val="21"/>
                <w:szCs w:val="21"/>
                <w:lang/>
              </w:rPr>
            </w:pPr>
            <w:r>
              <w:rPr>
                <w:color w:val="auto"/>
                <w:sz w:val="21"/>
                <w:szCs w:val="21"/>
                <w:lang/>
              </w:rPr>
              <w:t>a 是相对于详细评价工作内容而言，在描述危险物质、环境影响途径、环境危害后果、风险防范措施等方面给</w:t>
            </w:r>
            <w:r>
              <w:rPr>
                <w:rFonts w:hint="eastAsia"/>
                <w:color w:val="auto"/>
                <w:sz w:val="21"/>
                <w:szCs w:val="21"/>
                <w:lang/>
              </w:rPr>
              <w:t>出定性的说明。见附录</w:t>
            </w:r>
            <w:r>
              <w:rPr>
                <w:color w:val="auto"/>
                <w:sz w:val="21"/>
                <w:szCs w:val="21"/>
                <w:lang/>
              </w:rPr>
              <w:t>A。</w:t>
            </w:r>
          </w:p>
        </w:tc>
      </w:tr>
    </w:tbl>
    <w:p>
      <w:pPr>
        <w:spacing w:before="120" w:beforeLines="50"/>
        <w:ind w:firstLine="480"/>
        <w:rPr>
          <w:b/>
          <w:color w:val="auto"/>
        </w:rPr>
      </w:pPr>
      <w:r>
        <w:rPr>
          <w:color w:val="auto"/>
        </w:rPr>
        <w:t>根据以上分析</w:t>
      </w:r>
      <w:r>
        <w:rPr>
          <w:rFonts w:hint="eastAsia"/>
          <w:color w:val="auto"/>
        </w:rPr>
        <w:t>，</w:t>
      </w:r>
      <w:r>
        <w:rPr>
          <w:color w:val="auto"/>
        </w:rPr>
        <w:t>项目</w:t>
      </w:r>
      <w:r>
        <w:rPr>
          <w:rFonts w:hint="eastAsia"/>
          <w:color w:val="auto"/>
        </w:rPr>
        <w:t>环境风险潜势Ⅰ级，项目环境风险等级开展简单分析即可。</w:t>
      </w:r>
    </w:p>
    <w:p>
      <w:pPr>
        <w:pStyle w:val="9"/>
        <w:spacing w:before="120" w:beforeLines="50"/>
        <w:rPr>
          <w:color w:val="auto"/>
        </w:rPr>
      </w:pPr>
      <w:r>
        <w:rPr>
          <w:rFonts w:hint="eastAsia"/>
          <w:color w:val="auto"/>
        </w:rPr>
        <w:t>评价范围</w:t>
      </w:r>
    </w:p>
    <w:p>
      <w:pPr>
        <w:ind w:firstLine="480"/>
        <w:rPr>
          <w:rFonts w:hint="eastAsia"/>
          <w:color w:val="auto"/>
        </w:rPr>
      </w:pPr>
      <w:r>
        <w:rPr>
          <w:rFonts w:hint="eastAsia"/>
          <w:color w:val="auto"/>
        </w:rPr>
        <w:t>本项目的环境风险评价等级简单分析，根据《建设项目环境风险评价技术导则》（HJ169-2018）附录A，简单分析未包含评价范围，但需明确周边环境敏感目标分布情况。</w:t>
      </w:r>
    </w:p>
    <w:p>
      <w:pPr>
        <w:pStyle w:val="7"/>
        <w:spacing w:before="120"/>
        <w:rPr>
          <w:rFonts w:eastAsia="黑体"/>
          <w:color w:val="auto"/>
          <w:sz w:val="32"/>
        </w:rPr>
      </w:pPr>
      <w:bookmarkStart w:id="211" w:name="_Toc2841"/>
      <w:r>
        <w:rPr>
          <w:rFonts w:hint="eastAsia" w:eastAsia="黑体"/>
          <w:color w:val="auto"/>
          <w:sz w:val="32"/>
        </w:rPr>
        <w:t>环境敏感目标调查</w:t>
      </w:r>
      <w:bookmarkEnd w:id="211"/>
    </w:p>
    <w:p>
      <w:pPr>
        <w:ind w:firstLine="480"/>
        <w:rPr>
          <w:rFonts w:hint="eastAsia"/>
          <w:color w:val="auto"/>
        </w:rPr>
      </w:pPr>
      <w:r>
        <w:rPr>
          <w:rFonts w:hint="eastAsia"/>
          <w:color w:val="auto"/>
        </w:rPr>
        <w:t>根据项目涉及的危险物质可能的影响途径和所在区域的实际环境特点，其敏感目标的分布见表</w:t>
      </w:r>
      <w:r>
        <w:rPr>
          <w:color w:val="auto"/>
        </w:rPr>
        <w:t>6</w:t>
      </w:r>
      <w:r>
        <w:rPr>
          <w:rFonts w:hint="eastAsia"/>
          <w:color w:val="auto"/>
        </w:rPr>
        <w:t>.</w:t>
      </w:r>
      <w:r>
        <w:rPr>
          <w:color w:val="auto"/>
        </w:rPr>
        <w:t>3-1</w:t>
      </w:r>
      <w:r>
        <w:rPr>
          <w:rFonts w:hint="eastAsia"/>
          <w:color w:val="auto"/>
        </w:rPr>
        <w:t>。</w:t>
      </w:r>
    </w:p>
    <w:p>
      <w:pPr>
        <w:autoSpaceDE w:val="0"/>
        <w:autoSpaceDN w:val="0"/>
        <w:adjustRightInd w:val="0"/>
        <w:snapToGrid w:val="0"/>
        <w:spacing w:line="240" w:lineRule="auto"/>
        <w:ind w:firstLine="422"/>
        <w:jc w:val="center"/>
        <w:rPr>
          <w:b/>
          <w:color w:val="auto"/>
          <w:sz w:val="21"/>
          <w:szCs w:val="21"/>
        </w:rPr>
      </w:pPr>
      <w:r>
        <w:rPr>
          <w:b/>
          <w:color w:val="auto"/>
          <w:sz w:val="21"/>
          <w:szCs w:val="21"/>
        </w:rPr>
        <w:t>表6.3-1</w:t>
      </w:r>
      <w:r>
        <w:rPr>
          <w:rFonts w:hint="eastAsia"/>
          <w:b/>
          <w:color w:val="auto"/>
          <w:sz w:val="21"/>
          <w:szCs w:val="21"/>
          <w:lang w:val="en-US" w:eastAsia="zh-CN"/>
        </w:rPr>
        <w:t xml:space="preserve"> </w:t>
      </w:r>
      <w:r>
        <w:rPr>
          <w:rFonts w:hint="eastAsia"/>
          <w:b/>
          <w:color w:val="auto"/>
          <w:sz w:val="21"/>
          <w:szCs w:val="21"/>
        </w:rPr>
        <w:t>风险评价范围内主要社会关注点</w:t>
      </w:r>
    </w:p>
    <w:tbl>
      <w:tblPr>
        <w:tblStyle w:val="51"/>
        <w:tblW w:w="9287" w:type="dxa"/>
        <w:jc w:val="center"/>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76"/>
        <w:gridCol w:w="1984"/>
        <w:gridCol w:w="2880"/>
        <w:gridCol w:w="1997"/>
        <w:gridCol w:w="1750"/>
      </w:tblGrid>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676" w:type="dxa"/>
            <w:vMerge w:val="restart"/>
            <w:noWrap w:val="0"/>
            <w:vAlign w:val="center"/>
          </w:tcPr>
          <w:p>
            <w:pPr>
              <w:spacing w:line="240" w:lineRule="auto"/>
              <w:ind w:firstLine="0" w:firstLineChars="0"/>
              <w:jc w:val="center"/>
              <w:rPr>
                <w:b/>
                <w:color w:val="auto"/>
                <w:sz w:val="21"/>
                <w:szCs w:val="21"/>
                <w:lang/>
              </w:rPr>
            </w:pPr>
            <w:r>
              <w:rPr>
                <w:b/>
                <w:color w:val="auto"/>
                <w:sz w:val="21"/>
                <w:szCs w:val="21"/>
                <w:lang/>
              </w:rPr>
              <w:t>序号</w:t>
            </w:r>
          </w:p>
        </w:tc>
        <w:tc>
          <w:tcPr>
            <w:tcW w:w="1984" w:type="dxa"/>
            <w:vMerge w:val="restart"/>
            <w:noWrap w:val="0"/>
            <w:vAlign w:val="center"/>
          </w:tcPr>
          <w:p>
            <w:pPr>
              <w:spacing w:line="240" w:lineRule="auto"/>
              <w:ind w:firstLine="0" w:firstLineChars="0"/>
              <w:jc w:val="center"/>
              <w:rPr>
                <w:b/>
                <w:color w:val="auto"/>
                <w:sz w:val="21"/>
                <w:szCs w:val="21"/>
                <w:lang/>
              </w:rPr>
            </w:pPr>
            <w:r>
              <w:rPr>
                <w:b/>
                <w:color w:val="auto"/>
                <w:sz w:val="21"/>
                <w:szCs w:val="21"/>
                <w:lang/>
              </w:rPr>
              <w:t>名称</w:t>
            </w:r>
          </w:p>
        </w:tc>
        <w:tc>
          <w:tcPr>
            <w:tcW w:w="4877" w:type="dxa"/>
            <w:gridSpan w:val="2"/>
            <w:noWrap w:val="0"/>
            <w:vAlign w:val="center"/>
          </w:tcPr>
          <w:p>
            <w:pPr>
              <w:spacing w:line="240" w:lineRule="auto"/>
              <w:ind w:firstLine="0" w:firstLineChars="0"/>
              <w:jc w:val="center"/>
              <w:rPr>
                <w:b/>
                <w:color w:val="auto"/>
                <w:sz w:val="21"/>
                <w:szCs w:val="21"/>
                <w:lang/>
              </w:rPr>
            </w:pPr>
            <w:r>
              <w:rPr>
                <w:b/>
                <w:color w:val="auto"/>
                <w:sz w:val="21"/>
                <w:szCs w:val="21"/>
                <w:lang/>
              </w:rPr>
              <w:t>建设项目相对位置</w:t>
            </w:r>
          </w:p>
        </w:tc>
        <w:tc>
          <w:tcPr>
            <w:tcW w:w="1750" w:type="dxa"/>
            <w:vMerge w:val="restart"/>
            <w:noWrap w:val="0"/>
            <w:vAlign w:val="center"/>
          </w:tcPr>
          <w:p>
            <w:pPr>
              <w:spacing w:line="240" w:lineRule="auto"/>
              <w:ind w:firstLine="0" w:firstLineChars="0"/>
              <w:jc w:val="center"/>
              <w:rPr>
                <w:rFonts w:hint="eastAsia"/>
                <w:b/>
                <w:color w:val="auto"/>
                <w:sz w:val="21"/>
                <w:szCs w:val="21"/>
                <w:lang/>
              </w:rPr>
            </w:pPr>
            <w:r>
              <w:rPr>
                <w:rFonts w:hint="eastAsia"/>
                <w:b/>
                <w:color w:val="auto"/>
                <w:sz w:val="21"/>
                <w:szCs w:val="21"/>
                <w:lang/>
              </w:rPr>
              <w:t>规模</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676" w:type="dxa"/>
            <w:vMerge w:val="continue"/>
            <w:noWrap w:val="0"/>
            <w:vAlign w:val="center"/>
          </w:tcPr>
          <w:p>
            <w:pPr>
              <w:spacing w:line="240" w:lineRule="auto"/>
              <w:ind w:firstLine="0" w:firstLineChars="0"/>
              <w:jc w:val="center"/>
              <w:rPr>
                <w:color w:val="auto"/>
                <w:sz w:val="21"/>
                <w:szCs w:val="21"/>
                <w:lang/>
              </w:rPr>
            </w:pPr>
          </w:p>
        </w:tc>
        <w:tc>
          <w:tcPr>
            <w:tcW w:w="1984" w:type="dxa"/>
            <w:vMerge w:val="continue"/>
            <w:noWrap w:val="0"/>
            <w:vAlign w:val="center"/>
          </w:tcPr>
          <w:p>
            <w:pPr>
              <w:spacing w:line="240" w:lineRule="auto"/>
              <w:ind w:firstLine="0" w:firstLineChars="0"/>
              <w:jc w:val="center"/>
              <w:rPr>
                <w:color w:val="auto"/>
                <w:sz w:val="21"/>
                <w:szCs w:val="21"/>
                <w:lang/>
              </w:rPr>
            </w:pPr>
          </w:p>
        </w:tc>
        <w:tc>
          <w:tcPr>
            <w:tcW w:w="2880" w:type="dxa"/>
            <w:noWrap w:val="0"/>
            <w:vAlign w:val="center"/>
          </w:tcPr>
          <w:p>
            <w:pPr>
              <w:spacing w:line="240" w:lineRule="auto"/>
              <w:ind w:firstLine="0" w:firstLineChars="0"/>
              <w:jc w:val="center"/>
              <w:rPr>
                <w:b/>
                <w:color w:val="auto"/>
                <w:sz w:val="21"/>
                <w:szCs w:val="21"/>
                <w:lang/>
              </w:rPr>
            </w:pPr>
            <w:r>
              <w:rPr>
                <w:b/>
                <w:color w:val="auto"/>
                <w:sz w:val="21"/>
                <w:szCs w:val="21"/>
                <w:lang/>
              </w:rPr>
              <w:t>方位</w:t>
            </w:r>
          </w:p>
        </w:tc>
        <w:tc>
          <w:tcPr>
            <w:tcW w:w="1997" w:type="dxa"/>
            <w:noWrap w:val="0"/>
            <w:vAlign w:val="center"/>
          </w:tcPr>
          <w:p>
            <w:pPr>
              <w:spacing w:line="240" w:lineRule="auto"/>
              <w:ind w:firstLine="0" w:firstLineChars="0"/>
              <w:jc w:val="center"/>
              <w:rPr>
                <w:b/>
                <w:color w:val="auto"/>
                <w:sz w:val="21"/>
                <w:szCs w:val="21"/>
                <w:lang/>
              </w:rPr>
            </w:pPr>
            <w:r>
              <w:rPr>
                <w:b/>
                <w:color w:val="auto"/>
                <w:sz w:val="21"/>
                <w:szCs w:val="21"/>
                <w:lang/>
              </w:rPr>
              <w:t>距离</w:t>
            </w:r>
            <w:r>
              <w:rPr>
                <w:rFonts w:hint="eastAsia"/>
                <w:b/>
                <w:color w:val="auto"/>
                <w:sz w:val="21"/>
                <w:szCs w:val="21"/>
                <w:lang/>
              </w:rPr>
              <w:t>（m）</w:t>
            </w:r>
          </w:p>
        </w:tc>
        <w:tc>
          <w:tcPr>
            <w:tcW w:w="1750" w:type="dxa"/>
            <w:vMerge w:val="continue"/>
            <w:noWrap w:val="0"/>
            <w:vAlign w:val="center"/>
          </w:tcPr>
          <w:p>
            <w:pPr>
              <w:spacing w:line="240" w:lineRule="auto"/>
              <w:ind w:firstLine="0" w:firstLineChars="0"/>
              <w:jc w:val="center"/>
              <w:rPr>
                <w:color w:val="auto"/>
                <w:sz w:val="21"/>
                <w:szCs w:val="21"/>
                <w:lang/>
              </w:rPr>
            </w:pP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color w:val="auto"/>
                <w:sz w:val="21"/>
                <w:szCs w:val="21"/>
                <w:lang/>
              </w:rPr>
            </w:pPr>
          </w:p>
        </w:tc>
        <w:tc>
          <w:tcPr>
            <w:tcW w:w="1984" w:type="dxa"/>
            <w:noWrap w:val="0"/>
            <w:vAlign w:val="center"/>
          </w:tcPr>
          <w:p>
            <w:pPr>
              <w:pStyle w:val="261"/>
              <w:ind w:firstLine="0" w:firstLineChars="0"/>
              <w:rPr>
                <w:color w:val="auto"/>
                <w:sz w:val="21"/>
                <w:szCs w:val="21"/>
                <w:lang/>
              </w:rPr>
            </w:pPr>
            <w:r>
              <w:rPr>
                <w:rFonts w:hint="eastAsia" w:ascii="宋体" w:hAnsi="宋体" w:eastAsia="宋体"/>
                <w:color w:val="auto"/>
                <w:sz w:val="21"/>
                <w:szCs w:val="21"/>
                <w:highlight w:val="none"/>
                <w:lang w:val="en-US" w:eastAsia="zh-CN"/>
              </w:rPr>
              <w:t>北侧住户</w:t>
            </w:r>
          </w:p>
        </w:tc>
        <w:tc>
          <w:tcPr>
            <w:tcW w:w="2880" w:type="dxa"/>
            <w:noWrap w:val="0"/>
            <w:vAlign w:val="center"/>
          </w:tcPr>
          <w:p>
            <w:pPr>
              <w:pStyle w:val="261"/>
              <w:ind w:firstLine="0" w:firstLineChars="0"/>
              <w:rPr>
                <w:color w:val="auto"/>
                <w:sz w:val="21"/>
                <w:szCs w:val="21"/>
                <w:lang/>
              </w:rPr>
            </w:pPr>
            <w:r>
              <w:rPr>
                <w:rFonts w:hint="eastAsia"/>
                <w:color w:val="auto"/>
                <w:sz w:val="21"/>
                <w:szCs w:val="21"/>
                <w:highlight w:val="none"/>
                <w:lang w:val="en-US" w:eastAsia="zh-CN"/>
              </w:rPr>
              <w:t>N</w:t>
            </w:r>
          </w:p>
        </w:tc>
        <w:tc>
          <w:tcPr>
            <w:tcW w:w="1997"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190~224</w:t>
            </w:r>
          </w:p>
        </w:tc>
        <w:tc>
          <w:tcPr>
            <w:tcW w:w="1750"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3户10人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color w:val="auto"/>
                <w:sz w:val="21"/>
                <w:szCs w:val="21"/>
                <w:lang/>
              </w:rPr>
            </w:pPr>
          </w:p>
        </w:tc>
        <w:tc>
          <w:tcPr>
            <w:tcW w:w="1984" w:type="dxa"/>
            <w:noWrap w:val="0"/>
            <w:vAlign w:val="center"/>
          </w:tcPr>
          <w:p>
            <w:pPr>
              <w:pStyle w:val="261"/>
              <w:ind w:firstLine="0" w:firstLineChars="0"/>
              <w:rPr>
                <w:rFonts w:hint="eastAsia" w:ascii="宋体" w:hAnsi="宋体" w:eastAsia="宋体"/>
                <w:color w:val="auto"/>
                <w:sz w:val="21"/>
                <w:szCs w:val="21"/>
                <w:lang w:eastAsia="zh-CN"/>
              </w:rPr>
            </w:pPr>
            <w:r>
              <w:rPr>
                <w:rFonts w:hint="eastAsia" w:ascii="宋体" w:hAnsi="宋体"/>
                <w:color w:val="auto"/>
                <w:sz w:val="21"/>
                <w:szCs w:val="21"/>
                <w:highlight w:val="none"/>
                <w:lang w:val="en-US" w:eastAsia="zh-CN"/>
              </w:rPr>
              <w:t>东北侧住户</w:t>
            </w:r>
          </w:p>
        </w:tc>
        <w:tc>
          <w:tcPr>
            <w:tcW w:w="2880" w:type="dxa"/>
            <w:noWrap w:val="0"/>
            <w:vAlign w:val="center"/>
          </w:tcPr>
          <w:p>
            <w:pPr>
              <w:pStyle w:val="261"/>
              <w:ind w:firstLine="0" w:firstLineChars="0"/>
              <w:rPr>
                <w:color w:val="auto"/>
                <w:sz w:val="21"/>
                <w:szCs w:val="21"/>
              </w:rPr>
            </w:pPr>
            <w:r>
              <w:rPr>
                <w:rFonts w:hint="eastAsia"/>
                <w:color w:val="auto"/>
                <w:sz w:val="21"/>
                <w:szCs w:val="21"/>
                <w:highlight w:val="none"/>
                <w:lang w:val="en-US" w:eastAsia="zh-CN"/>
              </w:rPr>
              <w:t>NE</w:t>
            </w:r>
          </w:p>
        </w:tc>
        <w:tc>
          <w:tcPr>
            <w:tcW w:w="1997"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315~432</w:t>
            </w:r>
          </w:p>
        </w:tc>
        <w:tc>
          <w:tcPr>
            <w:tcW w:w="1750"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8户26人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pStyle w:val="261"/>
              <w:ind w:firstLine="0" w:firstLineChars="0"/>
              <w:rPr>
                <w:rFonts w:hint="eastAsia" w:eastAsia="宋体"/>
                <w:color w:val="auto"/>
                <w:sz w:val="21"/>
                <w:szCs w:val="21"/>
                <w:lang w:eastAsia="zh-CN"/>
              </w:rPr>
            </w:pPr>
            <w:r>
              <w:rPr>
                <w:rFonts w:hint="eastAsia" w:ascii="宋体" w:hAnsi="宋体"/>
                <w:color w:val="auto"/>
                <w:sz w:val="21"/>
                <w:szCs w:val="21"/>
                <w:highlight w:val="none"/>
                <w:lang w:val="en-US" w:eastAsia="zh-CN"/>
              </w:rPr>
              <w:t>葫芦村</w:t>
            </w:r>
          </w:p>
        </w:tc>
        <w:tc>
          <w:tcPr>
            <w:tcW w:w="2880" w:type="dxa"/>
            <w:noWrap w:val="0"/>
            <w:vAlign w:val="center"/>
          </w:tcPr>
          <w:p>
            <w:pPr>
              <w:pStyle w:val="261"/>
              <w:ind w:firstLine="0" w:firstLineChars="0"/>
              <w:rPr>
                <w:color w:val="auto"/>
                <w:sz w:val="21"/>
                <w:szCs w:val="21"/>
              </w:rPr>
            </w:pPr>
            <w:r>
              <w:rPr>
                <w:rFonts w:hint="eastAsia"/>
                <w:color w:val="auto"/>
                <w:sz w:val="21"/>
                <w:szCs w:val="21"/>
                <w:highlight w:val="none"/>
                <w:lang w:val="en-US" w:eastAsia="zh-CN"/>
              </w:rPr>
              <w:t>NE</w:t>
            </w:r>
          </w:p>
        </w:tc>
        <w:tc>
          <w:tcPr>
            <w:tcW w:w="1997"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910</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约300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pStyle w:val="261"/>
              <w:ind w:firstLine="0" w:firstLineChars="0"/>
              <w:rPr>
                <w:color w:val="auto"/>
                <w:sz w:val="21"/>
                <w:szCs w:val="21"/>
                <w:lang/>
              </w:rPr>
            </w:pPr>
            <w:r>
              <w:rPr>
                <w:rFonts w:hint="eastAsia" w:ascii="宋体" w:hAnsi="宋体" w:eastAsia="宋体"/>
                <w:color w:val="auto"/>
                <w:sz w:val="21"/>
                <w:szCs w:val="21"/>
                <w:highlight w:val="none"/>
                <w:lang w:val="en-US" w:eastAsia="zh-CN"/>
              </w:rPr>
              <w:t>东侧住户</w:t>
            </w:r>
          </w:p>
        </w:tc>
        <w:tc>
          <w:tcPr>
            <w:tcW w:w="2880" w:type="dxa"/>
            <w:noWrap w:val="0"/>
            <w:vAlign w:val="center"/>
          </w:tcPr>
          <w:p>
            <w:pPr>
              <w:pStyle w:val="261"/>
              <w:ind w:firstLine="0" w:firstLineChars="0"/>
              <w:rPr>
                <w:color w:val="auto"/>
                <w:sz w:val="21"/>
                <w:szCs w:val="21"/>
                <w:lang/>
              </w:rPr>
            </w:pPr>
            <w:r>
              <w:rPr>
                <w:rFonts w:hint="eastAsia"/>
                <w:color w:val="auto"/>
                <w:sz w:val="21"/>
                <w:szCs w:val="21"/>
                <w:highlight w:val="none"/>
                <w:lang w:val="en-US" w:eastAsia="zh-CN"/>
              </w:rPr>
              <w:t>E</w:t>
            </w:r>
          </w:p>
        </w:tc>
        <w:tc>
          <w:tcPr>
            <w:tcW w:w="1997"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250~330</w:t>
            </w:r>
          </w:p>
        </w:tc>
        <w:tc>
          <w:tcPr>
            <w:tcW w:w="1750"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5户16人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pStyle w:val="261"/>
              <w:ind w:firstLine="0" w:firstLineChars="0"/>
              <w:rPr>
                <w:rFonts w:hint="eastAsia" w:eastAsia="宋体"/>
                <w:color w:val="auto"/>
                <w:sz w:val="21"/>
                <w:szCs w:val="21"/>
                <w:lang w:eastAsia="zh-CN"/>
              </w:rPr>
            </w:pPr>
            <w:r>
              <w:rPr>
                <w:rFonts w:hint="eastAsia" w:ascii="宋体" w:hAnsi="宋体" w:eastAsia="宋体"/>
                <w:color w:val="auto"/>
                <w:sz w:val="21"/>
                <w:szCs w:val="21"/>
                <w:highlight w:val="none"/>
                <w:lang w:val="en-US" w:eastAsia="zh-CN"/>
              </w:rPr>
              <w:t>合兴村</w:t>
            </w:r>
          </w:p>
        </w:tc>
        <w:tc>
          <w:tcPr>
            <w:tcW w:w="2880" w:type="dxa"/>
            <w:noWrap w:val="0"/>
            <w:vAlign w:val="center"/>
          </w:tcPr>
          <w:p>
            <w:pPr>
              <w:pStyle w:val="261"/>
              <w:ind w:firstLine="0" w:firstLineChars="0"/>
              <w:rPr>
                <w:rFonts w:hint="eastAsia"/>
                <w:color w:val="auto"/>
                <w:sz w:val="21"/>
                <w:szCs w:val="21"/>
                <w:lang/>
              </w:rPr>
            </w:pPr>
            <w:r>
              <w:rPr>
                <w:rFonts w:hint="eastAsia"/>
                <w:color w:val="auto"/>
                <w:sz w:val="21"/>
                <w:szCs w:val="21"/>
                <w:highlight w:val="none"/>
                <w:lang w:val="en-US" w:eastAsia="zh-CN"/>
              </w:rPr>
              <w:t>E</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1966</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约160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color w:val="auto"/>
                <w:sz w:val="21"/>
                <w:szCs w:val="21"/>
                <w:lang/>
              </w:rPr>
            </w:pPr>
            <w:r>
              <w:rPr>
                <w:rFonts w:hint="eastAsia" w:ascii="宋体" w:hAnsi="宋体"/>
                <w:color w:val="auto"/>
                <w:sz w:val="21"/>
                <w:szCs w:val="21"/>
                <w:highlight w:val="none"/>
                <w:lang w:val="en-US" w:eastAsia="zh-CN"/>
              </w:rPr>
              <w:t>光湖村</w:t>
            </w:r>
          </w:p>
        </w:tc>
        <w:tc>
          <w:tcPr>
            <w:tcW w:w="2880"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E</w:t>
            </w:r>
          </w:p>
        </w:tc>
        <w:tc>
          <w:tcPr>
            <w:tcW w:w="1997"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2030</w:t>
            </w:r>
          </w:p>
        </w:tc>
        <w:tc>
          <w:tcPr>
            <w:tcW w:w="1750" w:type="dxa"/>
            <w:noWrap w:val="0"/>
            <w:vAlign w:val="center"/>
          </w:tcPr>
          <w:p>
            <w:pPr>
              <w:spacing w:line="240" w:lineRule="auto"/>
              <w:ind w:firstLine="0" w:firstLineChars="0"/>
              <w:jc w:val="center"/>
              <w:rPr>
                <w:color w:val="auto"/>
                <w:sz w:val="21"/>
                <w:szCs w:val="21"/>
                <w:lang/>
              </w:rPr>
            </w:pPr>
            <w:r>
              <w:rPr>
                <w:rFonts w:hint="eastAsia"/>
                <w:color w:val="auto"/>
                <w:sz w:val="21"/>
                <w:szCs w:val="21"/>
                <w:highlight w:val="none"/>
                <w:lang w:val="en-US" w:eastAsia="zh-CN"/>
              </w:rPr>
              <w:t>约</w:t>
            </w:r>
            <w:r>
              <w:rPr>
                <w:rFonts w:hint="eastAsia"/>
                <w:color w:val="auto"/>
                <w:sz w:val="21"/>
                <w:szCs w:val="21"/>
                <w:highlight w:val="none"/>
              </w:rPr>
              <w:t>9</w:t>
            </w:r>
            <w:r>
              <w:rPr>
                <w:rFonts w:hint="eastAsia"/>
                <w:color w:val="auto"/>
                <w:sz w:val="21"/>
                <w:szCs w:val="21"/>
                <w:highlight w:val="none"/>
                <w:lang w:val="en-US" w:eastAsia="zh-CN"/>
              </w:rPr>
              <w:t>6</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lang/>
              </w:rPr>
            </w:pPr>
            <w:r>
              <w:rPr>
                <w:rFonts w:hint="eastAsia" w:ascii="宋体" w:hAnsi="宋体"/>
                <w:color w:val="auto"/>
                <w:sz w:val="21"/>
                <w:szCs w:val="21"/>
                <w:highlight w:val="none"/>
                <w:lang w:val="en-US" w:eastAsia="zh-CN"/>
              </w:rPr>
              <w:t>东南侧住户</w:t>
            </w:r>
          </w:p>
        </w:tc>
        <w:tc>
          <w:tcPr>
            <w:tcW w:w="288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SE</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576~600</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3户10人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lang/>
              </w:rPr>
            </w:pPr>
            <w:r>
              <w:rPr>
                <w:rFonts w:hint="eastAsia" w:ascii="宋体" w:hAnsi="宋体"/>
                <w:color w:val="auto"/>
                <w:sz w:val="21"/>
                <w:szCs w:val="21"/>
                <w:highlight w:val="none"/>
                <w:lang w:val="en-US" w:eastAsia="zh-CN"/>
              </w:rPr>
              <w:t>南侧住户</w:t>
            </w:r>
          </w:p>
        </w:tc>
        <w:tc>
          <w:tcPr>
            <w:tcW w:w="288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S</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139~287</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13户42人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eastAsia="宋体"/>
                <w:color w:val="auto"/>
                <w:sz w:val="21"/>
                <w:szCs w:val="21"/>
                <w:lang w:eastAsia="zh-CN"/>
              </w:rPr>
            </w:pPr>
            <w:r>
              <w:rPr>
                <w:rFonts w:hint="eastAsia" w:ascii="宋体" w:hAnsi="宋体"/>
                <w:color w:val="auto"/>
                <w:sz w:val="21"/>
                <w:szCs w:val="21"/>
                <w:highlight w:val="none"/>
                <w:lang w:val="en-US" w:eastAsia="zh-CN"/>
              </w:rPr>
              <w:t>红庙村</w:t>
            </w:r>
          </w:p>
        </w:tc>
        <w:tc>
          <w:tcPr>
            <w:tcW w:w="288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rPr>
              <w:t>S</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rPr>
              <w:t>1</w:t>
            </w:r>
            <w:r>
              <w:rPr>
                <w:rFonts w:hint="eastAsia"/>
                <w:color w:val="auto"/>
                <w:sz w:val="21"/>
                <w:szCs w:val="21"/>
                <w:highlight w:val="none"/>
                <w:lang w:val="en-US" w:eastAsia="zh-CN"/>
              </w:rPr>
              <w:t>195</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约150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lang/>
              </w:rPr>
            </w:pPr>
            <w:r>
              <w:rPr>
                <w:rFonts w:hint="eastAsia" w:ascii="宋体" w:hAnsi="宋体"/>
                <w:color w:val="auto"/>
                <w:sz w:val="21"/>
                <w:szCs w:val="21"/>
                <w:highlight w:val="none"/>
                <w:lang w:val="en-US" w:eastAsia="zh-CN"/>
              </w:rPr>
              <w:t>西南侧住户</w:t>
            </w:r>
          </w:p>
        </w:tc>
        <w:tc>
          <w:tcPr>
            <w:tcW w:w="288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SW</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327~477</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7户22人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lang/>
              </w:rPr>
            </w:pPr>
            <w:r>
              <w:rPr>
                <w:rFonts w:hint="eastAsia" w:ascii="宋体" w:hAnsi="宋体"/>
                <w:color w:val="auto"/>
                <w:sz w:val="21"/>
                <w:szCs w:val="21"/>
                <w:highlight w:val="none"/>
                <w:lang w:val="en-US" w:eastAsia="zh-CN"/>
              </w:rPr>
              <w:t>黄家桥村</w:t>
            </w:r>
          </w:p>
        </w:tc>
        <w:tc>
          <w:tcPr>
            <w:tcW w:w="288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S</w:t>
            </w:r>
            <w:r>
              <w:rPr>
                <w:rFonts w:hint="eastAsia"/>
                <w:color w:val="auto"/>
                <w:sz w:val="21"/>
                <w:szCs w:val="21"/>
                <w:highlight w:val="none"/>
              </w:rPr>
              <w:t>W</w:t>
            </w:r>
          </w:p>
        </w:tc>
        <w:tc>
          <w:tcPr>
            <w:tcW w:w="1997"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2435</w:t>
            </w:r>
          </w:p>
        </w:tc>
        <w:tc>
          <w:tcPr>
            <w:tcW w:w="1750" w:type="dxa"/>
            <w:noWrap w:val="0"/>
            <w:vAlign w:val="center"/>
          </w:tcPr>
          <w:p>
            <w:pPr>
              <w:spacing w:line="240" w:lineRule="auto"/>
              <w:ind w:firstLine="0" w:firstLineChars="0"/>
              <w:jc w:val="center"/>
              <w:rPr>
                <w:rFonts w:hint="eastAsia"/>
                <w:color w:val="auto"/>
                <w:sz w:val="21"/>
                <w:szCs w:val="21"/>
                <w:lang/>
              </w:rPr>
            </w:pPr>
            <w:r>
              <w:rPr>
                <w:rFonts w:hint="eastAsia"/>
                <w:color w:val="auto"/>
                <w:sz w:val="21"/>
                <w:szCs w:val="21"/>
                <w:highlight w:val="none"/>
                <w:lang w:val="en-US" w:eastAsia="zh-CN"/>
              </w:rPr>
              <w:t>约100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西侧住户</w:t>
            </w:r>
          </w:p>
        </w:tc>
        <w:tc>
          <w:tcPr>
            <w:tcW w:w="288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W</w:t>
            </w:r>
          </w:p>
        </w:tc>
        <w:tc>
          <w:tcPr>
            <w:tcW w:w="1997"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230~560</w:t>
            </w:r>
          </w:p>
        </w:tc>
        <w:tc>
          <w:tcPr>
            <w:tcW w:w="175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18户58人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黎明村</w:t>
            </w:r>
          </w:p>
        </w:tc>
        <w:tc>
          <w:tcPr>
            <w:tcW w:w="288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rPr>
              <w:t>W</w:t>
            </w:r>
          </w:p>
        </w:tc>
        <w:tc>
          <w:tcPr>
            <w:tcW w:w="1997"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rPr>
              <w:t>1</w:t>
            </w:r>
            <w:r>
              <w:rPr>
                <w:rFonts w:hint="eastAsia"/>
                <w:color w:val="auto"/>
                <w:sz w:val="21"/>
                <w:szCs w:val="21"/>
                <w:highlight w:val="none"/>
                <w:lang w:val="en-US" w:eastAsia="zh-CN"/>
              </w:rPr>
              <w:t>554</w:t>
            </w:r>
          </w:p>
        </w:tc>
        <w:tc>
          <w:tcPr>
            <w:tcW w:w="175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约130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rPr>
            </w:pPr>
            <w:r>
              <w:rPr>
                <w:rFonts w:hint="eastAsia" w:ascii="宋体" w:hAnsi="宋体" w:eastAsia="宋体"/>
                <w:color w:val="auto"/>
                <w:sz w:val="21"/>
                <w:szCs w:val="21"/>
                <w:highlight w:val="none"/>
                <w:lang w:val="en-US" w:eastAsia="zh-CN"/>
              </w:rPr>
              <w:t>严家桥村</w:t>
            </w:r>
          </w:p>
        </w:tc>
        <w:tc>
          <w:tcPr>
            <w:tcW w:w="288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N</w:t>
            </w:r>
            <w:r>
              <w:rPr>
                <w:rFonts w:hint="eastAsia"/>
                <w:color w:val="auto"/>
                <w:sz w:val="21"/>
                <w:szCs w:val="21"/>
                <w:highlight w:val="none"/>
              </w:rPr>
              <w:t>W</w:t>
            </w:r>
          </w:p>
        </w:tc>
        <w:tc>
          <w:tcPr>
            <w:tcW w:w="1997"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1661</w:t>
            </w:r>
          </w:p>
        </w:tc>
        <w:tc>
          <w:tcPr>
            <w:tcW w:w="175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highlight w:val="none"/>
                <w:lang w:val="en-US" w:eastAsia="zh-CN"/>
              </w:rPr>
              <w:t>约280</w:t>
            </w:r>
            <w:r>
              <w:rPr>
                <w:rFonts w:hint="eastAsia"/>
                <w:color w:val="auto"/>
                <w:sz w:val="21"/>
                <w:szCs w:val="21"/>
                <w:highlight w:val="none"/>
              </w:rPr>
              <w:t>人</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魏城河</w:t>
            </w:r>
          </w:p>
        </w:tc>
        <w:tc>
          <w:tcPr>
            <w:tcW w:w="288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E</w:t>
            </w:r>
          </w:p>
        </w:tc>
        <w:tc>
          <w:tcPr>
            <w:tcW w:w="1997"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8.1k</w:t>
            </w:r>
            <w:r>
              <w:rPr>
                <w:rFonts w:hint="eastAsia"/>
                <w:color w:val="auto"/>
                <w:sz w:val="21"/>
                <w:szCs w:val="21"/>
              </w:rPr>
              <w:t>m</w:t>
            </w:r>
          </w:p>
        </w:tc>
        <w:tc>
          <w:tcPr>
            <w:tcW w:w="1750" w:type="dxa"/>
            <w:noWrap w:val="0"/>
            <w:vAlign w:val="center"/>
          </w:tcPr>
          <w:p>
            <w:pPr>
              <w:spacing w:line="240" w:lineRule="auto"/>
              <w:ind w:firstLine="0" w:firstLineChars="0"/>
              <w:jc w:val="center"/>
              <w:rPr>
                <w:rFonts w:hint="eastAsia"/>
                <w:color w:val="auto"/>
                <w:sz w:val="21"/>
                <w:szCs w:val="21"/>
              </w:rPr>
            </w:pPr>
            <w:r>
              <w:rPr>
                <w:color w:val="auto"/>
                <w:sz w:val="21"/>
                <w:szCs w:val="21"/>
              </w:rPr>
              <w:t>III类水域</w:t>
            </w:r>
          </w:p>
        </w:tc>
      </w:tr>
      <w:tr>
        <w:tblPrEx>
          <w:tblBorders>
            <w:top w:val="single" w:color="auto"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dxa"/>
            <w:noWrap w:val="0"/>
            <w:vAlign w:val="center"/>
          </w:tcPr>
          <w:p>
            <w:pPr>
              <w:numPr>
                <w:ilvl w:val="0"/>
                <w:numId w:val="23"/>
              </w:numPr>
              <w:spacing w:line="240" w:lineRule="auto"/>
              <w:ind w:left="425" w:leftChars="0" w:hanging="425" w:firstLineChars="0"/>
              <w:jc w:val="center"/>
              <w:rPr>
                <w:rFonts w:hint="eastAsia"/>
                <w:color w:val="auto"/>
                <w:sz w:val="21"/>
                <w:szCs w:val="21"/>
                <w:lang/>
              </w:rPr>
            </w:pPr>
          </w:p>
        </w:tc>
        <w:tc>
          <w:tcPr>
            <w:tcW w:w="1984"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庙儿湾水库</w:t>
            </w:r>
          </w:p>
        </w:tc>
        <w:tc>
          <w:tcPr>
            <w:tcW w:w="2880"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E</w:t>
            </w:r>
          </w:p>
        </w:tc>
        <w:tc>
          <w:tcPr>
            <w:tcW w:w="1997" w:type="dxa"/>
            <w:noWrap w:val="0"/>
            <w:vAlign w:val="center"/>
          </w:tcPr>
          <w:p>
            <w:pPr>
              <w:spacing w:line="240" w:lineRule="auto"/>
              <w:ind w:firstLine="0" w:firstLineChars="0"/>
              <w:jc w:val="center"/>
              <w:rPr>
                <w:rFonts w:hint="eastAsia"/>
                <w:color w:val="auto"/>
                <w:sz w:val="21"/>
                <w:szCs w:val="21"/>
              </w:rPr>
            </w:pPr>
            <w:r>
              <w:rPr>
                <w:rFonts w:hint="eastAsia"/>
                <w:color w:val="auto"/>
                <w:sz w:val="21"/>
                <w:szCs w:val="21"/>
                <w:lang w:val="en-US" w:eastAsia="zh-CN"/>
              </w:rPr>
              <w:t>2.8k</w:t>
            </w:r>
            <w:r>
              <w:rPr>
                <w:rFonts w:hint="eastAsia"/>
                <w:color w:val="auto"/>
                <w:sz w:val="21"/>
                <w:szCs w:val="21"/>
              </w:rPr>
              <w:t>m</w:t>
            </w:r>
          </w:p>
        </w:tc>
        <w:tc>
          <w:tcPr>
            <w:tcW w:w="1750" w:type="dxa"/>
            <w:noWrap w:val="0"/>
            <w:vAlign w:val="center"/>
          </w:tcPr>
          <w:p>
            <w:pPr>
              <w:spacing w:line="240" w:lineRule="auto"/>
              <w:ind w:firstLine="0" w:firstLineChars="0"/>
              <w:jc w:val="center"/>
              <w:rPr>
                <w:rFonts w:hint="eastAsia"/>
                <w:color w:val="auto"/>
                <w:sz w:val="21"/>
                <w:szCs w:val="21"/>
              </w:rPr>
            </w:pPr>
            <w:r>
              <w:rPr>
                <w:color w:val="auto"/>
                <w:sz w:val="21"/>
                <w:szCs w:val="21"/>
              </w:rPr>
              <w:t>III类水域</w:t>
            </w:r>
          </w:p>
        </w:tc>
      </w:tr>
    </w:tbl>
    <w:p>
      <w:pPr>
        <w:pStyle w:val="7"/>
        <w:rPr>
          <w:rFonts w:hint="eastAsia" w:eastAsia="黑体"/>
          <w:color w:val="auto"/>
          <w:sz w:val="32"/>
        </w:rPr>
      </w:pPr>
      <w:bookmarkStart w:id="212" w:name="_Toc18474"/>
      <w:r>
        <w:rPr>
          <w:rFonts w:hint="eastAsia" w:eastAsia="黑体"/>
          <w:color w:val="auto"/>
          <w:sz w:val="32"/>
        </w:rPr>
        <w:t>风险识别</w:t>
      </w:r>
      <w:bookmarkEnd w:id="212"/>
    </w:p>
    <w:p>
      <w:pPr>
        <w:pStyle w:val="8"/>
        <w:tabs>
          <w:tab w:val="clear" w:pos="0"/>
        </w:tabs>
        <w:rPr>
          <w:rFonts w:eastAsia="黑体"/>
          <w:color w:val="auto"/>
          <w:sz w:val="28"/>
          <w:szCs w:val="28"/>
        </w:rPr>
      </w:pPr>
      <w:r>
        <w:rPr>
          <w:rFonts w:hint="eastAsia" w:eastAsia="黑体"/>
          <w:color w:val="auto"/>
          <w:sz w:val="28"/>
          <w:szCs w:val="28"/>
        </w:rPr>
        <w:t>物质风险识别</w:t>
      </w:r>
    </w:p>
    <w:p>
      <w:pPr>
        <w:ind w:firstLine="482"/>
        <w:rPr>
          <w:rFonts w:hint="eastAsia"/>
          <w:b/>
          <w:color w:val="auto"/>
        </w:rPr>
      </w:pPr>
      <w:r>
        <w:rPr>
          <w:rFonts w:hint="eastAsia"/>
          <w:b/>
          <w:color w:val="auto"/>
        </w:rPr>
        <w:t>1、病原菌</w:t>
      </w:r>
    </w:p>
    <w:p>
      <w:pPr>
        <w:ind w:firstLine="480"/>
        <w:rPr>
          <w:rFonts w:hint="eastAsia"/>
          <w:color w:val="auto"/>
        </w:rPr>
      </w:pPr>
      <w:r>
        <w:rPr>
          <w:rFonts w:hint="eastAsia"/>
          <w:color w:val="auto"/>
        </w:rPr>
        <w:t>项目为生猪养殖项目，涉及的物料主要饲料和水等，原料中无可燃、易燃或有毒的物质，但建设单位在猪只的养殖过程中产生的猪粪如未处理得当可能产生诱发传染病，主要有以下危害特性：病猪产生的粪尿和尸体中含有病原菌会产生水污染，引起疾病的传播和流行，造成猪群死亡，并且传染给其他禽畜和人；常见的猪群传染病为口蹄疫、猪流感等。</w:t>
      </w:r>
    </w:p>
    <w:p>
      <w:pPr>
        <w:ind w:firstLine="482"/>
        <w:rPr>
          <w:b/>
          <w:color w:val="auto"/>
        </w:rPr>
      </w:pPr>
      <w:r>
        <w:rPr>
          <w:rFonts w:hint="eastAsia"/>
          <w:b/>
          <w:color w:val="auto"/>
        </w:rPr>
        <w:t>2、沼气、柴油</w:t>
      </w:r>
    </w:p>
    <w:p>
      <w:pPr>
        <w:ind w:firstLine="480"/>
        <w:rPr>
          <w:color w:val="auto"/>
        </w:rPr>
      </w:pPr>
      <w:r>
        <w:rPr>
          <w:rFonts w:hint="eastAsia"/>
          <w:color w:val="auto"/>
        </w:rPr>
        <w:t>根据《建设项目环境风险评价技术导则》（HJ169-2018）附录B中有危险物质的判定，本项目生产过程中涉及的主要危险物质包括：</w:t>
      </w:r>
      <w:r>
        <w:rPr>
          <w:color w:val="auto"/>
        </w:rPr>
        <w:t>柴油</w:t>
      </w:r>
      <w:r>
        <w:rPr>
          <w:rFonts w:hint="eastAsia"/>
          <w:color w:val="auto"/>
        </w:rPr>
        <w:t>、</w:t>
      </w:r>
      <w:r>
        <w:rPr>
          <w:color w:val="auto"/>
        </w:rPr>
        <w:t>沼气（甲烷），其</w:t>
      </w:r>
      <w:r>
        <w:rPr>
          <w:rFonts w:hint="eastAsia"/>
          <w:color w:val="auto"/>
        </w:rPr>
        <w:t>理化性质及毒理性质</w:t>
      </w:r>
      <w:r>
        <w:rPr>
          <w:color w:val="auto"/>
        </w:rPr>
        <w:t>见表 6.2-1</w:t>
      </w:r>
      <w:r>
        <w:rPr>
          <w:rFonts w:hint="eastAsia"/>
          <w:color w:val="auto"/>
        </w:rPr>
        <w:t>~</w:t>
      </w:r>
      <w:r>
        <w:rPr>
          <w:color w:val="auto"/>
        </w:rPr>
        <w:t>6.2-2。</w:t>
      </w:r>
    </w:p>
    <w:p>
      <w:pPr>
        <w:pStyle w:val="8"/>
        <w:tabs>
          <w:tab w:val="clear" w:pos="0"/>
        </w:tabs>
        <w:rPr>
          <w:rFonts w:eastAsia="黑体"/>
          <w:color w:val="auto"/>
          <w:sz w:val="28"/>
          <w:szCs w:val="28"/>
        </w:rPr>
      </w:pPr>
      <w:r>
        <w:rPr>
          <w:rFonts w:hint="eastAsia" w:eastAsia="黑体"/>
          <w:color w:val="auto"/>
          <w:sz w:val="28"/>
          <w:szCs w:val="28"/>
        </w:rPr>
        <w:t>生产系统危险性识别</w:t>
      </w:r>
    </w:p>
    <w:p>
      <w:pPr>
        <w:ind w:firstLine="480"/>
        <w:rPr>
          <w:color w:val="auto"/>
        </w:rPr>
      </w:pPr>
      <w:r>
        <w:rPr>
          <w:rFonts w:hint="eastAsia"/>
          <w:color w:val="auto"/>
        </w:rPr>
        <w:t>本项目生产工艺流程，将整个项目分为</w:t>
      </w:r>
      <w:r>
        <w:rPr>
          <w:rFonts w:hint="eastAsia"/>
          <w:color w:val="auto"/>
          <w:lang w:val="en-US" w:eastAsia="zh-CN"/>
        </w:rPr>
        <w:t>育肥猪</w:t>
      </w:r>
      <w:r>
        <w:rPr>
          <w:rFonts w:hint="eastAsia"/>
          <w:color w:val="auto"/>
        </w:rPr>
        <w:t>饲养单元、贮运系统、公用工程系统、环保设施、辅助设施等</w:t>
      </w:r>
      <w:r>
        <w:rPr>
          <w:color w:val="auto"/>
        </w:rPr>
        <w:t>5</w:t>
      </w:r>
      <w:r>
        <w:rPr>
          <w:rFonts w:hint="eastAsia"/>
          <w:color w:val="auto"/>
        </w:rPr>
        <w:t>大功能单元，并根据各单元涉及的危险物质特性及数量、装置状态、周边环境等确定权重系数，从而确定其危险单元类别，见表 6.</w:t>
      </w:r>
      <w:r>
        <w:rPr>
          <w:color w:val="auto"/>
        </w:rPr>
        <w:t>4</w:t>
      </w:r>
      <w:r>
        <w:rPr>
          <w:rFonts w:hint="eastAsia"/>
          <w:color w:val="auto"/>
        </w:rPr>
        <w:t>-1。</w:t>
      </w:r>
    </w:p>
    <w:p>
      <w:pPr>
        <w:spacing w:line="240" w:lineRule="auto"/>
        <w:ind w:firstLine="0" w:firstLineChars="0"/>
        <w:jc w:val="center"/>
        <w:rPr>
          <w:b/>
          <w:color w:val="auto"/>
          <w:sz w:val="21"/>
          <w:szCs w:val="21"/>
        </w:rPr>
      </w:pPr>
      <w:r>
        <w:rPr>
          <w:rFonts w:hint="eastAsia"/>
          <w:b/>
          <w:color w:val="auto"/>
          <w:sz w:val="21"/>
          <w:szCs w:val="21"/>
        </w:rPr>
        <w:t>表</w:t>
      </w:r>
      <w:r>
        <w:rPr>
          <w:b/>
          <w:color w:val="auto"/>
          <w:sz w:val="21"/>
          <w:szCs w:val="21"/>
        </w:rPr>
        <w:t>6.4</w:t>
      </w:r>
      <w:r>
        <w:rPr>
          <w:rFonts w:hint="eastAsia"/>
          <w:b/>
          <w:color w:val="auto"/>
          <w:sz w:val="21"/>
          <w:szCs w:val="21"/>
        </w:rPr>
        <w:t>-1 项目危险单元识别</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01"/>
        <w:gridCol w:w="3001"/>
        <w:gridCol w:w="3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noWrap w:val="0"/>
            <w:vAlign w:val="center"/>
          </w:tcPr>
          <w:p>
            <w:pPr>
              <w:adjustRightInd w:val="0"/>
              <w:snapToGrid w:val="0"/>
              <w:spacing w:line="240" w:lineRule="auto"/>
              <w:ind w:firstLine="0" w:firstLineChars="0"/>
              <w:jc w:val="center"/>
              <w:rPr>
                <w:rFonts w:hint="eastAsia"/>
                <w:b/>
                <w:color w:val="auto"/>
                <w:sz w:val="21"/>
                <w:szCs w:val="21"/>
                <w:lang/>
              </w:rPr>
            </w:pPr>
            <w:r>
              <w:rPr>
                <w:rFonts w:hint="eastAsia"/>
                <w:b/>
                <w:color w:val="auto"/>
                <w:sz w:val="21"/>
                <w:szCs w:val="21"/>
                <w:lang/>
              </w:rPr>
              <w:t>功能单元名称</w:t>
            </w:r>
          </w:p>
        </w:tc>
        <w:tc>
          <w:tcPr>
            <w:tcW w:w="3001" w:type="dxa"/>
            <w:noWrap w:val="0"/>
            <w:vAlign w:val="center"/>
          </w:tcPr>
          <w:p>
            <w:pPr>
              <w:adjustRightInd w:val="0"/>
              <w:snapToGrid w:val="0"/>
              <w:spacing w:line="240" w:lineRule="auto"/>
              <w:ind w:firstLine="0" w:firstLineChars="0"/>
              <w:jc w:val="center"/>
              <w:rPr>
                <w:rFonts w:hint="eastAsia"/>
                <w:b/>
                <w:color w:val="auto"/>
                <w:sz w:val="21"/>
                <w:szCs w:val="21"/>
                <w:lang/>
              </w:rPr>
            </w:pPr>
            <w:r>
              <w:rPr>
                <w:rFonts w:hint="eastAsia"/>
                <w:b/>
                <w:color w:val="auto"/>
                <w:sz w:val="21"/>
                <w:szCs w:val="21"/>
                <w:lang/>
              </w:rPr>
              <w:t>构筑物名称</w:t>
            </w:r>
          </w:p>
        </w:tc>
        <w:tc>
          <w:tcPr>
            <w:tcW w:w="3001" w:type="dxa"/>
            <w:noWrap w:val="0"/>
            <w:vAlign w:val="center"/>
          </w:tcPr>
          <w:p>
            <w:pPr>
              <w:adjustRightInd w:val="0"/>
              <w:snapToGrid w:val="0"/>
              <w:spacing w:line="240" w:lineRule="auto"/>
              <w:ind w:firstLine="0" w:firstLineChars="0"/>
              <w:jc w:val="center"/>
              <w:rPr>
                <w:rFonts w:hint="eastAsia"/>
                <w:b/>
                <w:color w:val="auto"/>
                <w:sz w:val="21"/>
                <w:szCs w:val="21"/>
                <w:lang/>
              </w:rPr>
            </w:pPr>
            <w:r>
              <w:rPr>
                <w:rFonts w:hint="eastAsia"/>
                <w:b/>
                <w:color w:val="auto"/>
                <w:sz w:val="21"/>
                <w:szCs w:val="21"/>
                <w:lang/>
              </w:rPr>
              <w:t>危险单元识别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饲养单元</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猪舍</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vMerge w:val="restart"/>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贮运系统</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综合仓库</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vMerge w:val="continue"/>
            <w:noWrap w:val="0"/>
            <w:vAlign w:val="center"/>
          </w:tcPr>
          <w:p>
            <w:pPr>
              <w:adjustRightInd w:val="0"/>
              <w:snapToGrid w:val="0"/>
              <w:spacing w:line="240" w:lineRule="auto"/>
              <w:ind w:firstLine="0" w:firstLineChars="0"/>
              <w:jc w:val="center"/>
              <w:rPr>
                <w:rFonts w:hint="eastAsia"/>
                <w:color w:val="auto"/>
                <w:sz w:val="21"/>
                <w:szCs w:val="21"/>
                <w:lang/>
              </w:rPr>
            </w:pP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柴油发电机储油间</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一般危险源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vMerge w:val="restart"/>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环保设施</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储气柜</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主要危险源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vMerge w:val="continue"/>
            <w:noWrap w:val="0"/>
            <w:vAlign w:val="center"/>
          </w:tcPr>
          <w:p>
            <w:pPr>
              <w:adjustRightInd w:val="0"/>
              <w:snapToGrid w:val="0"/>
              <w:spacing w:line="240" w:lineRule="auto"/>
              <w:ind w:firstLine="0" w:firstLineChars="0"/>
              <w:jc w:val="center"/>
              <w:rPr>
                <w:rFonts w:hint="eastAsia"/>
                <w:color w:val="auto"/>
                <w:sz w:val="21"/>
                <w:szCs w:val="21"/>
                <w:lang/>
              </w:rPr>
            </w:pP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黑膜沼气池</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主要危险源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公用工程</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辅助设施</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c>
          <w:tcPr>
            <w:tcW w:w="3001" w:type="dxa"/>
            <w:noWrap w:val="0"/>
            <w:vAlign w:val="center"/>
          </w:tcPr>
          <w:p>
            <w:pPr>
              <w:adjustRightInd w:val="0"/>
              <w:snapToGrid w:val="0"/>
              <w:spacing w:line="240" w:lineRule="auto"/>
              <w:ind w:firstLine="0" w:firstLineChars="0"/>
              <w:jc w:val="center"/>
              <w:rPr>
                <w:rFonts w:hint="eastAsia"/>
                <w:color w:val="auto"/>
                <w:sz w:val="21"/>
                <w:szCs w:val="21"/>
                <w:lang/>
              </w:rPr>
            </w:pPr>
            <w:r>
              <w:rPr>
                <w:rFonts w:hint="eastAsia"/>
                <w:color w:val="auto"/>
                <w:sz w:val="21"/>
                <w:szCs w:val="21"/>
                <w:lang/>
              </w:rPr>
              <w:t>/</w:t>
            </w:r>
          </w:p>
        </w:tc>
      </w:tr>
    </w:tbl>
    <w:p>
      <w:pPr>
        <w:spacing w:before="120" w:beforeLines="50"/>
        <w:ind w:firstLine="480"/>
        <w:rPr>
          <w:rFonts w:hint="eastAsia"/>
          <w:color w:val="auto"/>
        </w:rPr>
      </w:pPr>
      <w:r>
        <w:rPr>
          <w:rFonts w:hint="eastAsia"/>
          <w:color w:val="auto"/>
        </w:rPr>
        <w:t>结合工程分析内容可知，本项目的环境风险事件主要为：</w:t>
      </w:r>
    </w:p>
    <w:p>
      <w:pPr>
        <w:ind w:firstLine="482"/>
        <w:rPr>
          <w:rFonts w:hint="eastAsia"/>
          <w:b/>
          <w:color w:val="auto"/>
        </w:rPr>
      </w:pPr>
      <w:r>
        <w:rPr>
          <w:rFonts w:hint="eastAsia"/>
          <w:b/>
          <w:color w:val="auto"/>
        </w:rPr>
        <w:t>1</w:t>
      </w:r>
      <w:r>
        <w:rPr>
          <w:b/>
          <w:color w:val="auto"/>
        </w:rPr>
        <w:t>、</w:t>
      </w:r>
      <w:r>
        <w:rPr>
          <w:rFonts w:hint="eastAsia"/>
          <w:b/>
          <w:color w:val="auto"/>
        </w:rPr>
        <w:t>柴油事故泄漏、燃烧</w:t>
      </w:r>
    </w:p>
    <w:p>
      <w:pPr>
        <w:ind w:firstLine="480"/>
        <w:rPr>
          <w:color w:val="auto"/>
        </w:rPr>
      </w:pPr>
      <w:r>
        <w:rPr>
          <w:rFonts w:hint="eastAsia"/>
          <w:color w:val="auto"/>
        </w:rPr>
        <w:t>项目柴油发电机（包括柴油发电机房储油桶）主要风险事故类型为泄漏事故，柴油泄漏引起的下渗易造成储油间、综合仓库及周边地表、地下水污染。</w:t>
      </w:r>
    </w:p>
    <w:p>
      <w:pPr>
        <w:ind w:firstLine="480"/>
        <w:rPr>
          <w:rFonts w:hint="eastAsia"/>
          <w:color w:val="auto"/>
        </w:rPr>
      </w:pPr>
      <w:r>
        <w:rPr>
          <w:rFonts w:hint="eastAsia"/>
          <w:color w:val="auto"/>
        </w:rPr>
        <w:t>项目柴油发电机（包括柴油发电机房储油桶）泄漏事故发生后，若遇明火、高热或与氧化剂接触，有引起燃烧爆炸的危险。柴油火灾会伴生二氧化硫、一氧化碳等毒性气体，产生次生大气污染事故。</w:t>
      </w:r>
    </w:p>
    <w:p>
      <w:pPr>
        <w:ind w:firstLine="482"/>
        <w:rPr>
          <w:rFonts w:hint="eastAsia"/>
          <w:b/>
          <w:color w:val="auto"/>
        </w:rPr>
      </w:pPr>
      <w:r>
        <w:rPr>
          <w:b/>
          <w:color w:val="auto"/>
        </w:rPr>
        <w:t>2</w:t>
      </w:r>
      <w:r>
        <w:rPr>
          <w:rFonts w:hint="eastAsia"/>
          <w:b/>
          <w:color w:val="auto"/>
        </w:rPr>
        <w:t>、沼气泄漏、燃烧、爆炸</w:t>
      </w:r>
    </w:p>
    <w:p>
      <w:pPr>
        <w:ind w:firstLine="480"/>
        <w:rPr>
          <w:rFonts w:hint="eastAsia"/>
          <w:color w:val="auto"/>
        </w:rPr>
      </w:pPr>
      <w:r>
        <w:rPr>
          <w:rFonts w:hint="eastAsia"/>
          <w:color w:val="auto"/>
        </w:rPr>
        <w:t>（1）泄漏中毒事故</w:t>
      </w:r>
    </w:p>
    <w:p>
      <w:pPr>
        <w:ind w:firstLine="480"/>
        <w:rPr>
          <w:rFonts w:hint="eastAsia"/>
          <w:color w:val="auto"/>
        </w:rPr>
      </w:pPr>
      <w:r>
        <w:rPr>
          <w:rFonts w:hint="eastAsia"/>
          <w:color w:val="auto"/>
        </w:rPr>
        <w:t>在实际生产中，由于沼气为无色无臭气体，发生泄漏事故时不易发觉，发生泄漏事故时，若周围环境的温度达不到爆炸或燃烧条件，则有可能发生中毒事故。当空气中达25%</w:t>
      </w:r>
      <w:r>
        <w:rPr>
          <w:color w:val="auto"/>
        </w:rPr>
        <w:t>~</w:t>
      </w:r>
      <w:r>
        <w:rPr>
          <w:rFonts w:hint="eastAsia"/>
          <w:color w:val="auto"/>
        </w:rPr>
        <w:t>30%时，可引起头痛、头晕、乏力、注意力不集中、呼吸和心跳加速、共济失调。若不及时脱离，可致窒息死亡。</w:t>
      </w:r>
    </w:p>
    <w:p>
      <w:pPr>
        <w:ind w:firstLine="480"/>
        <w:rPr>
          <w:rFonts w:hint="eastAsia"/>
          <w:color w:val="auto"/>
        </w:rPr>
      </w:pPr>
      <w:r>
        <w:rPr>
          <w:rFonts w:hint="eastAsia"/>
          <w:color w:val="auto"/>
        </w:rPr>
        <w:t>（2）火灾事故</w:t>
      </w:r>
    </w:p>
    <w:p>
      <w:pPr>
        <w:ind w:firstLine="480"/>
        <w:rPr>
          <w:color w:val="auto"/>
        </w:rPr>
      </w:pPr>
      <w:r>
        <w:rPr>
          <w:rFonts w:hint="eastAsia"/>
          <w:color w:val="auto"/>
        </w:rPr>
        <w:t>易燃、易爆的气体泄漏后遇到引火源就会被点燃而着火燃烧，燃烧方式有池火、喷射火、火球和突发火4种。根据类比调查，本项目发生火灾事故时，其主要燃烧方式为喷射火，喷射火通过辐射热的方式对外界发生影响，处于气体燃烧范围内的人员会受到不同程度的伤亡，建筑物、各种易燃、可燃物品也有可能被引燃。发生泄漏后遇到明火的情况下发生火灾、爆炸后引发的伴生/次生污染物排放的潜在环境风险。</w:t>
      </w:r>
    </w:p>
    <w:p>
      <w:pPr>
        <w:ind w:firstLine="480"/>
        <w:rPr>
          <w:rFonts w:hint="eastAsia"/>
          <w:color w:val="auto"/>
        </w:rPr>
      </w:pPr>
      <w:r>
        <w:rPr>
          <w:rFonts w:hint="eastAsia"/>
          <w:color w:val="auto"/>
        </w:rPr>
        <w:t>（3）爆炸事故</w:t>
      </w:r>
    </w:p>
    <w:p>
      <w:pPr>
        <w:ind w:firstLine="480"/>
        <w:rPr>
          <w:rFonts w:hint="eastAsia"/>
          <w:color w:val="auto"/>
        </w:rPr>
      </w:pPr>
      <w:r>
        <w:rPr>
          <w:rFonts w:hint="eastAsia"/>
          <w:color w:val="auto"/>
        </w:rPr>
        <w:t>爆炸是物质的一种非常急剧的物理、化学变化，也是大量能量在短时间内迅速释放或急剧转化成机械功的现象。它通常借助于气体的膨胀来实现。从常见的爆炸事故来看，有以下几种化学爆炸类型：①蒸气云团的可燃混合气体遇火源突然燃烧，是在无限空间中的气体爆炸；②受限空间内可燃混合气体的爆炸；③化学反应失控或工艺异常造成压力容器爆炸；④不稳定的固体或液体爆炸。</w:t>
      </w:r>
    </w:p>
    <w:p>
      <w:pPr>
        <w:ind w:firstLine="480"/>
        <w:rPr>
          <w:color w:val="auto"/>
        </w:rPr>
      </w:pPr>
      <w:r>
        <w:rPr>
          <w:color w:val="auto"/>
        </w:rPr>
        <w:t>资料显示，沼气爆炸必须具备三个条件：一定的甲烷浓度，一定的引火温度和足够的氧浓度，三者缺一即不可能发生爆炸。</w:t>
      </w:r>
    </w:p>
    <w:p>
      <w:pPr>
        <w:ind w:firstLine="480"/>
        <w:rPr>
          <w:color w:val="auto"/>
        </w:rPr>
      </w:pPr>
      <w:r>
        <w:rPr>
          <w:color w:val="auto"/>
        </w:rPr>
        <w:t>A</w:t>
      </w:r>
      <w:r>
        <w:rPr>
          <w:rFonts w:hint="eastAsia"/>
          <w:color w:val="auto"/>
        </w:rPr>
        <w:t>、</w:t>
      </w:r>
      <w:r>
        <w:rPr>
          <w:color w:val="auto"/>
        </w:rPr>
        <w:t>甲烷浓度</w:t>
      </w:r>
    </w:p>
    <w:p>
      <w:pPr>
        <w:ind w:firstLine="480"/>
        <w:rPr>
          <w:color w:val="auto"/>
        </w:rPr>
      </w:pPr>
      <w:r>
        <w:rPr>
          <w:color w:val="auto"/>
        </w:rPr>
        <w:t>在新鲜空气中甲烷的爆炸极限一般为5~15%，5%称为爆炸下限，15%称为爆炸上限，当甲烷浓度低于5%时，遇火不爆炸，但能在火焰外围形成燃烧层。浓度高于15%时，在混合气体内遇有火源，不爆炸也不燃烧。甲烷的爆炸极限并不是固定不变的，它受许多因素的影响。</w:t>
      </w:r>
    </w:p>
    <w:p>
      <w:pPr>
        <w:ind w:firstLine="480"/>
        <w:rPr>
          <w:color w:val="auto"/>
        </w:rPr>
      </w:pPr>
      <w:r>
        <w:rPr>
          <w:color w:val="auto"/>
        </w:rPr>
        <w:t>沼气混合气体中，混入惰性气体，可能降低沼气爆炸的危险性，增加1%的CO</w:t>
      </w:r>
      <w:r>
        <w:rPr>
          <w:color w:val="auto"/>
          <w:vertAlign w:val="subscript"/>
        </w:rPr>
        <w:t>2</w:t>
      </w:r>
      <w:r>
        <w:rPr>
          <w:color w:val="auto"/>
        </w:rPr>
        <w:t>时，甲烷的爆炸下限提高0.033%，上限降低0.26%；当达到22.8%时，即失去爆炸性，该项目产生的沼气，CO</w:t>
      </w:r>
      <w:r>
        <w:rPr>
          <w:color w:val="auto"/>
          <w:vertAlign w:val="subscript"/>
        </w:rPr>
        <w:t>2</w:t>
      </w:r>
      <w:r>
        <w:rPr>
          <w:color w:val="auto"/>
        </w:rPr>
        <w:t>含量可高达25%，可使甲烷的爆炸极限范围大大缩小。</w:t>
      </w:r>
    </w:p>
    <w:p>
      <w:pPr>
        <w:ind w:firstLine="480"/>
        <w:rPr>
          <w:color w:val="auto"/>
        </w:rPr>
      </w:pPr>
      <w:r>
        <w:rPr>
          <w:color w:val="auto"/>
        </w:rPr>
        <w:t>B</w:t>
      </w:r>
      <w:r>
        <w:rPr>
          <w:rFonts w:hint="eastAsia"/>
          <w:color w:val="auto"/>
        </w:rPr>
        <w:t>、</w:t>
      </w:r>
      <w:r>
        <w:rPr>
          <w:color w:val="auto"/>
        </w:rPr>
        <w:t>引火温度</w:t>
      </w:r>
    </w:p>
    <w:p>
      <w:pPr>
        <w:ind w:firstLine="480"/>
        <w:rPr>
          <w:color w:val="auto"/>
        </w:rPr>
      </w:pPr>
      <w:r>
        <w:rPr>
          <w:color w:val="auto"/>
        </w:rPr>
        <w:t>沼气爆炸的第二个条件是高温火源的存在。点燃沼气所需要的最低温度叫引火温度。沼气的引火温度一般在650~750℃，明火、电气火花、吸烟，甚至撞击或磨擦产生的火花等，都足以引燃沼气。因此，养殖场尤其是沼气工程附近应严禁烟火。</w:t>
      </w:r>
    </w:p>
    <w:p>
      <w:pPr>
        <w:ind w:firstLine="480"/>
        <w:rPr>
          <w:color w:val="auto"/>
        </w:rPr>
      </w:pPr>
      <w:r>
        <w:rPr>
          <w:color w:val="auto"/>
        </w:rPr>
        <w:t>C、氧浓度</w:t>
      </w:r>
    </w:p>
    <w:p>
      <w:pPr>
        <w:ind w:firstLine="480"/>
        <w:rPr>
          <w:color w:val="auto"/>
        </w:rPr>
      </w:pPr>
      <w:r>
        <w:rPr>
          <w:color w:val="auto"/>
        </w:rPr>
        <w:t>甲烷的爆炸极限与氧浓度有密切关系，甲烷的爆炸极限将随着混合气体中氧浓度的降低而缩小，当氧浓度降低时，甲烷的爆炸下限缓慢增高，上限则迅速下降。氧浓度降低到12%时，沼气混合气体即失去爆炸性，遇火也不爆炸。</w:t>
      </w:r>
    </w:p>
    <w:p>
      <w:pPr>
        <w:ind w:firstLine="480"/>
        <w:rPr>
          <w:color w:val="auto"/>
        </w:rPr>
      </w:pPr>
      <w:r>
        <w:rPr>
          <w:color w:val="auto"/>
        </w:rPr>
        <w:t>根据本项目的实际情况，其爆炸类型主要是受限空间内可燃混合气体的爆炸。发生爆炸事故时，主要是通过冲击波超压的形式对周围环境产生瞬间的强烈冲击，可以产生较大的破坏作用。同时，</w:t>
      </w:r>
      <w:r>
        <w:rPr>
          <w:rFonts w:hint="eastAsia"/>
          <w:color w:val="auto"/>
        </w:rPr>
        <w:t>爆炸后引发的伴生/次生污染物排放的潜在环境风险。</w:t>
      </w:r>
    </w:p>
    <w:p>
      <w:pPr>
        <w:ind w:firstLine="482"/>
        <w:rPr>
          <w:rFonts w:hint="eastAsia"/>
          <w:b/>
          <w:color w:val="auto"/>
        </w:rPr>
      </w:pPr>
      <w:r>
        <w:rPr>
          <w:rFonts w:hint="eastAsia"/>
          <w:b/>
          <w:color w:val="auto"/>
        </w:rPr>
        <w:t>3、粪污事故泄漏</w:t>
      </w:r>
    </w:p>
    <w:p>
      <w:pPr>
        <w:ind w:firstLine="480"/>
        <w:rPr>
          <w:rFonts w:hint="eastAsia"/>
          <w:color w:val="auto"/>
        </w:rPr>
      </w:pPr>
      <w:r>
        <w:rPr>
          <w:rFonts w:hint="eastAsia"/>
          <w:color w:val="auto"/>
        </w:rPr>
        <w:t>本项目非正常情况主要是指项目污水管线及污水处理系统某个构筑物或设备泄漏、不能正常运行、操作人员失误以及暴雨等极端天气等都可能引起废水未经处理排放到周边环境，造成土壤及地下水体污染。</w:t>
      </w:r>
    </w:p>
    <w:p>
      <w:pPr>
        <w:ind w:firstLine="482"/>
        <w:rPr>
          <w:rFonts w:hint="eastAsia"/>
          <w:b/>
          <w:color w:val="auto"/>
        </w:rPr>
      </w:pPr>
      <w:r>
        <w:rPr>
          <w:b/>
          <w:color w:val="auto"/>
        </w:rPr>
        <w:t>4、</w:t>
      </w:r>
      <w:r>
        <w:rPr>
          <w:rFonts w:hint="eastAsia"/>
          <w:b/>
          <w:color w:val="auto"/>
        </w:rPr>
        <w:t>暴雨灾害事故</w:t>
      </w:r>
    </w:p>
    <w:p>
      <w:pPr>
        <w:ind w:firstLine="480"/>
        <w:rPr>
          <w:color w:val="auto"/>
        </w:rPr>
      </w:pPr>
      <w:r>
        <w:rPr>
          <w:rFonts w:hint="eastAsia"/>
          <w:color w:val="auto"/>
        </w:rPr>
        <w:t>如遇暴雨天气，雨量集中，且较大，极易对养殖场造成冲刷，造成污染物外泄，从而对下游水体造成不利影响。</w:t>
      </w:r>
    </w:p>
    <w:p>
      <w:pPr>
        <w:ind w:firstLine="482"/>
        <w:rPr>
          <w:b/>
          <w:color w:val="auto"/>
        </w:rPr>
      </w:pPr>
      <w:r>
        <w:rPr>
          <w:rFonts w:hint="eastAsia"/>
          <w:b/>
          <w:color w:val="auto"/>
        </w:rPr>
        <w:t>5、卫生防疫事故</w:t>
      </w:r>
    </w:p>
    <w:p>
      <w:pPr>
        <w:ind w:firstLine="480"/>
        <w:rPr>
          <w:bCs/>
          <w:color w:val="auto"/>
        </w:rPr>
      </w:pPr>
      <w:r>
        <w:rPr>
          <w:rFonts w:hint="eastAsia"/>
          <w:bCs/>
          <w:color w:val="auto"/>
        </w:rPr>
        <w:t>项目运行后可能发生</w:t>
      </w:r>
      <w:r>
        <w:rPr>
          <w:rFonts w:hint="eastAsia"/>
          <w:bCs/>
          <w:color w:val="auto"/>
          <w:lang w:val="en-US" w:eastAsia="zh-CN"/>
        </w:rPr>
        <w:t>生</w:t>
      </w:r>
      <w:r>
        <w:rPr>
          <w:rFonts w:hint="eastAsia"/>
          <w:bCs/>
          <w:color w:val="auto"/>
        </w:rPr>
        <w:t>猪疫情，若在疫情早期发现，并处理及时、妥当，将仅造成建设单位自身的经济损失；但若疫情未及时发现或处理不当，将可能传染给周围生物，进而传染给人群，致使当地造成经济损失，甚至人员伤亡等。养猪场如管理不善，会诱发常见疾病，如口蹄疫、炭疽等，而且传播很快，甚至感染到人群。</w:t>
      </w:r>
    </w:p>
    <w:p>
      <w:pPr>
        <w:pStyle w:val="7"/>
        <w:rPr>
          <w:rFonts w:eastAsia="黑体"/>
          <w:color w:val="auto"/>
          <w:sz w:val="32"/>
        </w:rPr>
      </w:pPr>
      <w:bookmarkStart w:id="213" w:name="_Toc12300"/>
      <w:r>
        <w:rPr>
          <w:rFonts w:hint="eastAsia" w:eastAsia="黑体"/>
          <w:color w:val="auto"/>
          <w:sz w:val="32"/>
        </w:rPr>
        <w:t>环境风险分析</w:t>
      </w:r>
      <w:bookmarkEnd w:id="213"/>
    </w:p>
    <w:p>
      <w:pPr>
        <w:ind w:firstLine="480"/>
        <w:rPr>
          <w:color w:val="auto"/>
        </w:rPr>
      </w:pPr>
      <w:r>
        <w:rPr>
          <w:rFonts w:hint="eastAsia"/>
          <w:color w:val="auto"/>
        </w:rPr>
        <w:t>本项目没有重大危险源，根据</w:t>
      </w:r>
      <w:r>
        <w:rPr>
          <w:color w:val="auto"/>
        </w:rPr>
        <w:t>《建设项目环境风险评价技术导则》（HJ169-2018）</w:t>
      </w:r>
      <w:r>
        <w:rPr>
          <w:rFonts w:hint="eastAsia"/>
          <w:color w:val="auto"/>
        </w:rPr>
        <w:t>，环境风险评价等级为简单分析，本次评价针对项目可能存在的环境风险事故影响进行简要分析。</w:t>
      </w:r>
    </w:p>
    <w:p>
      <w:pPr>
        <w:ind w:firstLine="482"/>
        <w:rPr>
          <w:rFonts w:hint="eastAsia"/>
          <w:b/>
          <w:color w:val="auto"/>
        </w:rPr>
      </w:pPr>
      <w:r>
        <w:rPr>
          <w:rFonts w:hint="eastAsia"/>
          <w:b/>
          <w:color w:val="auto"/>
        </w:rPr>
        <w:t>1、柴油运输及储运风险分析</w:t>
      </w:r>
    </w:p>
    <w:p>
      <w:pPr>
        <w:ind w:firstLine="480"/>
        <w:rPr>
          <w:color w:val="auto"/>
        </w:rPr>
      </w:pPr>
      <w:r>
        <w:rPr>
          <w:rFonts w:hint="eastAsia"/>
          <w:color w:val="auto"/>
        </w:rPr>
        <w:t>本项目需外购柴油，在运输途中可能因翻车、撞车造成柴油泄漏，以及造成对周围设施的污染事故的发生。</w:t>
      </w:r>
    </w:p>
    <w:p>
      <w:pPr>
        <w:ind w:firstLine="480"/>
        <w:rPr>
          <w:color w:val="auto"/>
        </w:rPr>
      </w:pPr>
      <w:r>
        <w:rPr>
          <w:rFonts w:hint="eastAsia"/>
          <w:color w:val="auto"/>
        </w:rPr>
        <w:t>本项目设有柴油发电机房，项目柴油发电机（包括柴油发电机房储油桶）一旦因不可预见因素导致油桶破裂发生泄漏事故容易造成地下水污染。地下水遭到成品油的污染后将使小范围地下水产生严重异味，并具有较强的致畸致癌性。此外，成品油渗漏必然穿过较厚的土壤层，使土壤层中吸附大量的燃料油，土壤层吸附的燃料油不仅会造成植物生物的死亡，而且土壤层吸附的燃料油还会随着地表水的下渗对土壤层的冲刷作用补充到地下水，即便污染源得到及时控制，被污染的地下水和土壤要完全恢复也需要较长时间。若遇明火、高热或与氧化剂接触，有引起燃烧爆炸的危险。柴油火灾会伴生二氧化硫、一氧化碳等毒性气体，产生次生大气污染事故。但本项目柴油储存量较小，同时储油桶周边设置围堰，地面采取防渗措施，</w:t>
      </w:r>
      <w:bookmarkStart w:id="214" w:name="_Hlk51060887"/>
      <w:r>
        <w:rPr>
          <w:rFonts w:hint="eastAsia"/>
          <w:color w:val="auto"/>
        </w:rPr>
        <w:t>严禁烟火，配置消防系统，能够将柴油发生泄漏后对周围环境的污染风险降至最低。</w:t>
      </w:r>
      <w:bookmarkEnd w:id="214"/>
    </w:p>
    <w:p>
      <w:pPr>
        <w:ind w:firstLine="482"/>
        <w:rPr>
          <w:rFonts w:hint="eastAsia"/>
          <w:b/>
          <w:color w:val="auto"/>
        </w:rPr>
      </w:pPr>
      <w:r>
        <w:rPr>
          <w:rFonts w:hint="eastAsia"/>
          <w:b/>
          <w:color w:val="auto"/>
        </w:rPr>
        <w:t>2、沼气泄漏事故影响分析</w:t>
      </w:r>
    </w:p>
    <w:p>
      <w:pPr>
        <w:ind w:firstLine="460"/>
        <w:rPr>
          <w:color w:val="auto"/>
        </w:rPr>
      </w:pPr>
      <w:r>
        <w:rPr>
          <w:rFonts w:hint="eastAsia"/>
          <w:color w:val="auto"/>
          <w:sz w:val="23"/>
          <w:szCs w:val="23"/>
        </w:rPr>
        <w:t>（1）</w:t>
      </w:r>
      <w:r>
        <w:rPr>
          <w:rFonts w:hint="eastAsia" w:ascii="宋体" w:cs="宋体"/>
          <w:color w:val="auto"/>
          <w:sz w:val="23"/>
          <w:szCs w:val="23"/>
        </w:rPr>
        <w:t>沼气泄漏环境风险分析</w:t>
      </w:r>
    </w:p>
    <w:p>
      <w:pPr>
        <w:ind w:firstLine="480"/>
        <w:rPr>
          <w:color w:val="auto"/>
        </w:rPr>
      </w:pPr>
      <w:r>
        <w:rPr>
          <w:rFonts w:hint="eastAsia"/>
          <w:color w:val="auto"/>
        </w:rPr>
        <w:t>沼气发生泄漏后有两种情况发生：一是泄漏后不立即燃烧，也不推迟燃烧，形成环境污染。二是泄漏后燃烧，形成次生污染。</w:t>
      </w:r>
    </w:p>
    <w:p>
      <w:pPr>
        <w:ind w:firstLine="480"/>
        <w:rPr>
          <w:rFonts w:hint="eastAsia"/>
          <w:color w:val="auto"/>
        </w:rPr>
      </w:pPr>
      <w:r>
        <w:rPr>
          <w:rFonts w:hint="eastAsia"/>
          <w:color w:val="auto"/>
        </w:rPr>
        <w:t>沼气主要成分为甲烷及硫化氢、二氧化碳、一氧化碳等。不属于毒性气体，但长期接触或浓度过高，导致空气含氧量降低也会引起中毒。当空气中甲烷含量增加到 10％时，就会使人出现虚弱眩晕的中毒现象，甚至会失去知觉，如抢救不及时会导致死亡。拟建项目产生沼气甲烷成分50%~80%，沼气暂存于沼气池中，若沼气出现大量泄漏沼气泄漏探测器则会报警，及时被工作人员发现而采取防制措施及时制止，少量泄漏会立刻与空气混合，与空气混合后空气中甲烷浓度较低，出现高浓度的可能性较小，对环境及人体影响较小。</w:t>
      </w:r>
    </w:p>
    <w:p>
      <w:pPr>
        <w:ind w:firstLine="480"/>
        <w:rPr>
          <w:rFonts w:hint="eastAsia"/>
          <w:color w:val="auto"/>
        </w:rPr>
      </w:pPr>
      <w:r>
        <w:rPr>
          <w:rFonts w:hint="eastAsia"/>
          <w:color w:val="auto"/>
        </w:rPr>
        <w:t xml:space="preserve">为使环境风险降到最低限度，建设单位必须加强管理，制定完备、有效的风险防范措施，尽可能降低本项目环境风险事故发生的概率，减少事故的损失和危害，事故一旦发生，应及时抢救处理，不能拖延事故持续时间。 </w:t>
      </w:r>
    </w:p>
    <w:p>
      <w:pPr>
        <w:ind w:firstLine="480"/>
        <w:rPr>
          <w:rFonts w:hint="eastAsia"/>
          <w:color w:val="auto"/>
        </w:rPr>
      </w:pPr>
      <w:r>
        <w:rPr>
          <w:rFonts w:hint="eastAsia"/>
          <w:color w:val="auto"/>
        </w:rPr>
        <w:t xml:space="preserve">（2）火灾、爆炸后产生的二次污染 </w:t>
      </w:r>
    </w:p>
    <w:p>
      <w:pPr>
        <w:ind w:firstLine="480"/>
        <w:rPr>
          <w:rFonts w:hint="eastAsia"/>
          <w:color w:val="auto"/>
        </w:rPr>
      </w:pPr>
      <w:r>
        <w:rPr>
          <w:rFonts w:hint="eastAsia"/>
          <w:color w:val="auto"/>
        </w:rPr>
        <w:t xml:space="preserve">本项目沼气池发生火灾、爆炸后，主要表现散发出的热辐射，如果热辐射非常高可能引起其他易燃物质起火。此外热辐射也会使有机体燃烧，火灾引起的大气二次污染物主要为二氧化碳、一氧化碳、烟尘、二氧化硫、氮氧化物等，浓度在数十至数百毫克每立方米的范围之间，对于下风向的环境空气质量在短时间内有较大影响，长期影响甚微。 </w:t>
      </w:r>
    </w:p>
    <w:p>
      <w:pPr>
        <w:ind w:firstLine="480"/>
        <w:rPr>
          <w:color w:val="auto"/>
        </w:rPr>
      </w:pPr>
      <w:r>
        <w:rPr>
          <w:rFonts w:hint="eastAsia"/>
          <w:color w:val="auto"/>
        </w:rPr>
        <w:t>因此，一旦发生火灾，释放出大量的能量，对任何设备都会造成巨大的损害，建设单位必须加强对火灾、爆炸等事故的预防，加强事故发生后的应急处理，制定行之有效的措施，最大程度降低事故发生概率，一旦发生事故，要使事故的危害降低到最低限度。</w:t>
      </w:r>
    </w:p>
    <w:p>
      <w:pPr>
        <w:ind w:firstLine="480"/>
        <w:rPr>
          <w:rFonts w:hint="eastAsia"/>
          <w:b/>
          <w:color w:val="auto"/>
        </w:rPr>
      </w:pPr>
      <w:r>
        <w:rPr>
          <w:rFonts w:hint="eastAsia"/>
          <w:color w:val="auto"/>
        </w:rPr>
        <w:t>3、</w:t>
      </w:r>
      <w:r>
        <w:rPr>
          <w:rFonts w:hint="eastAsia"/>
          <w:b/>
          <w:color w:val="auto"/>
        </w:rPr>
        <w:t>粪污事故泄漏影响分析</w:t>
      </w:r>
    </w:p>
    <w:p>
      <w:pPr>
        <w:ind w:firstLine="480"/>
        <w:rPr>
          <w:rFonts w:hint="eastAsia"/>
          <w:color w:val="auto"/>
        </w:rPr>
      </w:pPr>
      <w:r>
        <w:rPr>
          <w:rFonts w:hint="eastAsia"/>
          <w:color w:val="auto"/>
        </w:rPr>
        <w:t>项目养殖废水为高浓度有机，SS、COD、BOD</w:t>
      </w:r>
      <w:r>
        <w:rPr>
          <w:color w:val="auto"/>
          <w:vertAlign w:val="subscript"/>
        </w:rPr>
        <w:t>5</w:t>
      </w:r>
      <w:r>
        <w:rPr>
          <w:rFonts w:hint="eastAsia"/>
          <w:color w:val="auto"/>
        </w:rPr>
        <w:t>浓度高、尿粪比重。若沼气池出现现损坏或，废水事故外排将造成污染影响。废水会对土壤、地表水、大气环境质量造成直接影响，进而对地下水可能产生污染性影响。</w:t>
      </w:r>
    </w:p>
    <w:p>
      <w:pPr>
        <w:ind w:firstLine="480"/>
        <w:rPr>
          <w:rFonts w:hint="eastAsia"/>
          <w:color w:val="auto"/>
        </w:rPr>
      </w:pPr>
      <w:r>
        <w:rPr>
          <w:rFonts w:hint="eastAsia"/>
          <w:color w:val="auto"/>
        </w:rPr>
        <w:t>（1）土壤</w:t>
      </w:r>
    </w:p>
    <w:p>
      <w:pPr>
        <w:ind w:firstLine="480"/>
        <w:rPr>
          <w:rFonts w:hint="eastAsia"/>
          <w:color w:val="auto"/>
        </w:rPr>
      </w:pPr>
      <w:r>
        <w:rPr>
          <w:rFonts w:hint="eastAsia"/>
          <w:color w:val="auto"/>
        </w:rPr>
        <w:t>当废水排放超过土壤的自净能力，便会出现降解不完全和厌氧腐解，产生恶臭物质和亚硝酸盐等有害物质，使土壤环境质量严重恶化。同时，土壤对病原微生物的自净能力下降，容易造成生物污染和疫病传播。</w:t>
      </w:r>
    </w:p>
    <w:p>
      <w:pPr>
        <w:ind w:firstLine="480"/>
        <w:rPr>
          <w:rFonts w:hint="eastAsia"/>
          <w:color w:val="auto"/>
        </w:rPr>
      </w:pPr>
      <w:r>
        <w:rPr>
          <w:rFonts w:hint="eastAsia"/>
          <w:color w:val="auto"/>
        </w:rPr>
        <w:t>（2）大气</w:t>
      </w:r>
    </w:p>
    <w:p>
      <w:pPr>
        <w:ind w:firstLine="480"/>
        <w:rPr>
          <w:color w:val="auto"/>
        </w:rPr>
      </w:pPr>
      <w:r>
        <w:rPr>
          <w:rFonts w:hint="eastAsia"/>
          <w:color w:val="auto"/>
        </w:rPr>
        <w:t>废水散发高浓度的恶臭气体，不仅降低空气质量、妨碍人畜健康生存，持续时间过长可能引起呼吸系统的疾病。此外，废水中含有大量的微生物扩散到空气中，可能引发口蹄疫和大肠埃希菌、炭疽、布氏杆菌、真菌胞子等疫病传播，危害人和动物健康。</w:t>
      </w:r>
    </w:p>
    <w:p>
      <w:pPr>
        <w:ind w:firstLine="480"/>
        <w:rPr>
          <w:rFonts w:hint="eastAsia"/>
          <w:color w:val="auto"/>
        </w:rPr>
      </w:pPr>
      <w:r>
        <w:rPr>
          <w:rFonts w:hint="eastAsia"/>
          <w:color w:val="auto"/>
        </w:rPr>
        <w:t>（3）地表水</w:t>
      </w:r>
    </w:p>
    <w:p>
      <w:pPr>
        <w:ind w:firstLine="480"/>
        <w:rPr>
          <w:color w:val="auto"/>
        </w:rPr>
      </w:pPr>
      <w:r>
        <w:rPr>
          <w:rFonts w:hint="eastAsia"/>
          <w:color w:val="auto"/>
        </w:rPr>
        <w:t>废水进入自然水体后，使水中固体悬浮物（SS）、有机物和微生物含量升高，水质变坏。废水中含有大量的病原微生物将通过水体或水生动植物扩散传播，危害人畜健康。此外，有机物生物降解消耗水体溶解氧，使水体变黑发臭，水生生物死亡，发生水体“富营养化”，这种水体将不可能再得到恢复。</w:t>
      </w:r>
    </w:p>
    <w:p>
      <w:pPr>
        <w:ind w:firstLine="480"/>
        <w:rPr>
          <w:rFonts w:hint="eastAsia"/>
          <w:color w:val="auto"/>
        </w:rPr>
      </w:pPr>
      <w:r>
        <w:rPr>
          <w:rFonts w:hint="eastAsia"/>
          <w:color w:val="auto"/>
        </w:rPr>
        <w:t>（4）地下水</w:t>
      </w:r>
    </w:p>
    <w:p>
      <w:pPr>
        <w:ind w:firstLine="480"/>
        <w:rPr>
          <w:rFonts w:hint="eastAsia"/>
          <w:color w:val="auto"/>
        </w:rPr>
      </w:pPr>
      <w:r>
        <w:rPr>
          <w:rFonts w:hint="eastAsia"/>
          <w:color w:val="auto"/>
        </w:rPr>
        <w:t>废水渗入会使地下水溶解氧含量减少，水质变坏，严重时使水体发黑、变臭、失去使用价值。一旦污染了地下水，将极难治理恢复，造成较持久性的污染。</w:t>
      </w:r>
    </w:p>
    <w:p>
      <w:pPr>
        <w:ind w:firstLine="480"/>
        <w:rPr>
          <w:color w:val="auto"/>
        </w:rPr>
      </w:pPr>
      <w:r>
        <w:rPr>
          <w:rFonts w:hint="eastAsia"/>
          <w:color w:val="auto"/>
        </w:rPr>
        <w:t>可见事故排污对环境的危害极大，应坚决杜绝废水事故排放的发生。一旦出现污水处理设备停运事故，应该立即将废水切换至调节池，待废水处理设施抢修完毕后，再将调节池内废水逐步纳入污水处理系统。</w:t>
      </w:r>
    </w:p>
    <w:p>
      <w:pPr>
        <w:ind w:firstLine="482"/>
        <w:rPr>
          <w:rFonts w:hint="eastAsia"/>
          <w:b/>
          <w:color w:val="auto"/>
        </w:rPr>
      </w:pPr>
      <w:r>
        <w:rPr>
          <w:rFonts w:hint="eastAsia"/>
          <w:b/>
          <w:color w:val="auto"/>
        </w:rPr>
        <w:t>4、动物疾病、疫情风险影响分析</w:t>
      </w:r>
    </w:p>
    <w:p>
      <w:pPr>
        <w:ind w:firstLine="480"/>
        <w:rPr>
          <w:color w:val="auto"/>
        </w:rPr>
      </w:pPr>
      <w:r>
        <w:rPr>
          <w:rFonts w:hint="eastAsia"/>
          <w:color w:val="auto"/>
        </w:rPr>
        <w:t>项目运行后可能发生</w:t>
      </w:r>
      <w:r>
        <w:rPr>
          <w:rFonts w:hint="eastAsia"/>
          <w:color w:val="auto"/>
          <w:lang w:val="en-US" w:eastAsia="zh-CN"/>
        </w:rPr>
        <w:t>生猪</w:t>
      </w:r>
      <w:r>
        <w:rPr>
          <w:rFonts w:hint="eastAsia"/>
          <w:color w:val="auto"/>
        </w:rPr>
        <w:t>疫情，若在疫情早期发现，并处理及时、妥当，将仅造成业主自身的经济损失；但若疫情未及时发现或处理不当，将可能传染给周围生物，进而传染给人群，致使当地造成经济损失，甚至人员伤亡等。养猪场如管理不善，会诱发常见疾病，如口蹄疫、炭疽等，而且传播很快，甚至感染到人群。</w:t>
      </w:r>
    </w:p>
    <w:p>
      <w:pPr>
        <w:ind w:firstLine="480"/>
        <w:rPr>
          <w:color w:val="auto"/>
        </w:rPr>
      </w:pPr>
      <w:r>
        <w:rPr>
          <w:rFonts w:hint="eastAsia"/>
          <w:color w:val="auto"/>
        </w:rPr>
        <w:t>炭疽是由炭疽杆菌引起的一种急性、热败血性传染病，能传染给人和其他家畜。炭疽杆菌为革兰氏阳性菌，为需氧和兼性需氧菌。菌体对外界理化因素的抵抗力不强，但炭疽杆菌芽孢的抵抗力很强，在干燥状态下可存活40年以上，在土壤中可生存20年以上且具有感染力。如果被感染动物的尸体处理不当或形成大量芽孢并污染土壤、水源、牧地等，则可成为长久的疫源地。该病主要传染源是病畜，经消化道感染。常因采食被污染的饲料、饮水而感染，其次是带有炭疽杆菌的吸血昆虫叮咬，通过皮肤而感染。本病世界各地均有发生，一般呈散发性，但有时也可呈地方性流行。多发生于炎热多雨的季节。对猪群一般为最急性型发病，体温升高，出现昏迷、突然卧倒、呼吸极度困难、可视黏膜呈蓝紫色、口吐白沫、全身战栗、心悸等症状，不久出现虚脱，濒死期天然孔出血，出现症状后数分钟至数小时死亡。</w:t>
      </w:r>
    </w:p>
    <w:p>
      <w:pPr>
        <w:ind w:firstLine="480"/>
        <w:rPr>
          <w:color w:val="auto"/>
        </w:rPr>
      </w:pPr>
      <w:r>
        <w:rPr>
          <w:rFonts w:hint="eastAsia"/>
          <w:color w:val="auto"/>
        </w:rPr>
        <w:t>猪瘟（Classical Swine Fever，CSF）是由黄病毒科瘟病毒属（Classical Swine FeverVirus，CSFV）引起的一种烈性传染病，死亡率极高，对养猪业危害极大。猪瘟被国际动物卫生组织（OIE）列为A类传染病，我国将其列为一类传染病。</w:t>
      </w:r>
    </w:p>
    <w:p>
      <w:pPr>
        <w:ind w:firstLine="480"/>
        <w:rPr>
          <w:rFonts w:hint="eastAsia"/>
          <w:color w:val="auto"/>
        </w:rPr>
      </w:pPr>
      <w:r>
        <w:rPr>
          <w:color w:val="auto"/>
        </w:rPr>
        <w:t>非洲猪瘟（英文名称：African Swine fever，简称：ASF）是由非洲猪瘟病毒（英文名称：African Swine fever virus，简称：ASFV）感染家猪和各种野猪（如非洲野猪、欧洲野猪等）引起一种急性、出血性、烈性传染病。世界动物卫生组织（OIE）将其列为法定报告动物疫病，该病也是我国重点防范的一类动物疫情。其特征是发病过程短，最急性和急性感染死亡率高达100%，临床表现为发热（达40～42℃），心跳加快，呼吸困难，部分咳嗽，眼、鼻有浆液性或粘液性脓性分泌物，皮肤发绀，淋巴结、肾、胃肠粘膜明显出血，非洲猪瘟临床症状与猪瘟症状相似，只能依靠实验室监测确诊。</w:t>
      </w:r>
    </w:p>
    <w:p>
      <w:pPr>
        <w:ind w:firstLine="480"/>
        <w:rPr>
          <w:color w:val="auto"/>
        </w:rPr>
      </w:pPr>
      <w:r>
        <w:rPr>
          <w:rFonts w:hint="eastAsia"/>
          <w:color w:val="auto"/>
        </w:rPr>
        <w:t>口蹄疫病又称阿夫他热，是偶蹄兽的一种急性、发热性高度接触性传染病，其临床特征是在口腔黏膜、蹄部和乳房皮肤发生水疱性疹。病毒主要存在于水疱皮及淋巴液中。病猪是主要的传染</w:t>
      </w:r>
      <w:r>
        <w:rPr>
          <w:color w:val="auto"/>
        </w:rPr>
        <w:t>源，康复期和潜伏期的病猪亦可带毒排毒，主要经呼吸和消化道感染，也能经黏膜和皮肤感染。其传播既有蔓延式又有跳跃式的，它可发生于一年四季。潜伏期平均2～4天，最长可达7天左右，病猪体温升高40～41℃，精神沉郁、食欲下降，闭口、流涎，开口时有吸吮声。1～2天后在唇内面、齿龈、舌面和颊部黏膜发生蚕豆大至核桃大的水疱。此时口角流涎增多，呈白色泡沫状，常挂满嘴边，采食、反刍完全停止。在口腔发生水疱的同时或稍后，趾间及蹄冠的柔软皮肤上也发生水疱，并很快破溃出现糜烂，然后逐渐愈合。若病</w:t>
      </w:r>
      <w:r>
        <w:rPr>
          <w:rFonts w:hint="eastAsia"/>
          <w:color w:val="auto"/>
        </w:rPr>
        <w:t>猪衰弱管理不当或治疗不及时，糜烂部可能继发感染化脓、坏死、甚至蹄匣脱落。口蹄疫病一般为良性，只是口腔发病，约经1周即可治愈，如果蹄部出现病变时，则病期可延至2～3周或更久，死亡率一般不超过1%～3%。但有时当水疱病变逐渐愈合，病猪趋向恢复健康时，病情突然恶化，全身虚弱、肌肉震颤、特别是心跳加快、节律不齐，因心脏麻痹而突然倒地死亡，这种病型称为恶性口蹄疫，病死率高达20%～50%，主要是由于病毒侵害心肌所致。仔猪患病时特征性水疱症状不明显，主要表现为出血性肠炎和心肌麻痹，死亡率很高。</w:t>
      </w:r>
    </w:p>
    <w:p>
      <w:pPr>
        <w:ind w:firstLine="480"/>
        <w:rPr>
          <w:rFonts w:hint="eastAsia"/>
          <w:color w:val="auto"/>
        </w:rPr>
      </w:pPr>
      <w:r>
        <w:rPr>
          <w:rFonts w:hint="eastAsia"/>
          <w:color w:val="auto"/>
        </w:rPr>
        <w:t>流行性疾病：近年来，几种影响免疫功能的疾病困扰着我国养猪业，给养猪业造成了难以估量的损失，如猪环状病毒感染、猪繁殖与呼吸综合征等疫病的发生流行，引起机体的基础免疫功能下降，导致猪群免疫失败，如猪繁殖与呼吸综合征（PRRS）、育肥猪断奶后多系统衰弱综合征（PMWS）、猪呼吸道疾病综合征（PRDC）、猪皮炎肾病综合征（PDNS）等多种病原体引起的疾病的临床病变极其严重，极易造成临床上的误诊和防治上的困难，由于这些新病的出现，有的疾病缺乏有效的防治措施，因此，猪群发病率和死亡率提高，养猪场损失惨重。给我国养猪业造成了巨大的危害。不少猪场因</w:t>
      </w:r>
      <w:r>
        <w:rPr>
          <w:rFonts w:hint="eastAsia"/>
          <w:color w:val="auto"/>
          <w:lang w:val="en-US" w:eastAsia="zh-CN"/>
        </w:rPr>
        <w:t>生猪</w:t>
      </w:r>
      <w:r>
        <w:rPr>
          <w:rFonts w:hint="eastAsia"/>
          <w:color w:val="auto"/>
        </w:rPr>
        <w:t>的疫病问题造成巨大的经济损失而倒闭，有些猪场爆发育肥猪断奶后多系统衰竭综合征（PMWS），发病率高达60%，直接死亡率在40%以上。</w:t>
      </w:r>
    </w:p>
    <w:p>
      <w:pPr>
        <w:ind w:firstLine="480"/>
        <w:rPr>
          <w:rFonts w:hint="eastAsia"/>
          <w:color w:val="auto"/>
        </w:rPr>
      </w:pPr>
      <w:r>
        <w:rPr>
          <w:rFonts w:hint="eastAsia"/>
          <w:color w:val="auto"/>
        </w:rPr>
        <w:t>慢性疾病：许多慢性疾病虽然死亡率不高，但由于造成生长速度减慢、饲料利用效率降低，并发二次感染，增加药物和治疗费用等，经济损失极大。据国外研究报道，萎缩性鼻炎可使生长速度降低 5%，如果与肺炎并发，可导致生长速度降低 17%；由于地方性肺炎导致肺的不同程度损坏，每损坏10%的肺组织可降低5%的生长速度；猪群由于胸膜肺炎的影响，可使销售额降低20%，并导致达100千克延长12天 ；某些皮肤病如猪疥癣可降低10%的生长和饲料利用率，并且可能诱发皮脂炎而严重影响胴体品质，据国内有关数据显示，病毒、细菌等混合感染引起的呼吸道疾病，除了造成直接死亡之外，可使猪日增重降低15%、饲料利用率降低18%、出栏时间推迟23天甚至更多，增重下降或生长停滞的猪可达70%甚至更多。</w:t>
      </w:r>
    </w:p>
    <w:p>
      <w:pPr>
        <w:ind w:firstLine="480"/>
        <w:rPr>
          <w:rFonts w:hint="eastAsia"/>
          <w:color w:val="auto"/>
        </w:rPr>
      </w:pPr>
      <w:r>
        <w:rPr>
          <w:rFonts w:hint="eastAsia"/>
          <w:color w:val="auto"/>
        </w:rPr>
        <w:t>寄生虫病也是引起猪场效益下降的重要疾病。美国明尼苏达大学的一项调查研究结果表明，在管理良好的猪场里，寄生虫的感染依然存在，即使是轻微的感染，也能引起大量的损失，包括饲料利用率降低、生长速度下降、由于蛔虫、鞭虫等内寄生虫的移行造成内脏的损伤和机体免疫系统的损害等方面所引起经济效益的下降等。采用科学的驱虫模式进行驱虫，猪群的日增重（从20～90千克）比没有驱虫的猪提高了9.3%，而饲料消耗却降低了10.9</w:t>
      </w:r>
      <w:r>
        <w:rPr>
          <w:color w:val="auto"/>
        </w:rPr>
        <w:t>%</w:t>
      </w:r>
      <w:r>
        <w:rPr>
          <w:rFonts w:hint="eastAsia"/>
          <w:color w:val="auto"/>
        </w:rPr>
        <w:t>，生长速度提高10.9%，肉料比提高0.36，并且由于有效地控制了疥螨病的发生，使外贸出口合格率大大提高，内销屠宰时因肝脏蛔虫斑而造成肝脏废弃的情况不再出现。一头猪从出生到出栏，使用腾骏“肯维灭”按驱虫计划进行驱虫所支出的费用（包括公、母猪驱虫分摊的费用）为3.8元，而由此获得的收益可达28元以上，从另一个角度可看到猪场寄生虫病对猪场经济效益影响之大。</w:t>
      </w:r>
    </w:p>
    <w:p>
      <w:pPr>
        <w:ind w:firstLine="480"/>
        <w:rPr>
          <w:color w:val="auto"/>
        </w:rPr>
      </w:pPr>
      <w:r>
        <w:rPr>
          <w:rFonts w:hint="eastAsia"/>
          <w:color w:val="auto"/>
        </w:rPr>
        <w:t>人畜共患病：许多人畜共患病，已成为严重危害人体健康的重大问题；1998～1999年马来西亚由Nipah病毒引起猪的脑炎，同时也引起265人发病，105人死亡。1997年台湾流行口蹄疫给台湾的养猪业以毁灭性的打击。2000年韩国和日本流行的口蹄疫，也给这些国家的养殖业带来沉重后果。2000年欧洲爆发口蹄疫，英国损失590亿英磅。许多人畜共患的重大疫病，如血吸虫病、狂犬病、乙型脑炎、链球菌病、流感等与动物的带毒、带菌、带虫有关，使这些病在动物和人之间相互传播，对人体健康构成严重威胁。猪场疾病日益复杂，其中猪能引起人畜共患的疾病达25种之多。由此可见，人畜共患病问题已成为影响极为广泛的社会问题。</w:t>
      </w:r>
    </w:p>
    <w:p>
      <w:pPr>
        <w:pStyle w:val="7"/>
        <w:rPr>
          <w:rFonts w:hint="eastAsia" w:eastAsia="黑体"/>
          <w:color w:val="auto"/>
          <w:sz w:val="32"/>
        </w:rPr>
      </w:pPr>
      <w:bookmarkStart w:id="215" w:name="_Toc28120"/>
      <w:r>
        <w:rPr>
          <w:rFonts w:hint="eastAsia" w:eastAsia="黑体"/>
          <w:color w:val="auto"/>
          <w:sz w:val="32"/>
        </w:rPr>
        <w:t>环境风险防范措施及应急要求</w:t>
      </w:r>
      <w:bookmarkEnd w:id="215"/>
    </w:p>
    <w:p>
      <w:pPr>
        <w:pStyle w:val="8"/>
        <w:tabs>
          <w:tab w:val="clear" w:pos="0"/>
        </w:tabs>
        <w:rPr>
          <w:rFonts w:eastAsia="黑体"/>
          <w:color w:val="auto"/>
          <w:sz w:val="28"/>
          <w:szCs w:val="28"/>
        </w:rPr>
      </w:pPr>
      <w:r>
        <w:rPr>
          <w:rFonts w:hint="eastAsia" w:eastAsia="黑体"/>
          <w:color w:val="auto"/>
          <w:sz w:val="28"/>
          <w:szCs w:val="28"/>
        </w:rPr>
        <w:t>环境风险防范措施</w:t>
      </w:r>
    </w:p>
    <w:p>
      <w:pPr>
        <w:pStyle w:val="9"/>
        <w:spacing w:before="120" w:beforeLines="50"/>
        <w:rPr>
          <w:rFonts w:hint="eastAsia"/>
          <w:color w:val="auto"/>
        </w:rPr>
      </w:pPr>
      <w:r>
        <w:rPr>
          <w:rFonts w:hint="eastAsia"/>
          <w:color w:val="auto"/>
        </w:rPr>
        <w:t>柴油燃爆风险防范措施</w:t>
      </w:r>
    </w:p>
    <w:p>
      <w:pPr>
        <w:ind w:firstLine="480"/>
        <w:rPr>
          <w:rFonts w:hint="eastAsia"/>
          <w:color w:val="auto"/>
        </w:rPr>
      </w:pPr>
      <w:r>
        <w:rPr>
          <w:rFonts w:hint="eastAsia"/>
          <w:color w:val="auto"/>
        </w:rPr>
        <w:t>本项目柴油的储运，应严格按照国家、行业相关规定执行，需采取的防范措施主要包括：</w:t>
      </w:r>
    </w:p>
    <w:p>
      <w:pPr>
        <w:ind w:firstLine="480"/>
        <w:rPr>
          <w:rFonts w:hint="eastAsia"/>
          <w:color w:val="auto"/>
        </w:rPr>
      </w:pPr>
      <w:r>
        <w:rPr>
          <w:rFonts w:hint="eastAsia"/>
          <w:color w:val="auto"/>
        </w:rPr>
        <w:t>（1）柴油发电机房的建设满足防火要求，防火间距、消防通道、消防设施等满足要求。</w:t>
      </w:r>
    </w:p>
    <w:p>
      <w:pPr>
        <w:ind w:firstLine="480"/>
        <w:rPr>
          <w:rFonts w:hint="eastAsia"/>
          <w:color w:val="auto"/>
        </w:rPr>
      </w:pPr>
      <w:r>
        <w:rPr>
          <w:rFonts w:hint="eastAsia"/>
          <w:color w:val="auto"/>
        </w:rPr>
        <w:t>（2）柴油发电机房储油桶与周围建筑物之间有足够的防火距离。</w:t>
      </w:r>
    </w:p>
    <w:p>
      <w:pPr>
        <w:ind w:firstLine="480"/>
        <w:rPr>
          <w:rFonts w:hint="eastAsia"/>
          <w:color w:val="auto"/>
        </w:rPr>
      </w:pPr>
      <w:r>
        <w:rPr>
          <w:rFonts w:hint="eastAsia"/>
          <w:color w:val="auto"/>
        </w:rPr>
        <w:t>（3）柴油发电机房储油桶周围设置防火堤，防止因物料泄漏而引起流淌火或二次危害。</w:t>
      </w:r>
    </w:p>
    <w:p>
      <w:pPr>
        <w:wordWrap w:val="0"/>
        <w:ind w:firstLine="480"/>
        <w:rPr>
          <w:color w:val="auto"/>
        </w:rPr>
      </w:pPr>
      <w:r>
        <w:rPr>
          <w:color w:val="auto"/>
        </w:rPr>
        <w:t>（4）柴油发电机房以及储油</w:t>
      </w:r>
      <w:r>
        <w:rPr>
          <w:rFonts w:hint="eastAsia"/>
          <w:color w:val="auto"/>
        </w:rPr>
        <w:t>桶</w:t>
      </w:r>
      <w:r>
        <w:rPr>
          <w:color w:val="auto"/>
        </w:rPr>
        <w:t>的地面必须做重点防渗处理（</w:t>
      </w:r>
      <w:r>
        <w:rPr>
          <w:rFonts w:hint="default"/>
          <w:color w:val="auto"/>
          <w:lang w:val="en-US" w:eastAsia="zh-CN"/>
        </w:rPr>
        <w:t>采取钢筋混凝土加防渗剂的防渗地坪+人工材料（HDPE）防渗层</w:t>
      </w:r>
      <w:r>
        <w:rPr>
          <w:color w:val="auto"/>
        </w:rPr>
        <w:t>），使柴油发电机（包括柴油发电机房储油桶）防渗达到等效黏土防渗层Mb≥6.0m，K≤1.0×10</w:t>
      </w:r>
      <w:r>
        <w:rPr>
          <w:color w:val="auto"/>
          <w:vertAlign w:val="superscript"/>
        </w:rPr>
        <w:t>-7</w:t>
      </w:r>
      <w:r>
        <w:rPr>
          <w:color w:val="auto"/>
        </w:rPr>
        <w:t>cm/s。</w:t>
      </w:r>
    </w:p>
    <w:p>
      <w:pPr>
        <w:ind w:firstLine="480"/>
        <w:rPr>
          <w:rFonts w:hint="eastAsia"/>
          <w:color w:val="auto"/>
        </w:rPr>
      </w:pPr>
      <w:r>
        <w:rPr>
          <w:rFonts w:hint="eastAsia"/>
          <w:color w:val="auto"/>
        </w:rPr>
        <w:t>（</w:t>
      </w:r>
      <w:r>
        <w:rPr>
          <w:color w:val="auto"/>
        </w:rPr>
        <w:t>5</w:t>
      </w:r>
      <w:r>
        <w:rPr>
          <w:rFonts w:hint="eastAsia"/>
          <w:color w:val="auto"/>
        </w:rPr>
        <w:t>）柴油发电机以及储油桶下面必须添加集油盘收集发电机跑冒和渗漏出来的机油和柴油，减少对外环境的影响。</w:t>
      </w:r>
    </w:p>
    <w:p>
      <w:pPr>
        <w:ind w:firstLine="480"/>
        <w:rPr>
          <w:color w:val="auto"/>
        </w:rPr>
      </w:pPr>
      <w:r>
        <w:rPr>
          <w:rFonts w:hint="eastAsia"/>
          <w:color w:val="auto"/>
        </w:rPr>
        <w:t>（</w:t>
      </w:r>
      <w:r>
        <w:rPr>
          <w:color w:val="auto"/>
        </w:rPr>
        <w:t>6</w:t>
      </w:r>
      <w:r>
        <w:rPr>
          <w:rFonts w:hint="eastAsia"/>
          <w:color w:val="auto"/>
        </w:rPr>
        <w:t>）柴油发电机房以及储油桶应按相关规定设置消防器材，配置干粉泡沫化学灭火器。</w:t>
      </w:r>
    </w:p>
    <w:p>
      <w:pPr>
        <w:pStyle w:val="9"/>
        <w:spacing w:before="120" w:beforeLines="50"/>
        <w:rPr>
          <w:b/>
          <w:color w:val="auto"/>
        </w:rPr>
      </w:pPr>
      <w:r>
        <w:rPr>
          <w:rFonts w:hint="eastAsia"/>
          <w:color w:val="auto"/>
        </w:rPr>
        <w:t>沼气泄漏事故风险防范措施</w:t>
      </w:r>
    </w:p>
    <w:p>
      <w:pPr>
        <w:ind w:firstLine="480"/>
        <w:rPr>
          <w:rFonts w:hint="eastAsia"/>
          <w:color w:val="auto"/>
        </w:rPr>
      </w:pPr>
      <w:r>
        <w:rPr>
          <w:rFonts w:hint="eastAsia"/>
          <w:color w:val="auto"/>
        </w:rPr>
        <w:t>泄漏事故的防治是生产和储运过程中最重要的环节，发生泄漏事故可能引起火灾和爆炸等一系列重大事故。经验表明：设备失灵和人为的操作失误是引发泄漏的主要原因。因此选用较好设备、精心设计、认真的管理和操作人员的责任心是减少泄漏事故的关键。</w:t>
      </w:r>
    </w:p>
    <w:p>
      <w:pPr>
        <w:ind w:firstLine="480"/>
        <w:rPr>
          <w:color w:val="auto"/>
        </w:rPr>
      </w:pPr>
      <w:r>
        <w:rPr>
          <w:rFonts w:hint="eastAsia"/>
          <w:color w:val="auto"/>
        </w:rPr>
        <w:t>（1）工程设计风险防范措施</w:t>
      </w:r>
    </w:p>
    <w:p>
      <w:pPr>
        <w:ind w:firstLine="480"/>
        <w:rPr>
          <w:color w:val="auto"/>
        </w:rPr>
      </w:pPr>
      <w:r>
        <w:rPr>
          <w:rFonts w:hint="eastAsia"/>
          <w:color w:val="auto"/>
        </w:rPr>
        <w:t>①总图布置应符合《工业企业总平面设计规范》（GB50187-2012）、《建筑设计防火规范》（GB50016-2014）等有关规定，应满足生产工业要求，保证工艺流程顺畅，管线短捷，有利于生产和便于管理，同时应满足安全、卫生、环保、消防等有关标准规范的要求；</w:t>
      </w:r>
    </w:p>
    <w:p>
      <w:pPr>
        <w:ind w:firstLine="480"/>
        <w:rPr>
          <w:rFonts w:hint="eastAsia"/>
          <w:color w:val="auto"/>
        </w:rPr>
      </w:pPr>
      <w:r>
        <w:rPr>
          <w:rFonts w:hint="eastAsia"/>
          <w:color w:val="auto"/>
        </w:rPr>
        <w:t>②严格执行有关防水、防爆、防中毒的规定，高温和有明火的设备尽量远离散发可燃气体的场所；</w:t>
      </w:r>
    </w:p>
    <w:p>
      <w:pPr>
        <w:ind w:firstLine="480"/>
        <w:rPr>
          <w:rFonts w:hint="eastAsia"/>
          <w:color w:val="auto"/>
        </w:rPr>
      </w:pPr>
      <w:r>
        <w:rPr>
          <w:rFonts w:hint="eastAsia"/>
          <w:color w:val="auto"/>
        </w:rPr>
        <w:t>③设备、管道设计应留有一定的安全余量；场内应设有急救设施、救援通道和应急疏散通道；</w:t>
      </w:r>
    </w:p>
    <w:p>
      <w:pPr>
        <w:ind w:firstLine="480"/>
        <w:rPr>
          <w:rFonts w:hint="eastAsia"/>
          <w:color w:val="auto"/>
        </w:rPr>
      </w:pPr>
      <w:r>
        <w:rPr>
          <w:rFonts w:hint="eastAsia"/>
          <w:color w:val="auto"/>
        </w:rPr>
        <w:t>④沼气池沼气输送管道设置阻火器，防止发生回火。</w:t>
      </w:r>
    </w:p>
    <w:p>
      <w:pPr>
        <w:ind w:firstLine="480"/>
        <w:rPr>
          <w:rFonts w:hint="eastAsia"/>
          <w:color w:val="auto"/>
        </w:rPr>
      </w:pPr>
      <w:r>
        <w:rPr>
          <w:rFonts w:hint="eastAsia"/>
          <w:color w:val="auto"/>
        </w:rPr>
        <w:t>（2）加强岗位培训，落实安全生产责任制</w:t>
      </w:r>
    </w:p>
    <w:p>
      <w:pPr>
        <w:ind w:firstLine="480"/>
        <w:rPr>
          <w:color w:val="auto"/>
        </w:rPr>
      </w:pPr>
      <w:r>
        <w:rPr>
          <w:rFonts w:hint="eastAsia"/>
          <w:color w:val="auto"/>
        </w:rPr>
        <w:t>①公司领导要把安全生产、防范事故工作放在第一位，严格安全生产管理，经常检查安全生产措施，发现问题及时解决，消除事故隐患；</w:t>
      </w:r>
    </w:p>
    <w:p>
      <w:pPr>
        <w:ind w:firstLine="480"/>
        <w:rPr>
          <w:rFonts w:hint="eastAsia"/>
          <w:color w:val="auto"/>
        </w:rPr>
      </w:pPr>
      <w:r>
        <w:rPr>
          <w:rFonts w:hint="eastAsia"/>
          <w:color w:val="auto"/>
        </w:rPr>
        <w:t>②加强工作人员的安全技术培训工作，特别是对安全管理人员的安全培训，应严格遵守国家劳动安全卫生法律、法规和标准；</w:t>
      </w:r>
    </w:p>
    <w:p>
      <w:pPr>
        <w:ind w:firstLine="480"/>
        <w:rPr>
          <w:rFonts w:hint="eastAsia"/>
          <w:color w:val="auto"/>
        </w:rPr>
      </w:pPr>
      <w:r>
        <w:rPr>
          <w:rFonts w:hint="eastAsia"/>
          <w:color w:val="auto"/>
        </w:rPr>
        <w:t>③落实各项安全生产责任制，建立健全劳动安全卫生规章制度和安全操作规程。</w:t>
      </w:r>
    </w:p>
    <w:p>
      <w:pPr>
        <w:ind w:firstLine="480"/>
        <w:rPr>
          <w:rFonts w:hint="eastAsia"/>
          <w:color w:val="auto"/>
        </w:rPr>
      </w:pPr>
      <w:r>
        <w:rPr>
          <w:rFonts w:hint="eastAsia"/>
          <w:color w:val="auto"/>
        </w:rPr>
        <w:t>（3）加强设备维护保养</w:t>
      </w:r>
    </w:p>
    <w:p>
      <w:pPr>
        <w:ind w:firstLine="480"/>
        <w:rPr>
          <w:rFonts w:hint="eastAsia"/>
          <w:color w:val="auto"/>
        </w:rPr>
      </w:pPr>
      <w:r>
        <w:rPr>
          <w:rFonts w:hint="eastAsia"/>
          <w:color w:val="auto"/>
        </w:rPr>
        <w:t>①加强对系统设备和密封单元的维护保养，严防泄露；</w:t>
      </w:r>
    </w:p>
    <w:p>
      <w:pPr>
        <w:ind w:firstLine="480"/>
        <w:rPr>
          <w:rFonts w:hint="eastAsia"/>
          <w:color w:val="auto"/>
        </w:rPr>
      </w:pPr>
      <w:r>
        <w:rPr>
          <w:rFonts w:hint="eastAsia"/>
          <w:color w:val="auto"/>
        </w:rPr>
        <w:t>②定期进行管道壁厚的测量，对严重关闭减薄的管段，及时维修更换，避免爆管事故发生；</w:t>
      </w:r>
    </w:p>
    <w:p>
      <w:pPr>
        <w:ind w:firstLine="480"/>
        <w:rPr>
          <w:rFonts w:hint="eastAsia"/>
          <w:color w:val="auto"/>
        </w:rPr>
      </w:pPr>
      <w:r>
        <w:rPr>
          <w:rFonts w:hint="eastAsia"/>
          <w:color w:val="auto"/>
        </w:rPr>
        <w:t>③在每次大检修时，必须对陈旧、老化的设备和管道按重要程度、安全等级进行更换。</w:t>
      </w:r>
    </w:p>
    <w:p>
      <w:pPr>
        <w:ind w:firstLine="480"/>
        <w:rPr>
          <w:rFonts w:hint="eastAsia"/>
          <w:color w:val="auto"/>
        </w:rPr>
      </w:pPr>
      <w:r>
        <w:rPr>
          <w:rFonts w:hint="eastAsia"/>
          <w:color w:val="auto"/>
        </w:rPr>
        <w:t>（4）落实工程安全技术措施</w:t>
      </w:r>
    </w:p>
    <w:p>
      <w:pPr>
        <w:ind w:firstLine="480"/>
        <w:rPr>
          <w:rFonts w:hint="eastAsia"/>
          <w:color w:val="auto"/>
        </w:rPr>
      </w:pPr>
      <w:r>
        <w:rPr>
          <w:rFonts w:hint="eastAsia"/>
          <w:color w:val="auto"/>
        </w:rPr>
        <w:t>①装置拟采用的工艺技术方案在国内外已得到应用，且有成功运行的经验，技术上成熟可靠，工艺技术方案本身不会引起事故风险，只要在设计中严格执行《建筑设计防火规范》（GBJ50016-2006）、《建筑物防雷设计规范》（GB50057-2010）等设计规范，设计不当引起的事故是可以杜绝的；</w:t>
      </w:r>
    </w:p>
    <w:p>
      <w:pPr>
        <w:ind w:firstLine="480"/>
        <w:rPr>
          <w:rFonts w:hint="eastAsia"/>
          <w:color w:val="auto"/>
        </w:rPr>
      </w:pPr>
      <w:r>
        <w:rPr>
          <w:rFonts w:hint="eastAsia"/>
          <w:color w:val="auto"/>
        </w:rPr>
        <w:t>②严把工程建设质量关，特别是高压设备、各类泵、阀门等可能泄漏爆破部位质量关，在安装过程中，必须确保各装置的密封性，从采购、安装、检验等关键环节上加强对关键装置的管理，从根本上消除事故隐患，确保生产安全；</w:t>
      </w:r>
    </w:p>
    <w:p>
      <w:pPr>
        <w:ind w:firstLine="480"/>
        <w:rPr>
          <w:rFonts w:hint="eastAsia"/>
          <w:color w:val="auto"/>
        </w:rPr>
      </w:pPr>
      <w:r>
        <w:rPr>
          <w:rFonts w:hint="eastAsia"/>
          <w:color w:val="auto"/>
        </w:rPr>
        <w:t>③对黑膜沼气池、储气柜及管线进行适当的整体试验、外观检查或非破坏性的测厚检查、射线探伤，检查记录应存档备查。定期对黑膜沼气池外部检查，及时发现破损和漏处。</w:t>
      </w:r>
    </w:p>
    <w:p>
      <w:pPr>
        <w:ind w:firstLine="480"/>
        <w:rPr>
          <w:rFonts w:hint="eastAsia"/>
          <w:color w:val="auto"/>
        </w:rPr>
      </w:pPr>
      <w:r>
        <w:rPr>
          <w:rFonts w:hint="eastAsia"/>
          <w:color w:val="auto"/>
        </w:rPr>
        <w:t>（5）防火、防爆措施</w:t>
      </w:r>
    </w:p>
    <w:p>
      <w:pPr>
        <w:ind w:firstLine="480"/>
        <w:rPr>
          <w:rFonts w:hint="eastAsia"/>
          <w:color w:val="auto"/>
        </w:rPr>
      </w:pPr>
      <w:r>
        <w:rPr>
          <w:rFonts w:hint="eastAsia"/>
          <w:color w:val="auto"/>
        </w:rPr>
        <w:t>①本项目的管道、建构筑物之间应保持一定的防火间距；</w:t>
      </w:r>
    </w:p>
    <w:p>
      <w:pPr>
        <w:ind w:firstLine="480"/>
        <w:rPr>
          <w:rFonts w:hint="eastAsia"/>
          <w:color w:val="auto"/>
        </w:rPr>
      </w:pPr>
      <w:r>
        <w:rPr>
          <w:rFonts w:hint="eastAsia"/>
          <w:color w:val="auto"/>
        </w:rPr>
        <w:t>②有火灾爆炸危险场所的建构筑物的结构形式以及选用材料应符合防火防爆要求，具有可燃气体、易燃气体的生产装置应设防静电接地系统，具有火灾爆炸危险的生产设备和管道设计安全阀、爆破板、水封、阻火器等防爆阻火器等防爆阻火设施；另外应根据不同危险类型设计可燃气体检测报警系统和在线分析系统设计方案；</w:t>
      </w:r>
    </w:p>
    <w:p>
      <w:pPr>
        <w:ind w:firstLine="480"/>
        <w:rPr>
          <w:rFonts w:hint="eastAsia"/>
          <w:color w:val="auto"/>
        </w:rPr>
      </w:pPr>
      <w:r>
        <w:rPr>
          <w:rFonts w:hint="eastAsia"/>
          <w:color w:val="auto"/>
        </w:rPr>
        <w:t>③具有火灾、爆炸等危害的作业区，应设计事故状态时能延时工作的事故照明灯，装置内潮湿和高温等危险环境采用安全电压；</w:t>
      </w:r>
    </w:p>
    <w:p>
      <w:pPr>
        <w:ind w:firstLine="480"/>
        <w:rPr>
          <w:rFonts w:hint="eastAsia"/>
          <w:color w:val="auto"/>
        </w:rPr>
      </w:pPr>
      <w:r>
        <w:rPr>
          <w:rFonts w:hint="eastAsia"/>
          <w:color w:val="auto"/>
        </w:rPr>
        <w:t>④配备足够的消防、气体防护设施，如防火服、氧气呼吸器、防护眼镜等，经常检查安全消防设施的完好性，使其处于即用状态；</w:t>
      </w:r>
    </w:p>
    <w:p>
      <w:pPr>
        <w:ind w:firstLine="480"/>
        <w:rPr>
          <w:rFonts w:hint="eastAsia"/>
          <w:color w:val="auto"/>
        </w:rPr>
      </w:pPr>
      <w:r>
        <w:rPr>
          <w:rFonts w:hint="eastAsia"/>
          <w:color w:val="auto"/>
        </w:rPr>
        <w:t>⑤火源管理</w:t>
      </w:r>
    </w:p>
    <w:p>
      <w:pPr>
        <w:ind w:firstLine="480"/>
        <w:rPr>
          <w:rFonts w:hint="eastAsia"/>
          <w:color w:val="auto"/>
        </w:rPr>
      </w:pPr>
      <w:r>
        <w:rPr>
          <w:rFonts w:hint="eastAsia"/>
          <w:color w:val="auto"/>
        </w:rPr>
        <w:t xml:space="preserve">a、严禁火源进入治污区，对明火严格控制，在黑膜沼气池和储气柜附近 20m内不准有明火； </w:t>
      </w:r>
    </w:p>
    <w:p>
      <w:pPr>
        <w:ind w:firstLine="480"/>
        <w:rPr>
          <w:color w:val="auto"/>
        </w:rPr>
      </w:pPr>
      <w:r>
        <w:rPr>
          <w:rFonts w:hint="eastAsia"/>
          <w:color w:val="auto"/>
        </w:rPr>
        <w:t>b、对设备维修检查，需进行维修焊接，应经安全部门确认、准许，并有记录在案；另外，在危险区作业是不能使用能产生撞击火花的金属物体，应用铜工具，如用钢工具，表面应涂黄油；</w:t>
      </w:r>
    </w:p>
    <w:p>
      <w:pPr>
        <w:ind w:firstLine="480"/>
        <w:rPr>
          <w:rFonts w:hint="eastAsia"/>
          <w:color w:val="auto"/>
        </w:rPr>
      </w:pPr>
      <w:r>
        <w:rPr>
          <w:rFonts w:hint="eastAsia"/>
          <w:color w:val="auto"/>
        </w:rPr>
        <w:t>c、在黑膜沼气池与沼气储罐设施上设置永久性接地装置；</w:t>
      </w:r>
    </w:p>
    <w:p>
      <w:pPr>
        <w:ind w:firstLine="480"/>
        <w:rPr>
          <w:rFonts w:hint="eastAsia"/>
          <w:color w:val="auto"/>
        </w:rPr>
      </w:pPr>
      <w:r>
        <w:rPr>
          <w:rFonts w:hint="eastAsia"/>
          <w:color w:val="auto"/>
        </w:rPr>
        <w:t>d、在装置区内的所有设备，电气装置都应满足防爆防火的要求。</w:t>
      </w:r>
    </w:p>
    <w:p>
      <w:pPr>
        <w:ind w:firstLine="480"/>
        <w:rPr>
          <w:color w:val="auto"/>
        </w:rPr>
      </w:pPr>
      <w:r>
        <w:rPr>
          <w:rFonts w:hint="eastAsia"/>
          <w:color w:val="auto"/>
        </w:rPr>
        <w:t>⑥沼气利用管道设置阻火器，防止发生回火；建筑物采取防雷措施，安装避雷针等。</w:t>
      </w:r>
    </w:p>
    <w:p>
      <w:pPr>
        <w:ind w:firstLine="480"/>
        <w:rPr>
          <w:rFonts w:hint="eastAsia"/>
          <w:color w:val="auto"/>
        </w:rPr>
      </w:pPr>
      <w:r>
        <w:rPr>
          <w:rFonts w:hint="eastAsia"/>
          <w:color w:val="auto"/>
        </w:rPr>
        <w:t>⑦人员的管理</w:t>
      </w:r>
    </w:p>
    <w:p>
      <w:pPr>
        <w:ind w:firstLine="480"/>
        <w:rPr>
          <w:color w:val="auto"/>
        </w:rPr>
      </w:pPr>
      <w:r>
        <w:rPr>
          <w:rFonts w:hint="eastAsia"/>
          <w:color w:val="auto"/>
        </w:rPr>
        <w:t>a、加强沼气安全知识的宣传，加强对有关人员的培训教育和考核；</w:t>
      </w:r>
    </w:p>
    <w:p>
      <w:pPr>
        <w:ind w:firstLine="480"/>
        <w:rPr>
          <w:rFonts w:hint="eastAsia"/>
          <w:color w:val="auto"/>
        </w:rPr>
      </w:pPr>
      <w:r>
        <w:rPr>
          <w:rFonts w:hint="eastAsia"/>
          <w:color w:val="auto"/>
        </w:rPr>
        <w:t xml:space="preserve">b、严格规章制度和安全操作规程，强化安全监督检查和管理； </w:t>
      </w:r>
    </w:p>
    <w:p>
      <w:pPr>
        <w:ind w:firstLine="480"/>
        <w:rPr>
          <w:rFonts w:hint="eastAsia"/>
          <w:color w:val="auto"/>
        </w:rPr>
      </w:pPr>
      <w:r>
        <w:rPr>
          <w:rFonts w:hint="eastAsia"/>
          <w:color w:val="auto"/>
        </w:rPr>
        <w:t>c、沼气工程外设专职人员进行监理和维护，严禁其他人员进入。</w:t>
      </w:r>
    </w:p>
    <w:p>
      <w:pPr>
        <w:pStyle w:val="9"/>
        <w:spacing w:before="120" w:beforeLines="50"/>
        <w:rPr>
          <w:rFonts w:hint="eastAsia"/>
          <w:color w:val="auto"/>
        </w:rPr>
      </w:pPr>
      <w:r>
        <w:rPr>
          <w:rFonts w:hint="eastAsia"/>
          <w:color w:val="auto"/>
        </w:rPr>
        <w:t>粪污泄漏的风险防范措施</w:t>
      </w:r>
    </w:p>
    <w:p>
      <w:pPr>
        <w:ind w:firstLine="480"/>
        <w:rPr>
          <w:color w:val="auto"/>
        </w:rPr>
      </w:pPr>
      <w:r>
        <w:rPr>
          <w:rFonts w:hint="eastAsia"/>
          <w:color w:val="auto"/>
        </w:rPr>
        <w:t>为避免粪污泄漏事故的发生，建设单位需做好有关防范措施：</w:t>
      </w:r>
    </w:p>
    <w:p>
      <w:pPr>
        <w:ind w:firstLine="480"/>
        <w:rPr>
          <w:rFonts w:hint="eastAsia"/>
          <w:color w:val="auto"/>
        </w:rPr>
      </w:pPr>
      <w:r>
        <w:rPr>
          <w:rFonts w:hint="eastAsia"/>
          <w:color w:val="auto"/>
        </w:rPr>
        <w:t>（1）厂区配套的</w:t>
      </w:r>
      <w:r>
        <w:rPr>
          <w:rFonts w:hint="eastAsia"/>
          <w:color w:val="auto"/>
          <w:lang w:val="en-US" w:eastAsia="zh-CN"/>
        </w:rPr>
        <w:t>收集池</w:t>
      </w:r>
      <w:r>
        <w:rPr>
          <w:rFonts w:hint="eastAsia"/>
          <w:color w:val="auto"/>
        </w:rPr>
        <w:t>池等各污水处理构筑物应采取有效的防雨、防渗和防溢流措施，防止粪污泄漏污染地下水。</w:t>
      </w:r>
    </w:p>
    <w:p>
      <w:pPr>
        <w:ind w:firstLine="480"/>
        <w:rPr>
          <w:color w:val="auto"/>
        </w:rPr>
      </w:pPr>
      <w:r>
        <w:rPr>
          <w:rFonts w:hint="eastAsia"/>
          <w:color w:val="auto"/>
        </w:rPr>
        <w:t>（</w:t>
      </w:r>
      <w:r>
        <w:rPr>
          <w:color w:val="auto"/>
        </w:rPr>
        <w:t>2）</w:t>
      </w:r>
      <w:r>
        <w:rPr>
          <w:rFonts w:hint="eastAsia"/>
          <w:color w:val="auto"/>
        </w:rPr>
        <w:t>做好废水处理设施的日常维护，保证及时发现处理设备的事故隐患，确保处理系统正常运行；开、停、检修要有预案，有严密周全的计划，确保废水满足排放要求。</w:t>
      </w:r>
    </w:p>
    <w:p>
      <w:pPr>
        <w:ind w:firstLine="480"/>
        <w:rPr>
          <w:rFonts w:hint="eastAsia"/>
          <w:color w:val="auto"/>
        </w:rPr>
      </w:pPr>
      <w:r>
        <w:rPr>
          <w:rFonts w:hint="eastAsia"/>
          <w:color w:val="auto"/>
        </w:rPr>
        <w:t>（</w:t>
      </w:r>
      <w:r>
        <w:rPr>
          <w:color w:val="auto"/>
        </w:rPr>
        <w:t>3</w:t>
      </w:r>
      <w:r>
        <w:rPr>
          <w:rFonts w:hint="eastAsia"/>
          <w:color w:val="auto"/>
        </w:rPr>
        <w:t>）污水处理设施程配套建设</w:t>
      </w:r>
      <w:r>
        <w:rPr>
          <w:rFonts w:hint="eastAsia"/>
          <w:color w:val="auto"/>
          <w:lang w:eastAsia="zh-CN"/>
        </w:rPr>
        <w:t>事故应急池</w:t>
      </w:r>
      <w:r>
        <w:rPr>
          <w:rFonts w:hint="eastAsia"/>
          <w:color w:val="auto"/>
        </w:rPr>
        <w:t>，一旦污水处理系统某个构筑物或设备出现故障，应立即关闭集污池进水阀门，打开切换阀，将废水引至事故应急池，待污水处理系统恢复正常运行后，将事故应急池内污水逐步泵入集污池，坚决不允许废水不经无害化处理直接用于还田利用或。本项目将新建1座事故应急池，紧邻粪污收集池，事故应急池总容积为</w:t>
      </w:r>
      <w:r>
        <w:rPr>
          <w:rFonts w:hint="eastAsia"/>
          <w:color w:val="auto"/>
          <w:lang w:val="en-US" w:eastAsia="zh-CN"/>
        </w:rPr>
        <w:t>35</w:t>
      </w:r>
      <w:r>
        <w:rPr>
          <w:rFonts w:hint="eastAsia"/>
          <w:color w:val="auto"/>
        </w:rPr>
        <w:t>0m</w:t>
      </w:r>
      <w:r>
        <w:rPr>
          <w:rFonts w:hint="eastAsia"/>
          <w:color w:val="auto"/>
          <w:vertAlign w:val="superscript"/>
        </w:rPr>
        <w:t>3</w:t>
      </w:r>
      <w:r>
        <w:rPr>
          <w:rFonts w:hint="eastAsia"/>
          <w:color w:val="auto"/>
        </w:rPr>
        <w:t>。项目最大排水量为</w:t>
      </w:r>
      <w:r>
        <w:rPr>
          <w:rFonts w:hint="eastAsia"/>
          <w:color w:val="auto"/>
          <w:lang w:val="en-US" w:eastAsia="zh-CN"/>
        </w:rPr>
        <w:t>30.063</w:t>
      </w:r>
      <w:r>
        <w:rPr>
          <w:rFonts w:hint="eastAsia"/>
          <w:color w:val="auto"/>
        </w:rPr>
        <w:t>m</w:t>
      </w:r>
      <w:r>
        <w:rPr>
          <w:rFonts w:hint="eastAsia"/>
          <w:color w:val="auto"/>
          <w:vertAlign w:val="superscript"/>
        </w:rPr>
        <w:t>3</w:t>
      </w:r>
      <w:r>
        <w:rPr>
          <w:rFonts w:hint="eastAsia"/>
          <w:color w:val="auto"/>
        </w:rPr>
        <w:t>/d，考虑一般污水处理设施故障</w:t>
      </w:r>
      <w:r>
        <w:rPr>
          <w:color w:val="auto"/>
        </w:rPr>
        <w:t>10</w:t>
      </w:r>
      <w:r>
        <w:rPr>
          <w:rFonts w:hint="eastAsia"/>
          <w:color w:val="auto"/>
        </w:rPr>
        <w:t>天内便可解决，则本项目应设置事故应急池总容积不低于</w:t>
      </w:r>
      <w:r>
        <w:rPr>
          <w:rFonts w:hint="eastAsia"/>
          <w:color w:val="auto"/>
          <w:lang w:val="en-US" w:eastAsia="zh-CN"/>
        </w:rPr>
        <w:t>300.63</w:t>
      </w:r>
      <w:r>
        <w:rPr>
          <w:rFonts w:hint="eastAsia"/>
          <w:color w:val="auto"/>
        </w:rPr>
        <w:t>m</w:t>
      </w:r>
      <w:r>
        <w:rPr>
          <w:rFonts w:hint="eastAsia"/>
          <w:color w:val="auto"/>
          <w:vertAlign w:val="superscript"/>
        </w:rPr>
        <w:t>3</w:t>
      </w:r>
      <w:r>
        <w:rPr>
          <w:rFonts w:hint="eastAsia"/>
          <w:color w:val="auto"/>
        </w:rPr>
        <w:t>。因此，建设1座</w:t>
      </w:r>
      <w:r>
        <w:rPr>
          <w:rFonts w:hint="eastAsia"/>
          <w:color w:val="auto"/>
          <w:lang w:val="en-US" w:eastAsia="zh-CN"/>
        </w:rPr>
        <w:t>35</w:t>
      </w:r>
      <w:r>
        <w:rPr>
          <w:color w:val="auto"/>
        </w:rPr>
        <w:t>0</w:t>
      </w:r>
      <w:r>
        <w:rPr>
          <w:rFonts w:hint="eastAsia"/>
          <w:color w:val="auto"/>
        </w:rPr>
        <w:t>m</w:t>
      </w:r>
      <w:r>
        <w:rPr>
          <w:rFonts w:hint="eastAsia"/>
          <w:color w:val="auto"/>
          <w:vertAlign w:val="superscript"/>
        </w:rPr>
        <w:t>3</w:t>
      </w:r>
      <w:r>
        <w:rPr>
          <w:rFonts w:hint="eastAsia"/>
          <w:color w:val="auto"/>
        </w:rPr>
        <w:t>的事故应急池可行。</w:t>
      </w:r>
    </w:p>
    <w:p>
      <w:pPr>
        <w:ind w:firstLine="480"/>
        <w:rPr>
          <w:rFonts w:hint="eastAsia"/>
          <w:color w:val="auto"/>
        </w:rPr>
      </w:pPr>
      <w:r>
        <w:rPr>
          <w:rFonts w:hint="eastAsia"/>
          <w:color w:val="auto"/>
        </w:rPr>
        <w:t>（</w:t>
      </w:r>
      <w:r>
        <w:rPr>
          <w:color w:val="auto"/>
        </w:rPr>
        <w:t>4</w:t>
      </w:r>
      <w:r>
        <w:rPr>
          <w:rFonts w:hint="eastAsia"/>
          <w:color w:val="auto"/>
        </w:rPr>
        <w:t>）设置备用电源、备用处理设备和零件，以备停电或设备出现故障时保障及时更换，保证废水能及时处理。污水处理系统各功能泵一般设置为一用一备，进一步确保了污水处理系统正常运行，避免事故溢流或不达标出水。</w:t>
      </w:r>
    </w:p>
    <w:p>
      <w:pPr>
        <w:ind w:firstLine="480"/>
        <w:rPr>
          <w:color w:val="auto"/>
        </w:rPr>
      </w:pPr>
      <w:r>
        <w:rPr>
          <w:rFonts w:hint="eastAsia"/>
          <w:color w:val="auto"/>
        </w:rPr>
        <w:t>（</w:t>
      </w:r>
      <w:r>
        <w:rPr>
          <w:color w:val="auto"/>
        </w:rPr>
        <w:t>5</w:t>
      </w:r>
      <w:r>
        <w:rPr>
          <w:rFonts w:hint="eastAsia"/>
          <w:color w:val="auto"/>
        </w:rPr>
        <w:t>）对员工进行岗位培训，持证上岗；日常监测需做好值班记录，实行岗位责任制。</w:t>
      </w:r>
    </w:p>
    <w:p>
      <w:pPr>
        <w:pStyle w:val="9"/>
        <w:spacing w:before="120" w:beforeLines="50"/>
        <w:rPr>
          <w:rFonts w:hint="eastAsia"/>
          <w:color w:val="auto"/>
        </w:rPr>
      </w:pPr>
      <w:r>
        <w:rPr>
          <w:rFonts w:hint="eastAsia"/>
          <w:color w:val="auto"/>
        </w:rPr>
        <w:t>暴雨灾害风险防范措施</w:t>
      </w:r>
    </w:p>
    <w:p>
      <w:pPr>
        <w:ind w:firstLine="480"/>
        <w:rPr>
          <w:rFonts w:hint="eastAsia"/>
          <w:color w:val="auto"/>
        </w:rPr>
      </w:pPr>
      <w:r>
        <w:rPr>
          <w:rFonts w:hint="eastAsia"/>
          <w:color w:val="auto"/>
        </w:rPr>
        <w:t>项目实行雨污分流，场内雨水通过雨水沟排入厂外排水沟。同时采取如下措施：</w:t>
      </w:r>
    </w:p>
    <w:p>
      <w:pPr>
        <w:ind w:firstLine="480"/>
        <w:rPr>
          <w:rFonts w:hint="eastAsia"/>
          <w:color w:val="auto"/>
        </w:rPr>
      </w:pPr>
      <w:r>
        <w:rPr>
          <w:rFonts w:hint="eastAsia"/>
          <w:color w:val="auto"/>
        </w:rPr>
        <w:t>（1）养殖场的排水系统实行雨污分流，避免雨水进入</w:t>
      </w:r>
      <w:r>
        <w:rPr>
          <w:rFonts w:hint="eastAsia"/>
          <w:color w:val="auto"/>
          <w:lang w:val="en-US" w:eastAsia="zh-CN"/>
        </w:rPr>
        <w:t>收集池</w:t>
      </w:r>
      <w:r>
        <w:rPr>
          <w:rFonts w:hint="eastAsia"/>
          <w:color w:val="auto"/>
        </w:rPr>
        <w:t>等污水处理构筑物、</w:t>
      </w:r>
      <w:r>
        <w:rPr>
          <w:rFonts w:hint="eastAsia"/>
          <w:color w:val="auto"/>
          <w:lang w:val="en-US" w:eastAsia="zh-CN"/>
        </w:rPr>
        <w:t>干粪堆场</w:t>
      </w:r>
      <w:r>
        <w:rPr>
          <w:rFonts w:hint="eastAsia"/>
          <w:color w:val="auto"/>
        </w:rPr>
        <w:t>；排污系统全部设为暗管，避免雨水进入排污管内。</w:t>
      </w:r>
    </w:p>
    <w:p>
      <w:pPr>
        <w:ind w:firstLine="480"/>
        <w:rPr>
          <w:rFonts w:hint="eastAsia"/>
          <w:color w:val="auto"/>
        </w:rPr>
      </w:pPr>
      <w:r>
        <w:rPr>
          <w:rFonts w:hint="eastAsia"/>
          <w:color w:val="auto"/>
        </w:rPr>
        <w:t>（2）</w:t>
      </w:r>
      <w:r>
        <w:rPr>
          <w:rFonts w:hint="eastAsia"/>
          <w:color w:val="auto"/>
          <w:lang w:val="en-US" w:eastAsia="zh-CN"/>
        </w:rPr>
        <w:t>收集池设为地下封闭式</w:t>
      </w:r>
      <w:r>
        <w:rPr>
          <w:rFonts w:hint="eastAsia"/>
          <w:color w:val="auto"/>
        </w:rPr>
        <w:t>，防止雨水进入造成溢流污染地表水。</w:t>
      </w:r>
    </w:p>
    <w:p>
      <w:pPr>
        <w:ind w:firstLine="480"/>
        <w:rPr>
          <w:rFonts w:hint="eastAsia"/>
          <w:color w:val="auto"/>
        </w:rPr>
      </w:pPr>
      <w:r>
        <w:rPr>
          <w:rFonts w:hint="eastAsia"/>
          <w:color w:val="auto"/>
        </w:rPr>
        <w:t>（3）对坡度较大的堡坎及护坡，进行加固及绿化。</w:t>
      </w:r>
    </w:p>
    <w:p>
      <w:pPr>
        <w:ind w:firstLine="480"/>
        <w:rPr>
          <w:rFonts w:hint="eastAsia"/>
          <w:color w:val="auto"/>
        </w:rPr>
      </w:pPr>
      <w:r>
        <w:rPr>
          <w:rFonts w:hint="eastAsia"/>
          <w:color w:val="auto"/>
        </w:rPr>
        <w:t>（4）</w:t>
      </w:r>
      <w:r>
        <w:rPr>
          <w:rFonts w:hint="eastAsia"/>
          <w:color w:val="auto"/>
          <w:lang w:val="en-US" w:eastAsia="zh-CN"/>
        </w:rPr>
        <w:t>干粪堆场</w:t>
      </w:r>
      <w:r>
        <w:rPr>
          <w:rFonts w:hint="eastAsia"/>
          <w:color w:val="auto"/>
        </w:rPr>
        <w:t>地面应高出场地地面0.5m以上，防止雨水进入，导致污染物外泄。</w:t>
      </w:r>
    </w:p>
    <w:p>
      <w:pPr>
        <w:ind w:firstLine="480"/>
        <w:rPr>
          <w:color w:val="auto"/>
        </w:rPr>
      </w:pPr>
      <w:r>
        <w:rPr>
          <w:rFonts w:hint="eastAsia"/>
          <w:color w:val="auto"/>
        </w:rPr>
        <w:t>污水处理系统各池体、建筑物周边设置雨水沟，避免厂区内汇集的雨水流入池内而造成池内污水外溢。</w:t>
      </w:r>
    </w:p>
    <w:p>
      <w:pPr>
        <w:pStyle w:val="9"/>
        <w:spacing w:before="120" w:beforeLines="50"/>
        <w:rPr>
          <w:rFonts w:hint="eastAsia"/>
          <w:b/>
          <w:color w:val="auto"/>
        </w:rPr>
      </w:pPr>
      <w:r>
        <w:rPr>
          <w:rFonts w:hint="eastAsia"/>
          <w:color w:val="auto"/>
        </w:rPr>
        <w:t>畜禽疫病事故风险防范措施</w:t>
      </w:r>
    </w:p>
    <w:p>
      <w:pPr>
        <w:ind w:firstLine="480"/>
        <w:rPr>
          <w:color w:val="auto"/>
        </w:rPr>
      </w:pPr>
      <w:r>
        <w:rPr>
          <w:rFonts w:hint="eastAsia"/>
          <w:color w:val="auto"/>
        </w:rPr>
        <w:t>防止猪疫情主要从以下方面着手：养猪场的卫生控制、饲养管理疫病监测和控制等方面入手。</w:t>
      </w:r>
    </w:p>
    <w:p>
      <w:pPr>
        <w:ind w:firstLine="480"/>
        <w:rPr>
          <w:color w:val="auto"/>
        </w:rPr>
      </w:pPr>
      <w:r>
        <w:rPr>
          <w:rFonts w:hint="eastAsia"/>
          <w:color w:val="auto"/>
        </w:rPr>
        <w:t>（1）养猪场卫生要求</w:t>
      </w:r>
    </w:p>
    <w:p>
      <w:pPr>
        <w:ind w:firstLine="480"/>
        <w:rPr>
          <w:color w:val="auto"/>
        </w:rPr>
      </w:pPr>
      <w:r>
        <w:rPr>
          <w:rFonts w:hint="eastAsia"/>
          <w:color w:val="auto"/>
        </w:rPr>
        <w:t>①建筑布局：养猪场应严格执行生产区和生活管理区相隔离的原则。人员、动物和物质运转应采取单一流向，以防止污染和疫病传播。</w:t>
      </w:r>
    </w:p>
    <w:p>
      <w:pPr>
        <w:ind w:firstLine="480"/>
        <w:rPr>
          <w:rFonts w:hint="eastAsia"/>
          <w:color w:val="auto"/>
        </w:rPr>
      </w:pPr>
      <w:r>
        <w:rPr>
          <w:rFonts w:hint="eastAsia"/>
          <w:color w:val="auto"/>
        </w:rPr>
        <w:t>②建筑材料：构建场房材料特别是猪舍及其设备，应对猪无害且易于清洗和消毒。</w:t>
      </w:r>
    </w:p>
    <w:p>
      <w:pPr>
        <w:ind w:firstLine="480"/>
        <w:rPr>
          <w:rFonts w:hint="eastAsia"/>
          <w:color w:val="auto"/>
        </w:rPr>
      </w:pPr>
      <w:r>
        <w:rPr>
          <w:rFonts w:hint="eastAsia"/>
          <w:color w:val="auto"/>
        </w:rPr>
        <w:t xml:space="preserve">③隔离、加热和通风设施：猪舍的隔离、加热和通风设施，应保证空气流通、防尘、温度和空气相对温度适宜，以防对猪只造成伤害。 </w:t>
      </w:r>
    </w:p>
    <w:p>
      <w:pPr>
        <w:ind w:firstLine="480"/>
        <w:rPr>
          <w:rFonts w:hint="eastAsia"/>
          <w:color w:val="auto"/>
        </w:rPr>
      </w:pPr>
      <w:r>
        <w:rPr>
          <w:rFonts w:hint="eastAsia"/>
          <w:color w:val="auto"/>
        </w:rPr>
        <w:t xml:space="preserve">④光照条件：猪舍应具有适宜的光照，并和气候条件相适应，不得使猪长时间处于黑暗中。光照可采用自然光或人工光。对于后者，时间应和自然光照时间大致相同，一般维持在9:00-17:00之间。此外，光线应具有足够的强度，以便对猪只实施检查。 </w:t>
      </w:r>
    </w:p>
    <w:p>
      <w:pPr>
        <w:ind w:firstLine="480"/>
        <w:rPr>
          <w:color w:val="auto"/>
        </w:rPr>
      </w:pPr>
      <w:r>
        <w:rPr>
          <w:rFonts w:hint="eastAsia"/>
          <w:color w:val="auto"/>
        </w:rPr>
        <w:t>⑤猪舍地面设置：地面应平整防滑，以防对猪只造成伤害。地面的设计还应考虑到猪只站立时可能受到的伤害，应考虑到猪只的体形和体重，地面应稳固、平整和舒适。猪只躺卧区应清洁舒适，易于排水，且不能对猪造成伤害。使用漏缝地板的猪舍也应充分考虑上述保护性原则。</w:t>
      </w:r>
    </w:p>
    <w:p>
      <w:pPr>
        <w:ind w:firstLine="480"/>
        <w:rPr>
          <w:color w:val="auto"/>
        </w:rPr>
      </w:pPr>
      <w:r>
        <w:rPr>
          <w:rFonts w:hint="eastAsia"/>
          <w:color w:val="auto"/>
        </w:rPr>
        <w:t>⑥饲喂设施：猪只饲喂和饮水设备应设计建造合理、材料坚固、无毒无害，且易于清洗消毒。</w:t>
      </w:r>
    </w:p>
    <w:p>
      <w:pPr>
        <w:ind w:firstLine="480"/>
        <w:rPr>
          <w:color w:val="auto"/>
        </w:rPr>
      </w:pPr>
      <w:r>
        <w:rPr>
          <w:rFonts w:hint="eastAsia"/>
          <w:color w:val="auto"/>
        </w:rPr>
        <w:t>⑦消毒设施：养猪场应备有良好的清洗消毒设施，防止疫病传播，并对养猪场及其相应设施如车辆等进行定期清洗消毒。</w:t>
      </w:r>
    </w:p>
    <w:p>
      <w:pPr>
        <w:ind w:firstLine="480"/>
        <w:rPr>
          <w:rFonts w:hint="eastAsia"/>
          <w:color w:val="auto"/>
        </w:rPr>
      </w:pPr>
      <w:r>
        <w:rPr>
          <w:rFonts w:hint="eastAsia"/>
          <w:color w:val="auto"/>
        </w:rPr>
        <w:t xml:space="preserve">⑧粪便处理设施：养猪场应具备有效的粪便和污水处理系统，并保证环境卫生质量达到NY/T 388规定的标准。 </w:t>
      </w:r>
    </w:p>
    <w:p>
      <w:pPr>
        <w:ind w:firstLine="480"/>
        <w:rPr>
          <w:color w:val="auto"/>
        </w:rPr>
      </w:pPr>
      <w:r>
        <w:rPr>
          <w:rFonts w:hint="eastAsia"/>
          <w:color w:val="auto"/>
        </w:rPr>
        <w:t>（2）饲养管理</w:t>
      </w:r>
    </w:p>
    <w:p>
      <w:pPr>
        <w:ind w:firstLine="480"/>
        <w:rPr>
          <w:color w:val="auto"/>
        </w:rPr>
      </w:pPr>
      <w:r>
        <w:rPr>
          <w:rFonts w:hint="eastAsia"/>
          <w:color w:val="auto"/>
        </w:rPr>
        <w:t>①工作人员和参加人员要求：</w:t>
      </w:r>
    </w:p>
    <w:p>
      <w:pPr>
        <w:ind w:firstLine="480"/>
        <w:rPr>
          <w:color w:val="auto"/>
        </w:rPr>
      </w:pPr>
      <w:r>
        <w:rPr>
          <w:rFonts w:hint="eastAsia"/>
          <w:color w:val="auto"/>
        </w:rPr>
        <w:t>工作人员应定期检验身体，不得患有任何人畜共患病。工作人员不可经常回家，往返工作岗位时应沐浴消毒。</w:t>
      </w:r>
    </w:p>
    <w:p>
      <w:pPr>
        <w:ind w:firstLine="480"/>
        <w:rPr>
          <w:color w:val="auto"/>
        </w:rPr>
      </w:pPr>
      <w:r>
        <w:rPr>
          <w:rFonts w:hint="eastAsia"/>
          <w:color w:val="auto"/>
        </w:rPr>
        <w:t>工作人员应穿戴工作服，非生产人员应尽量“谢绝参观”。特殊条件下，非生产人员可穿戴防护服入场参观。</w:t>
      </w:r>
    </w:p>
    <w:p>
      <w:pPr>
        <w:ind w:firstLine="480"/>
        <w:rPr>
          <w:rFonts w:hint="eastAsia"/>
          <w:color w:val="auto"/>
        </w:rPr>
      </w:pPr>
      <w:r>
        <w:rPr>
          <w:rFonts w:hint="eastAsia"/>
          <w:color w:val="auto"/>
        </w:rPr>
        <w:t>②饲料使用规范：使用饲料应遵照NY/T471的规定。</w:t>
      </w:r>
    </w:p>
    <w:p>
      <w:pPr>
        <w:ind w:firstLine="480"/>
        <w:rPr>
          <w:rFonts w:hint="eastAsia"/>
          <w:color w:val="auto"/>
        </w:rPr>
      </w:pPr>
      <w:r>
        <w:rPr>
          <w:rFonts w:hint="eastAsia"/>
          <w:color w:val="auto"/>
        </w:rPr>
        <w:t>③使用兽药和残留监测规范：使用兽药应遵照NY/T47</w:t>
      </w:r>
      <w:r>
        <w:rPr>
          <w:color w:val="auto"/>
        </w:rPr>
        <w:t>2</w:t>
      </w:r>
      <w:r>
        <w:rPr>
          <w:rFonts w:hint="eastAsia"/>
          <w:color w:val="auto"/>
        </w:rPr>
        <w:t>规定，并做好记录，记录应保存两年以上。残留监测应符合动物性食品中兽药残留最高限量标准和NY/T472的规定。</w:t>
      </w:r>
    </w:p>
    <w:p>
      <w:pPr>
        <w:ind w:firstLine="480"/>
        <w:rPr>
          <w:rFonts w:hint="eastAsia"/>
          <w:color w:val="auto"/>
        </w:rPr>
      </w:pPr>
      <w:r>
        <w:rPr>
          <w:rFonts w:hint="eastAsia"/>
          <w:color w:val="auto"/>
        </w:rPr>
        <w:t>④饲养密度</w:t>
      </w:r>
    </w:p>
    <w:p>
      <w:pPr>
        <w:ind w:firstLine="480"/>
        <w:rPr>
          <w:color w:val="auto"/>
        </w:rPr>
      </w:pPr>
      <w:r>
        <w:rPr>
          <w:rFonts w:hint="eastAsia"/>
          <w:color w:val="auto"/>
        </w:rPr>
        <w:t>任何养猪场，其饲养密度应能保证动物自由平躺、休息和站立，在此要求条件下，每头猪所占面积宜达到《规模猪场建设》（GB/T 17824.1-2008）规定的标准。</w:t>
      </w:r>
    </w:p>
    <w:p>
      <w:pPr>
        <w:ind w:firstLine="480"/>
        <w:rPr>
          <w:rFonts w:hint="eastAsia"/>
          <w:color w:val="auto"/>
        </w:rPr>
      </w:pPr>
    </w:p>
    <w:p>
      <w:pPr>
        <w:spacing w:line="240" w:lineRule="auto"/>
        <w:ind w:firstLine="0" w:firstLineChars="0"/>
        <w:jc w:val="center"/>
        <w:rPr>
          <w:b/>
          <w:color w:val="auto"/>
          <w:sz w:val="21"/>
          <w:szCs w:val="21"/>
        </w:rPr>
      </w:pPr>
      <w:r>
        <w:rPr>
          <w:rFonts w:hint="eastAsia"/>
          <w:b/>
          <w:color w:val="auto"/>
          <w:sz w:val="21"/>
          <w:szCs w:val="21"/>
        </w:rPr>
        <w:t>表</w:t>
      </w:r>
      <w:r>
        <w:rPr>
          <w:b/>
          <w:color w:val="auto"/>
          <w:sz w:val="21"/>
          <w:szCs w:val="21"/>
        </w:rPr>
        <w:t>6.6</w:t>
      </w:r>
      <w:r>
        <w:rPr>
          <w:rFonts w:hint="eastAsia"/>
          <w:b/>
          <w:color w:val="auto"/>
          <w:sz w:val="21"/>
          <w:szCs w:val="21"/>
        </w:rPr>
        <w:t>-</w:t>
      </w:r>
      <w:r>
        <w:rPr>
          <w:b/>
          <w:color w:val="auto"/>
          <w:sz w:val="21"/>
          <w:szCs w:val="21"/>
        </w:rPr>
        <w:t xml:space="preserve">1 </w:t>
      </w:r>
      <w:r>
        <w:rPr>
          <w:rFonts w:hint="eastAsia"/>
          <w:b/>
          <w:color w:val="auto"/>
          <w:sz w:val="21"/>
          <w:szCs w:val="21"/>
        </w:rPr>
        <w:t xml:space="preserve"> 饲养猪只密度</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01"/>
        <w:gridCol w:w="3001"/>
        <w:gridCol w:w="3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01" w:type="dxa"/>
            <w:noWrap w:val="0"/>
            <w:vAlign w:val="top"/>
          </w:tcPr>
          <w:p>
            <w:pPr>
              <w:spacing w:line="240" w:lineRule="auto"/>
              <w:ind w:firstLine="0" w:firstLineChars="0"/>
              <w:jc w:val="center"/>
              <w:rPr>
                <w:b/>
                <w:color w:val="auto"/>
                <w:sz w:val="21"/>
                <w:szCs w:val="21"/>
              </w:rPr>
            </w:pPr>
            <w:r>
              <w:rPr>
                <w:b/>
                <w:color w:val="auto"/>
                <w:sz w:val="21"/>
                <w:szCs w:val="21"/>
              </w:rPr>
              <w:t>猪群类别</w:t>
            </w:r>
          </w:p>
        </w:tc>
        <w:tc>
          <w:tcPr>
            <w:tcW w:w="3001" w:type="dxa"/>
            <w:noWrap w:val="0"/>
            <w:vAlign w:val="top"/>
          </w:tcPr>
          <w:p>
            <w:pPr>
              <w:spacing w:line="240" w:lineRule="auto"/>
              <w:ind w:firstLine="0" w:firstLineChars="0"/>
              <w:jc w:val="center"/>
              <w:rPr>
                <w:rFonts w:hint="eastAsia"/>
                <w:b/>
                <w:color w:val="auto"/>
                <w:sz w:val="21"/>
                <w:szCs w:val="21"/>
              </w:rPr>
            </w:pPr>
            <w:r>
              <w:rPr>
                <w:b/>
                <w:color w:val="auto"/>
                <w:sz w:val="21"/>
                <w:szCs w:val="21"/>
              </w:rPr>
              <w:t>每栏饲养猪头数</w:t>
            </w:r>
          </w:p>
        </w:tc>
        <w:tc>
          <w:tcPr>
            <w:tcW w:w="3001" w:type="dxa"/>
            <w:noWrap w:val="0"/>
            <w:vAlign w:val="top"/>
          </w:tcPr>
          <w:p>
            <w:pPr>
              <w:spacing w:line="240" w:lineRule="auto"/>
              <w:ind w:firstLine="0" w:firstLineChars="0"/>
              <w:jc w:val="center"/>
              <w:rPr>
                <w:rFonts w:hint="eastAsia"/>
                <w:b/>
                <w:color w:val="auto"/>
                <w:sz w:val="21"/>
                <w:szCs w:val="21"/>
              </w:rPr>
            </w:pPr>
            <w:r>
              <w:rPr>
                <w:b/>
                <w:color w:val="auto"/>
                <w:sz w:val="21"/>
                <w:szCs w:val="21"/>
              </w:rPr>
              <w:t>每头占床面积</w:t>
            </w:r>
            <w:r>
              <w:rPr>
                <w:rFonts w:hint="eastAsia"/>
                <w:b/>
                <w:color w:val="auto"/>
                <w:sz w:val="21"/>
                <w:szCs w:val="21"/>
              </w:rPr>
              <w:t>/（m</w:t>
            </w:r>
            <w:r>
              <w:rPr>
                <w:b/>
                <w:color w:val="auto"/>
                <w:sz w:val="21"/>
                <w:szCs w:val="21"/>
                <w:vertAlign w:val="superscript"/>
              </w:rPr>
              <w:t>2</w:t>
            </w:r>
            <w:r>
              <w:rPr>
                <w:b/>
                <w:color w:val="auto"/>
                <w:sz w:val="21"/>
                <w:szCs w:val="21"/>
              </w:rPr>
              <w:t>/头</w:t>
            </w:r>
            <w:r>
              <w:rPr>
                <w:rFonts w:hint="eastAsia"/>
                <w:b/>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01" w:type="dxa"/>
            <w:noWrap w:val="0"/>
            <w:vAlign w:val="top"/>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生长育肥猪</w:t>
            </w:r>
          </w:p>
        </w:tc>
        <w:tc>
          <w:tcPr>
            <w:tcW w:w="3001" w:type="dxa"/>
            <w:noWrap w:val="0"/>
            <w:vAlign w:val="top"/>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9-10</w:t>
            </w:r>
          </w:p>
        </w:tc>
        <w:tc>
          <w:tcPr>
            <w:tcW w:w="3001" w:type="dxa"/>
            <w:noWrap w:val="0"/>
            <w:vAlign w:val="top"/>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0.8-1.2</w:t>
            </w:r>
          </w:p>
        </w:tc>
      </w:tr>
    </w:tbl>
    <w:p>
      <w:pPr>
        <w:spacing w:before="120" w:beforeLines="50"/>
        <w:ind w:firstLine="480"/>
        <w:rPr>
          <w:rFonts w:hint="eastAsia"/>
          <w:color w:val="auto"/>
        </w:rPr>
      </w:pPr>
      <w:r>
        <w:rPr>
          <w:rFonts w:hint="eastAsia"/>
          <w:color w:val="auto"/>
        </w:rPr>
        <w:t>⑤饲喂卫生</w:t>
      </w:r>
    </w:p>
    <w:p>
      <w:pPr>
        <w:ind w:firstLine="480"/>
        <w:rPr>
          <w:rFonts w:hint="eastAsia"/>
          <w:color w:val="auto"/>
        </w:rPr>
      </w:pPr>
      <w:r>
        <w:rPr>
          <w:rFonts w:hint="eastAsia"/>
          <w:color w:val="auto"/>
        </w:rPr>
        <w:t xml:space="preserve">猪只的饲料应考虑到其年龄、体重、行为和生理需求，保证其健康成长，维持其正常机能。两周龄以上的猪只应提供足够的清洁饮水，或通过饮用其他液体食物保证其日常需水要求。 </w:t>
      </w:r>
    </w:p>
    <w:p>
      <w:pPr>
        <w:ind w:firstLine="480"/>
        <w:rPr>
          <w:rFonts w:hint="eastAsia"/>
          <w:color w:val="auto"/>
        </w:rPr>
      </w:pPr>
      <w:r>
        <w:rPr>
          <w:rFonts w:hint="eastAsia"/>
          <w:color w:val="auto"/>
        </w:rPr>
        <w:t>⑥日常健康检查和护理</w:t>
      </w:r>
    </w:p>
    <w:p>
      <w:pPr>
        <w:ind w:firstLine="480"/>
        <w:rPr>
          <w:rFonts w:hint="eastAsia"/>
          <w:color w:val="auto"/>
        </w:rPr>
      </w:pPr>
      <w:r>
        <w:rPr>
          <w:rFonts w:hint="eastAsia"/>
          <w:color w:val="auto"/>
        </w:rPr>
        <w:t>对于群饲和舍饲猪，饲养员每天应对所有的猪只进行检查。所有疑似发病或受伤猪应立即接受治疗。</w:t>
      </w:r>
    </w:p>
    <w:p>
      <w:pPr>
        <w:ind w:firstLine="480"/>
        <w:rPr>
          <w:rFonts w:hint="eastAsia"/>
          <w:color w:val="auto"/>
        </w:rPr>
      </w:pPr>
      <w:r>
        <w:rPr>
          <w:rFonts w:hint="eastAsia"/>
          <w:color w:val="auto"/>
        </w:rPr>
        <w:t>对疑似发生传染病的猪只，应立即隔离，通知官方兽医，并将疫病确诊所需样品送往指定实验室进行诊断，一旦确诊，应立即报告当地畜牧兽医行政管理部门。</w:t>
      </w:r>
    </w:p>
    <w:p>
      <w:pPr>
        <w:ind w:firstLine="480"/>
        <w:rPr>
          <w:rFonts w:hint="eastAsia"/>
          <w:color w:val="auto"/>
        </w:rPr>
      </w:pPr>
      <w:r>
        <w:rPr>
          <w:rFonts w:hint="eastAsia"/>
          <w:color w:val="auto"/>
        </w:rPr>
        <w:t>⑦日常清洗和消毒</w:t>
      </w:r>
    </w:p>
    <w:p>
      <w:pPr>
        <w:ind w:firstLine="480"/>
        <w:rPr>
          <w:color w:val="auto"/>
        </w:rPr>
      </w:pPr>
      <w:r>
        <w:rPr>
          <w:rFonts w:hint="eastAsia"/>
          <w:color w:val="auto"/>
        </w:rPr>
        <w:t>房舍、圈舍、设备和器皿应易于清洗和消毒，以防交叉感染和病原微生物的积聚。粪、尿和饲料残渣应经常消除，以防异味以及苍蝇和啮齿动物孳生。</w:t>
      </w:r>
    </w:p>
    <w:p>
      <w:pPr>
        <w:ind w:firstLine="480"/>
        <w:rPr>
          <w:color w:val="auto"/>
        </w:rPr>
      </w:pPr>
      <w:r>
        <w:rPr>
          <w:rFonts w:hint="eastAsia"/>
          <w:color w:val="auto"/>
        </w:rPr>
        <w:t>（3）疫病监测和控制方案</w:t>
      </w:r>
    </w:p>
    <w:p>
      <w:pPr>
        <w:ind w:firstLine="480"/>
        <w:rPr>
          <w:rFonts w:hint="eastAsia"/>
          <w:color w:val="auto"/>
        </w:rPr>
      </w:pPr>
      <w:r>
        <w:rPr>
          <w:rFonts w:hint="eastAsia"/>
          <w:color w:val="auto"/>
        </w:rPr>
        <w:t xml:space="preserve">养猪场应坚持采用国家畜牧兽医行政管理部门规定的疾病监测方案，并接受当地畜牧兽医行政管理部门的监督，特别注意以下各方面。 </w:t>
      </w:r>
    </w:p>
    <w:p>
      <w:pPr>
        <w:ind w:firstLine="480"/>
        <w:rPr>
          <w:rFonts w:hint="eastAsia"/>
          <w:color w:val="auto"/>
        </w:rPr>
      </w:pPr>
      <w:r>
        <w:rPr>
          <w:rFonts w:hint="eastAsia"/>
          <w:color w:val="auto"/>
        </w:rPr>
        <w:t>1）方案的制定和监督</w:t>
      </w:r>
    </w:p>
    <w:p>
      <w:pPr>
        <w:ind w:firstLine="480"/>
        <w:rPr>
          <w:rFonts w:hint="eastAsia"/>
          <w:color w:val="auto"/>
        </w:rPr>
      </w:pPr>
      <w:r>
        <w:rPr>
          <w:rFonts w:hint="eastAsia"/>
          <w:color w:val="auto"/>
        </w:rPr>
        <w:t xml:space="preserve">任何养猪场应制定详细的符合国家畜牧兽医行政管理部门有关规定的疫病监测和控制方案，获得当地畜牧兽医行政管理部门的批准和认可，并接受当地畜牧兽医行政管理部门的监督，官方兽医至少每年对执行情况检查一次，养猪场应向当地畜牧兽医行政管理部门和官方兽医提供连续的疫情监测信息。 </w:t>
      </w:r>
    </w:p>
    <w:p>
      <w:pPr>
        <w:ind w:firstLine="480"/>
        <w:rPr>
          <w:rFonts w:hint="eastAsia"/>
          <w:color w:val="auto"/>
        </w:rPr>
      </w:pPr>
      <w:r>
        <w:rPr>
          <w:rFonts w:hint="eastAsia"/>
          <w:color w:val="auto"/>
        </w:rPr>
        <w:t>2）疫病监测和控制</w:t>
      </w:r>
    </w:p>
    <w:p>
      <w:pPr>
        <w:ind w:firstLine="480"/>
        <w:rPr>
          <w:rFonts w:hint="eastAsia"/>
          <w:color w:val="auto"/>
        </w:rPr>
      </w:pPr>
      <w:r>
        <w:rPr>
          <w:rFonts w:hint="eastAsia"/>
          <w:color w:val="auto"/>
        </w:rPr>
        <w:t>养猪场常规监测疾病种类至少应该包括：口蹄疫、猪水泡病、猪瘟、非洲猪瘟、猪伪狂犬病、肠病毒性脑脊炎（捷申病）、结核病、猪繁殖与呼吸道综合症和布鲁氏杆菌病。</w:t>
      </w:r>
    </w:p>
    <w:p>
      <w:pPr>
        <w:ind w:firstLine="480"/>
        <w:rPr>
          <w:color w:val="auto"/>
        </w:rPr>
      </w:pPr>
      <w:r>
        <w:rPr>
          <w:rFonts w:hint="eastAsia"/>
          <w:color w:val="auto"/>
        </w:rPr>
        <w:t>对于上述疾病的检测，应定期进行，怀疑发病时，应尽快报告当地畜牧兽医行政管理部门和官方兽医，并将病料送达指定实验室确诊。</w:t>
      </w:r>
    </w:p>
    <w:p>
      <w:pPr>
        <w:ind w:firstLine="480"/>
        <w:rPr>
          <w:color w:val="auto"/>
        </w:rPr>
      </w:pPr>
      <w:r>
        <w:rPr>
          <w:rFonts w:hint="eastAsia"/>
          <w:color w:val="auto"/>
        </w:rPr>
        <w:t>3）发生疫情时的紧急措施</w:t>
      </w:r>
    </w:p>
    <w:p>
      <w:pPr>
        <w:ind w:firstLine="480"/>
        <w:rPr>
          <w:rFonts w:hint="eastAsia"/>
          <w:color w:val="auto"/>
        </w:rPr>
      </w:pPr>
      <w:r>
        <w:rPr>
          <w:rFonts w:hint="eastAsia"/>
          <w:color w:val="auto"/>
        </w:rPr>
        <w:t>若不慎发生传染病，应立即采取紧急措施控制疫情：</w:t>
      </w:r>
    </w:p>
    <w:p>
      <w:pPr>
        <w:ind w:firstLine="480"/>
        <w:rPr>
          <w:rFonts w:hint="eastAsia"/>
          <w:color w:val="auto"/>
        </w:rPr>
      </w:pPr>
      <w:r>
        <w:rPr>
          <w:rFonts w:hint="eastAsia"/>
          <w:color w:val="auto"/>
        </w:rPr>
        <w:t>①封闭→隔离→每天消毒→根据临床症状、解剖变化进行疾病的初步诊断→病畜的对症治疗→采样送检确诊→紧急预防接种→取各种综合性防治措施。做到行动迅速，方法得当，措施有力，尽可能的将损失降到最低。</w:t>
      </w:r>
    </w:p>
    <w:p>
      <w:pPr>
        <w:ind w:firstLine="480"/>
        <w:rPr>
          <w:rFonts w:hint="eastAsia"/>
          <w:color w:val="auto"/>
        </w:rPr>
      </w:pPr>
      <w:r>
        <w:rPr>
          <w:rFonts w:hint="eastAsia"/>
          <w:color w:val="auto"/>
        </w:rPr>
        <w:t>②应立即按照计划组成防疫小组，尽快做出确切诊断，迅速向卫生防疫部门报告疫情。迅速隔离病猪，对危害较重的传染病应及时划区封锁，建立封锁带，出人人员和车辆要严格消毒，同时严格消毒污染环境。解除封锁的条件是在最后一头病猪痊愈后两个潜伏期内再无新病例出现，经过全面大消毒，报上级主管部门批准，方可解除封锁。</w:t>
      </w:r>
    </w:p>
    <w:p>
      <w:pPr>
        <w:ind w:firstLine="480"/>
        <w:rPr>
          <w:rFonts w:hint="eastAsia"/>
          <w:color w:val="auto"/>
        </w:rPr>
      </w:pPr>
      <w:r>
        <w:rPr>
          <w:rFonts w:hint="eastAsia"/>
          <w:color w:val="auto"/>
        </w:rPr>
        <w:t>③对病猪及封锁区内的猪实行合理的综合防制措施，包括疫苗的紧急接种、抗生素疗法、高免血清的特异性疗法、化学疗法、增强体质和生理机能的辅助疗法等。</w:t>
      </w:r>
    </w:p>
    <w:p>
      <w:pPr>
        <w:ind w:firstLine="480"/>
        <w:rPr>
          <w:rFonts w:hint="eastAsia"/>
          <w:color w:val="auto"/>
        </w:rPr>
      </w:pPr>
      <w:r>
        <w:rPr>
          <w:rFonts w:hint="eastAsia"/>
          <w:color w:val="auto"/>
        </w:rPr>
        <w:t>4）疫情控制方案</w:t>
      </w:r>
    </w:p>
    <w:p>
      <w:pPr>
        <w:ind w:firstLine="480"/>
        <w:rPr>
          <w:rFonts w:hint="eastAsia"/>
          <w:color w:val="auto"/>
        </w:rPr>
      </w:pPr>
      <w:r>
        <w:rPr>
          <w:rFonts w:hint="eastAsia"/>
          <w:color w:val="auto"/>
        </w:rPr>
        <w:t>根据《中华人民共和国动物防疫法（2015年修正）》，发生疫情时，应根据疫病类别分别采取相应的控制方案，具体如下：</w:t>
      </w:r>
    </w:p>
    <w:p>
      <w:pPr>
        <w:ind w:firstLine="480"/>
        <w:rPr>
          <w:rFonts w:hint="eastAsia"/>
          <w:color w:val="auto"/>
        </w:rPr>
      </w:pPr>
      <w:r>
        <w:rPr>
          <w:rFonts w:hint="eastAsia"/>
          <w:color w:val="auto"/>
        </w:rPr>
        <w:t>①发生一类动物疫病时，应当采取下列控制和扑灭措施：a</w:t>
      </w:r>
      <w:r>
        <w:rPr>
          <w:color w:val="auto"/>
        </w:rPr>
        <w:t>.</w:t>
      </w:r>
      <w:r>
        <w:rPr>
          <w:rFonts w:hint="eastAsia"/>
          <w:color w:val="auto"/>
        </w:rPr>
        <w:t>当地县级以上地方人民政府兽医主管部门应当立即派人到现场，划定疫点、疫区、受威胁区，调查疫源，及时报请本级人民政府对疫区实行封锁。疫区范围涉及两个以上行政区域的，由有关行政区域共同的上一级人民政府对疫区实行封锁，或者由各有关行政区域的上一级人民政府共同对疫区实行封锁。必要时，上级人民政府可以责成下级人民政府对疫区实行封锁。</w:t>
      </w:r>
      <w:r>
        <w:rPr>
          <w:color w:val="auto"/>
        </w:rPr>
        <w:t>b.</w:t>
      </w:r>
      <w:r>
        <w:rPr>
          <w:rFonts w:hint="eastAsia"/>
          <w:color w:val="auto"/>
        </w:rPr>
        <w:t>县级以上地方人民政府应当立即组织有关部门和单位采取封锁、隔离、扑杀、销毁、消毒、无害化处理、紧急免疫接种等强制性措施，迅速扑灭疫病。</w:t>
      </w:r>
      <w:r>
        <w:rPr>
          <w:color w:val="auto"/>
        </w:rPr>
        <w:t>c.</w:t>
      </w:r>
      <w:r>
        <w:rPr>
          <w:rFonts w:hint="eastAsia"/>
          <w:color w:val="auto"/>
        </w:rPr>
        <w:t>在封锁期间，禁止染疫、疑似染疫和易感染的动物、动物产品流出疫区，禁止非疫区的易感染动物进入疫区，并根据扑灭动物疫病的需要对出入疫区的人员、运输工具及有关物品采取消毒和其他限制性措施。</w:t>
      </w:r>
    </w:p>
    <w:p>
      <w:pPr>
        <w:ind w:firstLine="480"/>
        <w:rPr>
          <w:rFonts w:hint="eastAsia"/>
          <w:color w:val="auto"/>
        </w:rPr>
      </w:pPr>
      <w:r>
        <w:rPr>
          <w:rFonts w:hint="eastAsia"/>
          <w:color w:val="auto"/>
        </w:rPr>
        <w:t>②发生二类动物疫病时，应当采取下列控制和扑灭措施：a</w:t>
      </w:r>
      <w:r>
        <w:rPr>
          <w:color w:val="auto"/>
        </w:rPr>
        <w:t>.</w:t>
      </w:r>
      <w:r>
        <w:rPr>
          <w:rFonts w:hint="eastAsia"/>
          <w:color w:val="auto"/>
        </w:rPr>
        <w:t>当地县级以上地方人民政府兽医主管部门应当划定疫点、疫区、受威胁区。</w:t>
      </w:r>
      <w:r>
        <w:rPr>
          <w:color w:val="auto"/>
        </w:rPr>
        <w:t>b.</w:t>
      </w:r>
      <w:r>
        <w:rPr>
          <w:rFonts w:hint="eastAsia"/>
          <w:color w:val="auto"/>
        </w:rPr>
        <w:t>县级以上地方人民政府根据需要组织有关部门和单位采取隔离、扑杀、销毁、消毒、无害化处理、紧急免疫接种、限制易感染的动物和动物产品及有关物品出入等控制、扑灭措施。</w:t>
      </w:r>
    </w:p>
    <w:p>
      <w:pPr>
        <w:ind w:firstLine="480"/>
        <w:rPr>
          <w:color w:val="auto"/>
        </w:rPr>
      </w:pPr>
      <w:r>
        <w:rPr>
          <w:rFonts w:hint="eastAsia"/>
          <w:color w:val="auto"/>
        </w:rPr>
        <w:t>③发生三类动物疫病时，当地县级、乡级人民政府应当按照国务院兽医主管部门的规定组织防治和净化。</w:t>
      </w:r>
    </w:p>
    <w:p>
      <w:pPr>
        <w:ind w:firstLine="480"/>
        <w:rPr>
          <w:rFonts w:hint="eastAsia"/>
          <w:color w:val="auto"/>
        </w:rPr>
      </w:pPr>
      <w:r>
        <w:rPr>
          <w:rFonts w:hint="eastAsia"/>
          <w:color w:val="auto"/>
        </w:rPr>
        <w:t>④发生人畜共患传染病时，卫生主管部门应当组织对疫区易感染的人群进行监测，并采取相应的预防、控制措施。</w:t>
      </w:r>
    </w:p>
    <w:p>
      <w:pPr>
        <w:pStyle w:val="9"/>
        <w:spacing w:before="120" w:beforeLines="50"/>
        <w:rPr>
          <w:rFonts w:hint="eastAsia"/>
          <w:b/>
          <w:color w:val="auto"/>
        </w:rPr>
      </w:pPr>
      <w:r>
        <w:rPr>
          <w:rFonts w:hint="eastAsia"/>
          <w:color w:val="auto"/>
        </w:rPr>
        <w:t>事故废水外溢风险应急措施</w:t>
      </w:r>
    </w:p>
    <w:p>
      <w:pPr>
        <w:ind w:firstLine="480"/>
        <w:rPr>
          <w:rFonts w:hint="eastAsia"/>
          <w:color w:val="auto"/>
        </w:rPr>
      </w:pPr>
      <w:r>
        <w:rPr>
          <w:rFonts w:hint="eastAsia"/>
          <w:color w:val="auto"/>
        </w:rPr>
        <w:t>结合</w:t>
      </w:r>
      <w:r>
        <w:rPr>
          <w:color w:val="auto"/>
        </w:rPr>
        <w:t>本项目周边</w:t>
      </w:r>
      <w:r>
        <w:rPr>
          <w:rFonts w:hint="eastAsia"/>
          <w:color w:val="auto"/>
        </w:rPr>
        <w:t>地形及</w:t>
      </w:r>
      <w:r>
        <w:rPr>
          <w:color w:val="auto"/>
        </w:rPr>
        <w:t>水系分布特点，为防止事故时粪污废水</w:t>
      </w:r>
      <w:r>
        <w:rPr>
          <w:rFonts w:hint="eastAsia"/>
          <w:color w:val="auto"/>
        </w:rPr>
        <w:t>从</w:t>
      </w:r>
      <w:r>
        <w:rPr>
          <w:rFonts w:hint="eastAsia"/>
          <w:color w:val="auto"/>
          <w:lang w:val="en-US" w:eastAsia="zh-CN"/>
        </w:rPr>
        <w:t>东南</w:t>
      </w:r>
      <w:r>
        <w:rPr>
          <w:rFonts w:hint="eastAsia"/>
          <w:color w:val="auto"/>
        </w:rPr>
        <w:t>侧的低洼地带沟渠外溢至</w:t>
      </w:r>
      <w:r>
        <w:rPr>
          <w:rFonts w:hint="eastAsia"/>
          <w:color w:val="auto"/>
          <w:lang w:val="en-US" w:eastAsia="zh-CN"/>
        </w:rPr>
        <w:t>厂界外</w:t>
      </w:r>
      <w:r>
        <w:rPr>
          <w:color w:val="auto"/>
        </w:rPr>
        <w:t>，一旦发生废水外溢，要立即启动废水外溢应急预案，建议设置地表水三级防控机制</w:t>
      </w:r>
      <w:r>
        <w:rPr>
          <w:rFonts w:hint="eastAsia"/>
          <w:color w:val="auto"/>
        </w:rPr>
        <w:t>，项目地表水三级防控措施布置如下：</w:t>
      </w:r>
    </w:p>
    <w:p>
      <w:pPr>
        <w:ind w:firstLine="480"/>
        <w:rPr>
          <w:color w:val="auto"/>
        </w:rPr>
      </w:pPr>
      <w:r>
        <w:rPr>
          <w:color w:val="auto"/>
        </w:rPr>
        <w:t>第一级防控措施是</w:t>
      </w:r>
      <w:r>
        <w:rPr>
          <w:rFonts w:hint="eastAsia"/>
          <w:color w:val="auto"/>
        </w:rPr>
        <w:t>通过对地下</w:t>
      </w:r>
      <w:r>
        <w:rPr>
          <w:rFonts w:hint="eastAsia"/>
          <w:color w:val="auto"/>
          <w:lang w:val="en-US" w:eastAsia="zh-CN"/>
        </w:rPr>
        <w:t>收集池</w:t>
      </w:r>
      <w:r>
        <w:rPr>
          <w:rFonts w:hint="eastAsia"/>
          <w:color w:val="auto"/>
        </w:rPr>
        <w:t>进行重点防渗等措施，</w:t>
      </w:r>
      <w:r>
        <w:rPr>
          <w:rFonts w:hint="eastAsia"/>
          <w:color w:val="auto"/>
          <w:lang w:val="en-US" w:eastAsia="zh-CN"/>
        </w:rPr>
        <w:t>收集池</w:t>
      </w:r>
      <w:r>
        <w:rPr>
          <w:rFonts w:hint="eastAsia"/>
          <w:color w:val="auto"/>
        </w:rPr>
        <w:t>采用混凝土地面加铺防渗剂和人工材料（HDPE）防渗层，确保等效黏土防渗层 Mb≥6.0m，K≤1×10</w:t>
      </w:r>
      <w:r>
        <w:rPr>
          <w:rFonts w:hint="eastAsia"/>
          <w:color w:val="auto"/>
          <w:vertAlign w:val="superscript"/>
        </w:rPr>
        <w:t xml:space="preserve"> -7 </w:t>
      </w:r>
      <w:r>
        <w:rPr>
          <w:rFonts w:hint="eastAsia"/>
          <w:color w:val="auto"/>
        </w:rPr>
        <w:t>cm/s，防止粪污废水外溢；</w:t>
      </w:r>
      <w:r>
        <w:rPr>
          <w:color w:val="auto"/>
        </w:rPr>
        <w:t>；</w:t>
      </w:r>
    </w:p>
    <w:p>
      <w:pPr>
        <w:ind w:firstLine="480"/>
        <w:rPr>
          <w:rFonts w:hint="eastAsia"/>
          <w:color w:val="auto"/>
        </w:rPr>
      </w:pPr>
      <w:r>
        <w:rPr>
          <w:color w:val="auto"/>
        </w:rPr>
        <w:t>第二级防控措施是在</w:t>
      </w:r>
      <w:r>
        <w:rPr>
          <w:rFonts w:hint="eastAsia"/>
          <w:color w:val="auto"/>
        </w:rPr>
        <w:t>猪场周围、集污池</w:t>
      </w:r>
      <w:r>
        <w:rPr>
          <w:color w:val="auto"/>
        </w:rPr>
        <w:t>周围设截水沟，将从</w:t>
      </w:r>
      <w:r>
        <w:rPr>
          <w:rFonts w:hint="eastAsia"/>
          <w:color w:val="auto"/>
        </w:rPr>
        <w:t>猪场、</w:t>
      </w:r>
      <w:r>
        <w:rPr>
          <w:rFonts w:hint="eastAsia"/>
          <w:color w:val="auto"/>
          <w:lang w:val="en-US" w:eastAsia="zh-CN"/>
        </w:rPr>
        <w:t>收集池</w:t>
      </w:r>
      <w:r>
        <w:rPr>
          <w:color w:val="auto"/>
        </w:rPr>
        <w:t>池溢</w:t>
      </w:r>
      <w:r>
        <w:rPr>
          <w:rFonts w:hint="eastAsia"/>
          <w:color w:val="auto"/>
        </w:rPr>
        <w:t>出</w:t>
      </w:r>
      <w:r>
        <w:rPr>
          <w:color w:val="auto"/>
        </w:rPr>
        <w:t>的污水截留下来，截留的粪污废水收集至</w:t>
      </w:r>
      <w:r>
        <w:rPr>
          <w:rFonts w:hint="eastAsia"/>
          <w:color w:val="auto"/>
        </w:rPr>
        <w:t>集污</w:t>
      </w:r>
      <w:r>
        <w:rPr>
          <w:color w:val="auto"/>
        </w:rPr>
        <w:t>池中</w:t>
      </w:r>
      <w:r>
        <w:rPr>
          <w:rFonts w:hint="eastAsia"/>
          <w:color w:val="auto"/>
        </w:rPr>
        <w:t>；</w:t>
      </w:r>
    </w:p>
    <w:p>
      <w:pPr>
        <w:ind w:firstLine="480"/>
        <w:rPr>
          <w:color w:val="auto"/>
        </w:rPr>
      </w:pPr>
      <w:r>
        <w:rPr>
          <w:color w:val="auto"/>
        </w:rPr>
        <w:t>第三级防控措施是在</w:t>
      </w:r>
      <w:r>
        <w:rPr>
          <w:rFonts w:hint="eastAsia"/>
          <w:color w:val="auto"/>
        </w:rPr>
        <w:t>发生粪污废水外溢事故时，在集污</w:t>
      </w:r>
      <w:r>
        <w:rPr>
          <w:color w:val="auto"/>
        </w:rPr>
        <w:t>池</w:t>
      </w:r>
      <w:r>
        <w:rPr>
          <w:rFonts w:hint="eastAsia"/>
          <w:color w:val="auto"/>
        </w:rPr>
        <w:t>周围的低洼区域和外溢口处采用沙包、装土编织袋等拦截措施阻拦外溢废水，避免废水流入外环境之中</w:t>
      </w:r>
      <w:r>
        <w:rPr>
          <w:color w:val="auto"/>
        </w:rPr>
        <w:t>。</w:t>
      </w:r>
    </w:p>
    <w:p>
      <w:pPr>
        <w:ind w:firstLine="480"/>
        <w:rPr>
          <w:color w:val="auto"/>
        </w:rPr>
      </w:pPr>
      <w:r>
        <w:rPr>
          <w:color w:val="auto"/>
        </w:rPr>
        <w:t>在采取上述措施并加强管理的基础上，</w:t>
      </w:r>
      <w:r>
        <w:rPr>
          <w:rFonts w:hint="eastAsia"/>
          <w:color w:val="auto"/>
        </w:rPr>
        <w:t>项目</w:t>
      </w:r>
      <w:r>
        <w:rPr>
          <w:color w:val="auto"/>
        </w:rPr>
        <w:t>粪污废水外溢或泄漏的风险在可接受水平。</w:t>
      </w:r>
    </w:p>
    <w:p>
      <w:pPr>
        <w:pStyle w:val="9"/>
        <w:spacing w:before="120" w:beforeLines="50"/>
        <w:rPr>
          <w:color w:val="auto"/>
        </w:rPr>
      </w:pPr>
      <w:r>
        <w:rPr>
          <w:rFonts w:hint="eastAsia"/>
          <w:color w:val="auto"/>
        </w:rPr>
        <w:t>沼液运输过程中的风险分析</w:t>
      </w:r>
    </w:p>
    <w:p>
      <w:pPr>
        <w:ind w:firstLine="480"/>
        <w:rPr>
          <w:rFonts w:hint="eastAsia"/>
          <w:color w:val="auto"/>
        </w:rPr>
      </w:pPr>
      <w:r>
        <w:rPr>
          <w:rFonts w:hint="eastAsia"/>
          <w:color w:val="auto"/>
        </w:rPr>
        <w:t>为降低沼液转运对地表水的污染风险，确保本项目沼液得到妥善利用，本着切实保护环境的原则，本项目沼液转运过程中，需采取如下措施：</w:t>
      </w:r>
    </w:p>
    <w:p>
      <w:pPr>
        <w:ind w:firstLine="480"/>
        <w:rPr>
          <w:rFonts w:hint="eastAsia"/>
          <w:color w:val="auto"/>
        </w:rPr>
      </w:pPr>
      <w:r>
        <w:rPr>
          <w:rFonts w:hint="eastAsia"/>
          <w:color w:val="auto"/>
        </w:rPr>
        <w:t>1）建立建设单位与当地政府、生态环境局等相关部门的联络机制，若有险情发生，应及时与作业区值班人员取得联系，若确认发生沼液外溢事故，应及时上报当地政府、生态环境局等相关部门。</w:t>
      </w:r>
    </w:p>
    <w:p>
      <w:pPr>
        <w:ind w:firstLine="480"/>
        <w:rPr>
          <w:rFonts w:hint="eastAsia"/>
          <w:color w:val="auto"/>
        </w:rPr>
      </w:pPr>
      <w:r>
        <w:rPr>
          <w:rFonts w:hint="eastAsia"/>
          <w:color w:val="auto"/>
        </w:rPr>
        <w:t>2）对承包沼液转运的承包商实施车辆登记制度，为每台车安装GPS，并纳入建设方的GPS监控系统平台。</w:t>
      </w:r>
    </w:p>
    <w:p>
      <w:pPr>
        <w:ind w:firstLine="480"/>
        <w:rPr>
          <w:rFonts w:hint="eastAsia"/>
          <w:color w:val="auto"/>
        </w:rPr>
      </w:pPr>
      <w:r>
        <w:rPr>
          <w:rFonts w:hint="eastAsia"/>
          <w:color w:val="auto"/>
        </w:rPr>
        <w:t>3）转运过程做好转运台账，严格实施交接清单制度。</w:t>
      </w:r>
    </w:p>
    <w:p>
      <w:pPr>
        <w:ind w:firstLine="480"/>
        <w:rPr>
          <w:rFonts w:hint="eastAsia"/>
          <w:color w:val="auto"/>
        </w:rPr>
      </w:pPr>
      <w:r>
        <w:rPr>
          <w:rFonts w:hint="eastAsia"/>
          <w:color w:val="auto"/>
        </w:rPr>
        <w:t>4）加强罐车装载量管理，严禁超载。</w:t>
      </w:r>
    </w:p>
    <w:p>
      <w:pPr>
        <w:ind w:firstLine="480"/>
        <w:rPr>
          <w:rFonts w:hint="eastAsia"/>
          <w:color w:val="auto"/>
        </w:rPr>
      </w:pPr>
      <w:r>
        <w:rPr>
          <w:rFonts w:hint="eastAsia"/>
          <w:color w:val="auto"/>
        </w:rPr>
        <w:t>5）加强对沼液罐车司机的安全教育，定期对罐车进行安全检查，严格遵守交通规则，避免交通事故发生。加强对除驾驶员外的其他拉运工作人员管理，要求运输人员技术过硬、经验丰富、工作认真负责。加强对沼液罐车的管理，防止人为原因造成的沼液外溢。</w:t>
      </w:r>
    </w:p>
    <w:p>
      <w:pPr>
        <w:ind w:firstLine="480"/>
        <w:rPr>
          <w:rFonts w:hint="eastAsia"/>
          <w:color w:val="auto"/>
        </w:rPr>
      </w:pPr>
      <w:r>
        <w:rPr>
          <w:rFonts w:hint="eastAsia"/>
          <w:color w:val="auto"/>
        </w:rPr>
        <w:t>6）控制运输车辆行驶速度，</w:t>
      </w:r>
      <w:r>
        <w:rPr>
          <w:color w:val="auto"/>
        </w:rPr>
        <w:t>严禁超速行驶</w:t>
      </w:r>
      <w:r>
        <w:rPr>
          <w:rFonts w:hint="eastAsia"/>
          <w:color w:val="auto"/>
        </w:rPr>
        <w:t>。</w:t>
      </w:r>
    </w:p>
    <w:p>
      <w:pPr>
        <w:ind w:firstLine="480"/>
        <w:rPr>
          <w:rFonts w:hint="eastAsia"/>
          <w:color w:val="auto"/>
        </w:rPr>
      </w:pPr>
      <w:r>
        <w:rPr>
          <w:rFonts w:hint="eastAsia"/>
          <w:color w:val="auto"/>
        </w:rPr>
        <w:t>7）沼液转运尽量避开暴雨时节。</w:t>
      </w:r>
    </w:p>
    <w:p>
      <w:pPr>
        <w:pStyle w:val="191"/>
        <w:spacing w:line="360" w:lineRule="auto"/>
        <w:ind w:left="0" w:right="0" w:firstLine="480"/>
        <w:rPr>
          <w:rFonts w:hint="eastAsia"/>
          <w:color w:val="auto"/>
        </w:rPr>
      </w:pPr>
      <w:r>
        <w:rPr>
          <w:rFonts w:hint="eastAsia"/>
          <w:color w:val="auto"/>
          <w:szCs w:val="24"/>
        </w:rPr>
        <w:t>8）建立沼液转运联单制度。</w:t>
      </w:r>
    </w:p>
    <w:p>
      <w:pPr>
        <w:pStyle w:val="8"/>
        <w:tabs>
          <w:tab w:val="clear" w:pos="0"/>
        </w:tabs>
        <w:rPr>
          <w:rFonts w:eastAsia="黑体"/>
          <w:color w:val="auto"/>
          <w:sz w:val="28"/>
          <w:szCs w:val="28"/>
        </w:rPr>
      </w:pPr>
      <w:r>
        <w:rPr>
          <w:rFonts w:hint="eastAsia" w:eastAsia="黑体"/>
          <w:color w:val="auto"/>
          <w:sz w:val="28"/>
          <w:szCs w:val="28"/>
        </w:rPr>
        <w:t>应急预案</w:t>
      </w:r>
    </w:p>
    <w:p>
      <w:pPr>
        <w:ind w:firstLine="480"/>
        <w:rPr>
          <w:color w:val="auto"/>
        </w:rPr>
      </w:pPr>
      <w:r>
        <w:rPr>
          <w:rFonts w:hint="eastAsia"/>
          <w:color w:val="auto"/>
        </w:rPr>
        <w:t>根据《突发环境事件应急管理办法》等法律法规，为了建立健全环境污染事件应急机制，有效预防和减少突发环境事件的发生，快速、有效地进行突发环境事件的应急处置，提高</w:t>
      </w:r>
      <w:r>
        <w:rPr>
          <w:rFonts w:hint="eastAsia"/>
          <w:color w:val="auto"/>
          <w:lang w:eastAsia="zh-CN"/>
        </w:rPr>
        <w:t>绵阳市硕牧云康畜牧养殖有限责任公司</w:t>
      </w:r>
      <w:r>
        <w:rPr>
          <w:rFonts w:hint="eastAsia"/>
          <w:color w:val="auto"/>
        </w:rPr>
        <w:t>应对突发环境污染事件的应急处理能力，防止突发环境事件对公共环境(大气、水体、土壤等)造成污染，维护社会稳定，保障企业和周边公众的生命健康和财产安全，保护环境，促进社会全面、协调、可持续发展，</w:t>
      </w:r>
      <w:r>
        <w:rPr>
          <w:rFonts w:hint="eastAsia"/>
          <w:color w:val="auto"/>
          <w:lang w:eastAsia="zh-CN"/>
        </w:rPr>
        <w:t xml:space="preserve">绵阳市硕牧云康畜牧养殖有限责任公司 </w:t>
      </w:r>
      <w:r>
        <w:rPr>
          <w:rFonts w:hint="eastAsia"/>
          <w:color w:val="auto"/>
        </w:rPr>
        <w:t>需根据本项目工艺特点，及时编制厂区的突发环境事件应急预案。企业应急预案应与</w:t>
      </w:r>
      <w:r>
        <w:rPr>
          <w:rFonts w:hint="eastAsia"/>
          <w:color w:val="auto"/>
          <w:lang w:val="en-US" w:eastAsia="zh-CN"/>
        </w:rPr>
        <w:t>游仙区</w:t>
      </w:r>
      <w:r>
        <w:rPr>
          <w:rFonts w:hint="eastAsia"/>
          <w:color w:val="auto"/>
        </w:rPr>
        <w:t>地方政府的应急响应方案相衔接；当事件一旦发生时可迅速加以控制，使危害和损失降低到尽可能低的程度。</w:t>
      </w:r>
    </w:p>
    <w:p>
      <w:pPr>
        <w:autoSpaceDE w:val="0"/>
        <w:autoSpaceDN w:val="0"/>
        <w:adjustRightInd w:val="0"/>
        <w:ind w:firstLine="480"/>
        <w:rPr>
          <w:color w:val="auto"/>
        </w:rPr>
      </w:pPr>
      <w:r>
        <w:rPr>
          <w:color w:val="auto"/>
        </w:rPr>
        <w:t>企业突发环境事件应急预案应包括以下几个方面的内容：</w:t>
      </w:r>
    </w:p>
    <w:p>
      <w:pPr>
        <w:autoSpaceDE w:val="0"/>
        <w:autoSpaceDN w:val="0"/>
        <w:adjustRightInd w:val="0"/>
        <w:ind w:firstLine="480"/>
        <w:rPr>
          <w:color w:val="auto"/>
        </w:rPr>
      </w:pPr>
      <w:r>
        <w:rPr>
          <w:color w:val="auto"/>
        </w:rPr>
        <w:t>（1）预案适用范围</w:t>
      </w:r>
    </w:p>
    <w:p>
      <w:pPr>
        <w:autoSpaceDE w:val="0"/>
        <w:autoSpaceDN w:val="0"/>
        <w:adjustRightInd w:val="0"/>
        <w:ind w:firstLine="480"/>
        <w:rPr>
          <w:color w:val="auto"/>
        </w:rPr>
      </w:pPr>
      <w:r>
        <w:rPr>
          <w:color w:val="auto"/>
        </w:rPr>
        <w:t>明确预案适用的主体、地理或管理范围、事件类别、工作内容。</w:t>
      </w:r>
    </w:p>
    <w:p>
      <w:pPr>
        <w:autoSpaceDE w:val="0"/>
        <w:autoSpaceDN w:val="0"/>
        <w:adjustRightInd w:val="0"/>
        <w:ind w:firstLine="480"/>
        <w:rPr>
          <w:color w:val="auto"/>
        </w:rPr>
      </w:pPr>
      <w:r>
        <w:rPr>
          <w:color w:val="auto"/>
        </w:rPr>
        <w:t>（2）环境事件分类与分级</w:t>
      </w:r>
    </w:p>
    <w:p>
      <w:pPr>
        <w:autoSpaceDE w:val="0"/>
        <w:autoSpaceDN w:val="0"/>
        <w:adjustRightInd w:val="0"/>
        <w:ind w:firstLine="480"/>
        <w:rPr>
          <w:color w:val="auto"/>
        </w:rPr>
      </w:pPr>
      <w:r>
        <w:rPr>
          <w:color w:val="auto"/>
        </w:rPr>
        <w:t>按照事故危害程度，影响范围、控制事故的能力，将突发环境事件分类和分级。</w:t>
      </w:r>
    </w:p>
    <w:p>
      <w:pPr>
        <w:autoSpaceDE w:val="0"/>
        <w:autoSpaceDN w:val="0"/>
        <w:adjustRightInd w:val="0"/>
        <w:ind w:firstLine="480"/>
        <w:rPr>
          <w:color w:val="auto"/>
        </w:rPr>
      </w:pPr>
      <w:r>
        <w:rPr>
          <w:color w:val="auto"/>
        </w:rPr>
        <w:t>（3）组织机构与职责</w:t>
      </w:r>
    </w:p>
    <w:p>
      <w:pPr>
        <w:autoSpaceDE w:val="0"/>
        <w:autoSpaceDN w:val="0"/>
        <w:adjustRightInd w:val="0"/>
        <w:ind w:firstLine="480"/>
        <w:rPr>
          <w:color w:val="auto"/>
        </w:rPr>
      </w:pPr>
      <w:r>
        <w:rPr>
          <w:color w:val="auto"/>
        </w:rPr>
        <w:t>以应急组织体系结构图、应急响应流程图的形式，说明组织体系构成、应急指挥运行机制，配有应急队伍成员名单和联系方式表。</w:t>
      </w:r>
    </w:p>
    <w:p>
      <w:pPr>
        <w:autoSpaceDE w:val="0"/>
        <w:autoSpaceDN w:val="0"/>
        <w:adjustRightInd w:val="0"/>
        <w:ind w:firstLine="480"/>
        <w:rPr>
          <w:color w:val="auto"/>
        </w:rPr>
      </w:pPr>
      <w:r>
        <w:rPr>
          <w:color w:val="auto"/>
        </w:rPr>
        <w:t>明确组织体系的构成及其职责。一般包括应急指挥部及其办事机构、现场处置组、环境应急监测组、应急保障组以及其他必要的行动组。</w:t>
      </w:r>
    </w:p>
    <w:p>
      <w:pPr>
        <w:autoSpaceDE w:val="0"/>
        <w:autoSpaceDN w:val="0"/>
        <w:adjustRightInd w:val="0"/>
        <w:ind w:firstLine="480"/>
        <w:rPr>
          <w:color w:val="auto"/>
        </w:rPr>
      </w:pPr>
      <w:r>
        <w:rPr>
          <w:color w:val="auto"/>
        </w:rPr>
        <w:t>（4）监控和预警；</w:t>
      </w:r>
    </w:p>
    <w:p>
      <w:pPr>
        <w:autoSpaceDE w:val="0"/>
        <w:autoSpaceDN w:val="0"/>
        <w:adjustRightInd w:val="0"/>
        <w:ind w:firstLine="480"/>
        <w:rPr>
          <w:color w:val="auto"/>
        </w:rPr>
      </w:pPr>
      <w:r>
        <w:rPr>
          <w:color w:val="auto"/>
        </w:rPr>
        <w:t>建立企业内部监控预警方案；明确监控信息的获得途径和分析研判的方式方法；明确企业内部预警条件，预警等级，预警信息发布、接收、调整、解除程序、发布内容、责任人</w:t>
      </w:r>
    </w:p>
    <w:p>
      <w:pPr>
        <w:autoSpaceDE w:val="0"/>
        <w:autoSpaceDN w:val="0"/>
        <w:adjustRightInd w:val="0"/>
        <w:ind w:firstLine="480"/>
        <w:rPr>
          <w:color w:val="auto"/>
        </w:rPr>
      </w:pPr>
      <w:r>
        <w:rPr>
          <w:color w:val="auto"/>
        </w:rPr>
        <w:t>（5）应急响应</w:t>
      </w:r>
    </w:p>
    <w:p>
      <w:pPr>
        <w:autoSpaceDE w:val="0"/>
        <w:autoSpaceDN w:val="0"/>
        <w:adjustRightInd w:val="0"/>
        <w:ind w:firstLine="480"/>
        <w:rPr>
          <w:color w:val="auto"/>
        </w:rPr>
      </w:pPr>
      <w:r>
        <w:rPr>
          <w:color w:val="auto"/>
        </w:rPr>
        <w:t>根据突发环境事件的危害程度、影响范围、周边环境敏感点、企业应急响应能力等，建立分级应急响应机制，明确不同应急响应级别对应的指挥权限。</w:t>
      </w:r>
    </w:p>
    <w:p>
      <w:pPr>
        <w:autoSpaceDE w:val="0"/>
        <w:autoSpaceDN w:val="0"/>
        <w:adjustRightInd w:val="0"/>
        <w:ind w:firstLine="480"/>
        <w:rPr>
          <w:color w:val="auto"/>
        </w:rPr>
      </w:pPr>
      <w:r>
        <w:rPr>
          <w:color w:val="auto"/>
        </w:rPr>
        <w:t>（6）应急保障</w:t>
      </w:r>
    </w:p>
    <w:p>
      <w:pPr>
        <w:autoSpaceDE w:val="0"/>
        <w:autoSpaceDN w:val="0"/>
        <w:adjustRightInd w:val="0"/>
        <w:ind w:firstLine="480"/>
        <w:rPr>
          <w:color w:val="auto"/>
        </w:rPr>
      </w:pPr>
      <w:r>
        <w:rPr>
          <w:color w:val="auto"/>
        </w:rPr>
        <w:t>说明环境应急预案涉及的人力资源、财力、物资以及其他技术、重要设施的保障。</w:t>
      </w:r>
    </w:p>
    <w:p>
      <w:pPr>
        <w:autoSpaceDE w:val="0"/>
        <w:autoSpaceDN w:val="0"/>
        <w:adjustRightInd w:val="0"/>
        <w:ind w:firstLine="480"/>
        <w:rPr>
          <w:color w:val="auto"/>
        </w:rPr>
      </w:pPr>
      <w:r>
        <w:rPr>
          <w:color w:val="auto"/>
        </w:rPr>
        <w:t>（7）善后处置</w:t>
      </w:r>
    </w:p>
    <w:p>
      <w:pPr>
        <w:autoSpaceDE w:val="0"/>
        <w:autoSpaceDN w:val="0"/>
        <w:adjustRightInd w:val="0"/>
        <w:ind w:firstLine="480"/>
        <w:rPr>
          <w:color w:val="auto"/>
        </w:rPr>
      </w:pPr>
      <w:r>
        <w:rPr>
          <w:color w:val="auto"/>
        </w:rPr>
        <w:t>说明事后恢复的工作内容和责任人，一般包括：现场污染物的后续处理；环境应急相关设施、设备、场所的维护；配合开展环境损害评估、赔偿、事件调查处理等。</w:t>
      </w:r>
    </w:p>
    <w:p>
      <w:pPr>
        <w:autoSpaceDE w:val="0"/>
        <w:autoSpaceDN w:val="0"/>
        <w:adjustRightInd w:val="0"/>
        <w:ind w:firstLine="480"/>
        <w:rPr>
          <w:color w:val="auto"/>
        </w:rPr>
      </w:pPr>
      <w:r>
        <w:rPr>
          <w:color w:val="auto"/>
        </w:rPr>
        <w:t>（8）预案管理与演练。</w:t>
      </w:r>
    </w:p>
    <w:p>
      <w:pPr>
        <w:pStyle w:val="191"/>
        <w:ind w:firstLine="480"/>
        <w:rPr>
          <w:color w:val="auto"/>
        </w:rPr>
      </w:pPr>
      <w:r>
        <w:rPr>
          <w:rFonts w:ascii="Times New Roman" w:hAnsi="Times New Roman"/>
          <w:color w:val="auto"/>
        </w:rPr>
        <w:t>安排有关环境应急预案的培训和演练；明确环境应急预案的评估修订要求。</w:t>
      </w:r>
    </w:p>
    <w:p>
      <w:pPr>
        <w:pStyle w:val="7"/>
        <w:rPr>
          <w:color w:val="auto"/>
        </w:rPr>
      </w:pPr>
      <w:bookmarkStart w:id="216" w:name="_Toc7185"/>
      <w:bookmarkStart w:id="217" w:name="_Toc436035701"/>
      <w:r>
        <w:rPr>
          <w:rFonts w:eastAsia="黑体"/>
          <w:color w:val="auto"/>
          <w:sz w:val="32"/>
        </w:rPr>
        <w:t>环境风险评价结论</w:t>
      </w:r>
      <w:bookmarkEnd w:id="216"/>
      <w:bookmarkEnd w:id="217"/>
    </w:p>
    <w:p>
      <w:pPr>
        <w:ind w:firstLine="480"/>
        <w:rPr>
          <w:color w:val="auto"/>
        </w:rPr>
      </w:pPr>
      <w:r>
        <w:rPr>
          <w:rFonts w:hint="eastAsia"/>
          <w:color w:val="auto"/>
        </w:rPr>
        <w:t>根据项目的生产线特点和评价工作等级划分，本项目环境风险潜势为Ⅰ级，项目环境风险等级开展简单分析。通过对各物质的风险分析可知，涉及危险化学品的物质由于各物质的储存量较少，对外环境风险程度较低，本项目环境风险较小，企业在不断加强环境风险管理，强化对各项设施的定期定点定人维护检查，完善环境风险防控管理制度及措施的情况下，其环境风险水平在可接受范围。</w:t>
      </w:r>
    </w:p>
    <w:p>
      <w:pPr>
        <w:ind w:firstLine="480"/>
        <w:rPr>
          <w:color w:val="auto"/>
        </w:rPr>
      </w:pPr>
    </w:p>
    <w:p>
      <w:pPr>
        <w:ind w:firstLine="480"/>
        <w:rPr>
          <w:rFonts w:hint="eastAsia"/>
          <w:color w:val="auto"/>
        </w:rPr>
      </w:pPr>
    </w:p>
    <w:p>
      <w:pPr>
        <w:ind w:firstLine="480"/>
        <w:rPr>
          <w:color w:val="auto"/>
        </w:rPr>
        <w:sectPr>
          <w:headerReference r:id="rId19" w:type="default"/>
          <w:pgSz w:w="11906" w:h="16838"/>
          <w:pgMar w:top="1418" w:right="1418" w:bottom="1418" w:left="1701" w:header="851" w:footer="992" w:gutter="0"/>
          <w:cols w:space="720" w:num="1"/>
          <w:docGrid w:linePitch="312" w:charSpace="0"/>
        </w:sectPr>
      </w:pPr>
    </w:p>
    <w:p>
      <w:pPr>
        <w:pStyle w:val="6"/>
        <w:rPr>
          <w:rFonts w:eastAsia="黑体"/>
          <w:color w:val="auto"/>
          <w:sz w:val="44"/>
        </w:rPr>
      </w:pPr>
      <w:bookmarkStart w:id="218" w:name="_Toc17089"/>
      <w:r>
        <w:rPr>
          <w:rFonts w:eastAsia="黑体"/>
          <w:color w:val="auto"/>
          <w:sz w:val="44"/>
        </w:rPr>
        <w:t>环境保护措施及其可行性论证</w:t>
      </w:r>
      <w:bookmarkEnd w:id="218"/>
    </w:p>
    <w:p>
      <w:pPr>
        <w:pStyle w:val="7"/>
        <w:rPr>
          <w:color w:val="auto"/>
        </w:rPr>
      </w:pPr>
      <w:bookmarkStart w:id="219" w:name="_Toc16911"/>
      <w:r>
        <w:rPr>
          <w:rFonts w:eastAsia="黑体"/>
          <w:color w:val="auto"/>
          <w:sz w:val="32"/>
        </w:rPr>
        <w:t>施工期环境保护措施及其可行性论证</w:t>
      </w:r>
      <w:bookmarkEnd w:id="219"/>
    </w:p>
    <w:p>
      <w:pPr>
        <w:ind w:firstLine="480"/>
        <w:rPr>
          <w:color w:val="auto"/>
          <w:sz w:val="20"/>
          <w:szCs w:val="20"/>
        </w:rPr>
      </w:pPr>
      <w:r>
        <w:rPr>
          <w:color w:val="auto"/>
        </w:rPr>
        <w:t>本项目</w:t>
      </w:r>
      <w:r>
        <w:rPr>
          <w:rFonts w:hint="eastAsia"/>
          <w:color w:val="auto"/>
        </w:rPr>
        <w:t>占地面积</w:t>
      </w:r>
      <w:r>
        <w:rPr>
          <w:rFonts w:hint="eastAsia"/>
          <w:color w:val="auto"/>
          <w:lang w:val="en-US" w:eastAsia="zh-CN"/>
        </w:rPr>
        <w:t>38.57亩</w:t>
      </w:r>
      <w:r>
        <w:rPr>
          <w:rFonts w:hint="eastAsia"/>
          <w:color w:val="auto"/>
        </w:rPr>
        <w:t>，</w:t>
      </w:r>
      <w:r>
        <w:rPr>
          <w:color w:val="auto"/>
        </w:rPr>
        <w:t>主要包括基础工程、主体工程、装饰工程、设备安装等工程建设</w:t>
      </w:r>
      <w:r>
        <w:rPr>
          <w:rFonts w:hint="eastAsia"/>
          <w:color w:val="auto"/>
        </w:rPr>
        <w:t>等。施工期间对环境的影响主要是扬尘、废水、施工噪声、建筑垃圾及生态影响等，本次评价针对其影响提出相应的污染防治</w:t>
      </w:r>
      <w:r>
        <w:rPr>
          <w:color w:val="auto"/>
        </w:rPr>
        <w:t>措施。</w:t>
      </w:r>
    </w:p>
    <w:p>
      <w:pPr>
        <w:pStyle w:val="8"/>
        <w:tabs>
          <w:tab w:val="clear" w:pos="0"/>
        </w:tabs>
        <w:rPr>
          <w:rFonts w:eastAsia="黑体"/>
          <w:color w:val="auto"/>
          <w:sz w:val="28"/>
          <w:szCs w:val="28"/>
        </w:rPr>
      </w:pPr>
      <w:r>
        <w:rPr>
          <w:rFonts w:eastAsia="黑体"/>
          <w:color w:val="auto"/>
          <w:sz w:val="28"/>
          <w:szCs w:val="28"/>
        </w:rPr>
        <w:t>施工期废气防治措施论证</w:t>
      </w:r>
    </w:p>
    <w:p>
      <w:pPr>
        <w:ind w:firstLine="480"/>
        <w:rPr>
          <w:rFonts w:hint="eastAsia"/>
          <w:color w:val="auto"/>
        </w:rPr>
      </w:pPr>
      <w:r>
        <w:rPr>
          <w:rFonts w:hint="eastAsia"/>
          <w:color w:val="auto"/>
        </w:rPr>
        <w:t>施工期大气环境污染主要为：施工扬尘、施工车辆汽车尾气。场内扬尘量的大小与天气干燥程度、风速大小等诸因素有关；场外扬尘量与道路路况、车辆行驶速度等诸因素有关。评价提出相应的防治措施如下：</w:t>
      </w:r>
    </w:p>
    <w:p>
      <w:pPr>
        <w:ind w:firstLine="480"/>
        <w:rPr>
          <w:rFonts w:hint="eastAsia"/>
          <w:color w:val="auto"/>
        </w:rPr>
      </w:pPr>
      <w:r>
        <w:rPr>
          <w:rFonts w:hint="eastAsia"/>
          <w:color w:val="auto"/>
        </w:rPr>
        <w:t>（1）施工过程遇到连续晴好干燥天气时，对堆土表面洒水，防止起尘；</w:t>
      </w:r>
    </w:p>
    <w:p>
      <w:pPr>
        <w:ind w:firstLine="480"/>
        <w:rPr>
          <w:rFonts w:hint="eastAsia"/>
          <w:color w:val="auto"/>
        </w:rPr>
      </w:pPr>
      <w:r>
        <w:rPr>
          <w:rFonts w:hint="eastAsia"/>
          <w:color w:val="auto"/>
        </w:rPr>
        <w:t>（2）水泥、砂土堆放时遮盖、密闭；</w:t>
      </w:r>
    </w:p>
    <w:p>
      <w:pPr>
        <w:ind w:firstLine="480"/>
        <w:rPr>
          <w:rFonts w:hint="eastAsia"/>
          <w:color w:val="auto"/>
        </w:rPr>
      </w:pPr>
      <w:r>
        <w:rPr>
          <w:rFonts w:hint="eastAsia"/>
          <w:color w:val="auto"/>
        </w:rPr>
        <w:t>（3）对于运输水泥、砂石的车辆，应谨防运输车辆装载过满，并采取遮盖、密闭措施，减少其沿途抛洒，并及时清扫散落在路面的泥土和灰尘，冲洗轮胎，定时洒水压尘，减少运输过程中的扬尘；</w:t>
      </w:r>
    </w:p>
    <w:p>
      <w:pPr>
        <w:ind w:firstLine="480"/>
        <w:rPr>
          <w:rFonts w:hint="eastAsia"/>
          <w:color w:val="auto"/>
        </w:rPr>
      </w:pPr>
      <w:r>
        <w:rPr>
          <w:rFonts w:hint="eastAsia"/>
          <w:color w:val="auto"/>
        </w:rPr>
        <w:t>（4）开挖时，对作业面适当喷水，使其保持一定的湿度，以减少扬尘量；</w:t>
      </w:r>
    </w:p>
    <w:p>
      <w:pPr>
        <w:ind w:firstLine="480"/>
        <w:rPr>
          <w:rFonts w:hint="eastAsia"/>
          <w:color w:val="auto"/>
        </w:rPr>
      </w:pPr>
      <w:r>
        <w:rPr>
          <w:rFonts w:hint="eastAsia"/>
          <w:color w:val="auto"/>
        </w:rPr>
        <w:t>（5）施工现场要围栏或部分围栏，减少施工扬尘扩散范围；</w:t>
      </w:r>
    </w:p>
    <w:p>
      <w:pPr>
        <w:ind w:firstLine="480"/>
        <w:rPr>
          <w:rFonts w:hint="eastAsia"/>
          <w:color w:val="auto"/>
        </w:rPr>
      </w:pPr>
      <w:r>
        <w:rPr>
          <w:rFonts w:hint="eastAsia"/>
          <w:color w:val="auto"/>
        </w:rPr>
        <w:t>（6）风速过大时应停止施工作业，并对堆放的砂石等建筑材料进行遮盖处理；</w:t>
      </w:r>
    </w:p>
    <w:p>
      <w:pPr>
        <w:ind w:firstLine="480"/>
        <w:rPr>
          <w:rFonts w:hint="eastAsia"/>
          <w:color w:val="auto"/>
        </w:rPr>
      </w:pPr>
      <w:r>
        <w:rPr>
          <w:rFonts w:hint="eastAsia"/>
          <w:color w:val="auto"/>
        </w:rPr>
        <w:t>（7）对于运输车辆尾气，通过加强对施工机械的维护和保养，加强对施工机械施工进程的管理，提高使用效率，使用清洁能源等措施。</w:t>
      </w:r>
    </w:p>
    <w:p>
      <w:pPr>
        <w:ind w:firstLine="480"/>
        <w:rPr>
          <w:color w:val="auto"/>
        </w:rPr>
      </w:pPr>
      <w:r>
        <w:rPr>
          <w:rFonts w:hint="eastAsia"/>
          <w:color w:val="auto"/>
        </w:rPr>
        <w:t>评价认为上述大气污染防治措施有效可行，采取上述防治措施后，可以有效地减小施工期废气的污染影响。</w:t>
      </w:r>
    </w:p>
    <w:p>
      <w:pPr>
        <w:pStyle w:val="8"/>
        <w:tabs>
          <w:tab w:val="clear" w:pos="0"/>
        </w:tabs>
        <w:rPr>
          <w:rFonts w:hint="eastAsia" w:eastAsia="黑体"/>
          <w:color w:val="auto"/>
          <w:sz w:val="28"/>
          <w:szCs w:val="28"/>
        </w:rPr>
      </w:pPr>
      <w:r>
        <w:rPr>
          <w:rFonts w:hint="eastAsia" w:eastAsia="黑体"/>
          <w:color w:val="auto"/>
          <w:sz w:val="28"/>
          <w:szCs w:val="28"/>
        </w:rPr>
        <w:t>施工期废水防治措施论证</w:t>
      </w:r>
    </w:p>
    <w:p>
      <w:pPr>
        <w:ind w:firstLine="480"/>
        <w:rPr>
          <w:rFonts w:hint="eastAsia"/>
          <w:color w:val="auto"/>
        </w:rPr>
      </w:pPr>
      <w:r>
        <w:rPr>
          <w:color w:val="auto"/>
        </w:rPr>
        <w:t>项目施工期产生的废水包括施工人员生活污水、施工作业废水</w:t>
      </w:r>
      <w:r>
        <w:rPr>
          <w:rFonts w:hint="eastAsia"/>
          <w:color w:val="auto"/>
        </w:rPr>
        <w:t>，根据废水的不同性质，进行分类收集处理。</w:t>
      </w:r>
    </w:p>
    <w:p>
      <w:pPr>
        <w:ind w:firstLine="480"/>
        <w:rPr>
          <w:color w:val="auto"/>
        </w:rPr>
      </w:pPr>
      <w:r>
        <w:rPr>
          <w:rFonts w:hint="eastAsia"/>
          <w:color w:val="auto"/>
        </w:rPr>
        <w:t>施工过程中排放的各类作业废水如搅拌机清洗水、洗石冲灰废水以及车辆的冲洗水等。日产生量较小，主要污染成分为SS、石油类等，评价要求在施工场地内设置隔油池和沉淀池，施工作业废水经隔油沉淀后回用于施工建设。</w:t>
      </w:r>
    </w:p>
    <w:p>
      <w:pPr>
        <w:ind w:firstLine="482"/>
        <w:rPr>
          <w:color w:val="auto"/>
        </w:rPr>
      </w:pPr>
      <w:r>
        <w:rPr>
          <w:rFonts w:hint="eastAsia"/>
          <w:color w:val="auto"/>
        </w:rPr>
        <w:t>施工期生活污水产生量为4.0m</w:t>
      </w:r>
      <w:r>
        <w:rPr>
          <w:rFonts w:hint="eastAsia"/>
          <w:color w:val="auto"/>
          <w:vertAlign w:val="superscript"/>
        </w:rPr>
        <w:t>3</w:t>
      </w:r>
      <w:r>
        <w:rPr>
          <w:rFonts w:hint="eastAsia"/>
          <w:color w:val="auto"/>
        </w:rPr>
        <w:t>/d</w:t>
      </w:r>
      <w:r>
        <w:rPr>
          <w:color w:val="auto"/>
        </w:rPr>
        <w:t>，施工人员依托周边居民房屋食宿</w:t>
      </w:r>
      <w:r>
        <w:rPr>
          <w:rFonts w:hint="eastAsia"/>
          <w:color w:val="auto"/>
          <w:lang w:eastAsia="zh-CN"/>
        </w:rPr>
        <w:t>，</w:t>
      </w:r>
      <w:r>
        <w:rPr>
          <w:color w:val="auto"/>
        </w:rPr>
        <w:t>施工人员产生的生活污水进入</w:t>
      </w:r>
      <w:r>
        <w:rPr>
          <w:rFonts w:hint="eastAsia"/>
          <w:color w:val="auto"/>
          <w:lang w:val="en-US" w:eastAsia="zh-CN"/>
        </w:rPr>
        <w:t>厂区污水处理站</w:t>
      </w:r>
      <w:r>
        <w:rPr>
          <w:color w:val="auto"/>
        </w:rPr>
        <w:t>，经收集处理后</w:t>
      </w:r>
      <w:r>
        <w:rPr>
          <w:rFonts w:hint="eastAsia"/>
          <w:color w:val="auto"/>
          <w:lang w:eastAsia="zh-CN"/>
        </w:rPr>
        <w:t>回用于农田</w:t>
      </w:r>
      <w:r>
        <w:rPr>
          <w:rFonts w:hint="eastAsia"/>
          <w:color w:val="auto"/>
          <w:lang w:val="en-US" w:eastAsia="zh-CN"/>
        </w:rPr>
        <w:t>施肥</w:t>
      </w:r>
      <w:r>
        <w:rPr>
          <w:color w:val="auto"/>
        </w:rPr>
        <w:t>。</w:t>
      </w:r>
    </w:p>
    <w:p>
      <w:pPr>
        <w:ind w:firstLine="480"/>
        <w:rPr>
          <w:color w:val="auto"/>
        </w:rPr>
      </w:pPr>
      <w:r>
        <w:rPr>
          <w:color w:val="auto"/>
        </w:rPr>
        <w:t>施工阶段产生的施工作业包括施工现场车辆及机械设备清洗、混凝土养护等，废水中含有一定量的油污和泥沙，施工场地设1个临时隔油池（1m</w:t>
      </w:r>
      <w:r>
        <w:rPr>
          <w:color w:val="auto"/>
          <w:vertAlign w:val="superscript"/>
        </w:rPr>
        <w:t>3</w:t>
      </w:r>
      <w:r>
        <w:rPr>
          <w:color w:val="auto"/>
        </w:rPr>
        <w:t>）、1个临时沉淀池（5m</w:t>
      </w:r>
      <w:r>
        <w:rPr>
          <w:color w:val="auto"/>
          <w:vertAlign w:val="superscript"/>
        </w:rPr>
        <w:t>3</w:t>
      </w:r>
      <w:r>
        <w:rPr>
          <w:color w:val="auto"/>
        </w:rPr>
        <w:t>），含SS、石油类的施工废水排入隔油池、沉淀池进行处理后回用于场地洒水降尘，不外排。</w:t>
      </w:r>
    </w:p>
    <w:p>
      <w:pPr>
        <w:pStyle w:val="16"/>
        <w:spacing w:line="360" w:lineRule="auto"/>
        <w:ind w:firstLine="480"/>
        <w:rPr>
          <w:color w:val="auto"/>
        </w:rPr>
      </w:pPr>
      <w:r>
        <w:rPr>
          <w:rFonts w:hint="eastAsia"/>
          <w:color w:val="auto"/>
        </w:rPr>
        <w:t>评价认为上述施工期废水污染防治措施技术经济可行，采取上述防治措施后，可以有效地减小施工期废水的污染影响。</w:t>
      </w:r>
    </w:p>
    <w:p>
      <w:pPr>
        <w:pStyle w:val="8"/>
        <w:tabs>
          <w:tab w:val="clear" w:pos="0"/>
        </w:tabs>
        <w:rPr>
          <w:rFonts w:eastAsia="黑体"/>
          <w:color w:val="auto"/>
          <w:sz w:val="28"/>
          <w:szCs w:val="28"/>
        </w:rPr>
      </w:pPr>
      <w:r>
        <w:rPr>
          <w:rFonts w:hint="eastAsia" w:eastAsia="黑体"/>
          <w:color w:val="auto"/>
          <w:sz w:val="28"/>
          <w:szCs w:val="28"/>
        </w:rPr>
        <w:t>施工</w:t>
      </w:r>
      <w:r>
        <w:rPr>
          <w:rFonts w:eastAsia="黑体"/>
          <w:color w:val="auto"/>
          <w:sz w:val="28"/>
          <w:szCs w:val="28"/>
        </w:rPr>
        <w:t>期噪声防治措施论证</w:t>
      </w:r>
    </w:p>
    <w:p>
      <w:pPr>
        <w:ind w:firstLine="480"/>
        <w:rPr>
          <w:rFonts w:hint="eastAsia"/>
          <w:color w:val="auto"/>
        </w:rPr>
      </w:pPr>
      <w:r>
        <w:rPr>
          <w:rFonts w:hint="eastAsia"/>
          <w:color w:val="auto"/>
        </w:rPr>
        <w:t>根据目前的机械制造水平，施工噪声既不能避免，又不能从根本上采取措施予以消除，只能通过加强对施工设备的管理，合理组织施工、才能尽可能地减轻施工设备噪声对施工场地的周围环境的影响。为最大限度地降低施工噪声对区域的影响，施工方必须采取严格的措施：</w:t>
      </w:r>
    </w:p>
    <w:p>
      <w:pPr>
        <w:ind w:firstLine="480"/>
        <w:rPr>
          <w:rFonts w:hint="eastAsia"/>
          <w:color w:val="auto"/>
        </w:rPr>
      </w:pPr>
      <w:r>
        <w:rPr>
          <w:rFonts w:hint="eastAsia"/>
          <w:color w:val="auto"/>
        </w:rPr>
        <w:t>（1）首先从噪声源强进行控制：建设单位在与施工单位签订合同时，应要求其使用的主要机械设备为低噪设备。尽量选低噪声液压施工机械替代气压机械；尽可能使用商品混凝土，不使用混凝土搅拌机。同时在施工过程中施工单位应设专人对设备进行定期保养和维护，并负责对现场工作人员进行培训，严格按操作规范使用各类机械。</w:t>
      </w:r>
    </w:p>
    <w:p>
      <w:pPr>
        <w:ind w:firstLine="480"/>
        <w:rPr>
          <w:rFonts w:hint="eastAsia"/>
          <w:color w:val="auto"/>
        </w:rPr>
      </w:pPr>
      <w:r>
        <w:rPr>
          <w:rFonts w:hint="eastAsia"/>
          <w:color w:val="auto"/>
        </w:rPr>
        <w:t>（2）作业时在高噪声设备周围设置屏蔽，不低于1.8m。</w:t>
      </w:r>
    </w:p>
    <w:p>
      <w:pPr>
        <w:ind w:firstLine="480"/>
        <w:rPr>
          <w:rFonts w:hint="eastAsia"/>
          <w:color w:val="auto"/>
        </w:rPr>
      </w:pPr>
      <w:r>
        <w:rPr>
          <w:rFonts w:hint="eastAsia"/>
          <w:color w:val="auto"/>
        </w:rPr>
        <w:t>（3）合理安排施工进度和作业时间，尽量避免高噪声设备同时作业，夜间（晚22点到次日早晨6点）禁止施工。</w:t>
      </w:r>
    </w:p>
    <w:p>
      <w:pPr>
        <w:ind w:firstLine="480"/>
        <w:rPr>
          <w:rFonts w:hint="eastAsia"/>
          <w:color w:val="auto"/>
        </w:rPr>
      </w:pPr>
      <w:r>
        <w:rPr>
          <w:rFonts w:hint="eastAsia"/>
          <w:color w:val="auto"/>
        </w:rPr>
        <w:t>（4）对人为的施工噪声应有管理制度和降噪措施，并进行严格控制：承担材料运输的车辆，进入施工现场避免鸣笛，并要减速慢行，装卸材料应做到轻拿轻放，最大限度地减少噪声影响。</w:t>
      </w:r>
    </w:p>
    <w:p>
      <w:pPr>
        <w:ind w:firstLine="480"/>
        <w:rPr>
          <w:rFonts w:hint="eastAsia"/>
          <w:color w:val="auto"/>
        </w:rPr>
      </w:pPr>
      <w:r>
        <w:rPr>
          <w:rFonts w:hint="eastAsia"/>
          <w:color w:val="auto"/>
        </w:rPr>
        <w:t>（5）建设管理部门应加强对施工场地的噪声管理，施工企业也应对施工噪声进行自律，文明施工，避免因施工噪声产生纠纷。</w:t>
      </w:r>
    </w:p>
    <w:p>
      <w:pPr>
        <w:ind w:firstLine="480"/>
        <w:rPr>
          <w:color w:val="auto"/>
        </w:rPr>
      </w:pPr>
      <w:r>
        <w:rPr>
          <w:rFonts w:hint="eastAsia"/>
          <w:color w:val="auto"/>
        </w:rPr>
        <w:t>评价认为采取上述措施后可大大降低施工期噪声对周围环境的影响，防治措施合理有效，技术经济可行。</w:t>
      </w:r>
    </w:p>
    <w:p>
      <w:pPr>
        <w:pStyle w:val="8"/>
        <w:tabs>
          <w:tab w:val="clear" w:pos="0"/>
        </w:tabs>
        <w:rPr>
          <w:rFonts w:eastAsia="黑体"/>
          <w:color w:val="auto"/>
          <w:sz w:val="28"/>
          <w:szCs w:val="28"/>
        </w:rPr>
      </w:pPr>
      <w:r>
        <w:rPr>
          <w:rFonts w:eastAsia="黑体"/>
          <w:color w:val="auto"/>
          <w:sz w:val="28"/>
          <w:szCs w:val="28"/>
        </w:rPr>
        <w:t>施工期</w:t>
      </w:r>
      <w:r>
        <w:rPr>
          <w:rFonts w:hint="eastAsia" w:eastAsia="黑体"/>
          <w:color w:val="auto"/>
          <w:sz w:val="28"/>
          <w:szCs w:val="28"/>
        </w:rPr>
        <w:t>固废</w:t>
      </w:r>
      <w:r>
        <w:rPr>
          <w:rFonts w:eastAsia="黑体"/>
          <w:color w:val="auto"/>
          <w:sz w:val="28"/>
          <w:szCs w:val="28"/>
        </w:rPr>
        <w:t>处置措施论证</w:t>
      </w:r>
    </w:p>
    <w:p>
      <w:pPr>
        <w:ind w:firstLine="480"/>
        <w:rPr>
          <w:rFonts w:hint="eastAsia"/>
          <w:color w:val="auto"/>
        </w:rPr>
      </w:pPr>
      <w:r>
        <w:rPr>
          <w:rFonts w:hint="eastAsia"/>
          <w:color w:val="auto"/>
        </w:rPr>
        <w:t>本项目施工期固体废物主要来自施工人员的生活垃圾及各种建筑垃圾。</w:t>
      </w:r>
    </w:p>
    <w:p>
      <w:pPr>
        <w:ind w:firstLine="480"/>
        <w:rPr>
          <w:rFonts w:hint="eastAsia"/>
          <w:color w:val="auto"/>
        </w:rPr>
      </w:pPr>
      <w:r>
        <w:rPr>
          <w:rFonts w:hint="eastAsia"/>
          <w:color w:val="auto"/>
        </w:rPr>
        <w:t>生活垃圾：施工期产生的生活垃圾约</w:t>
      </w:r>
      <w:r>
        <w:rPr>
          <w:color w:val="auto"/>
        </w:rPr>
        <w:t>50kg/d</w:t>
      </w:r>
      <w:r>
        <w:rPr>
          <w:rFonts w:hint="eastAsia"/>
          <w:color w:val="auto"/>
        </w:rPr>
        <w:t>，施工场内设垃圾收集点，收集后清运至定点垃圾收集点交由环卫部门统一清运处置。</w:t>
      </w:r>
    </w:p>
    <w:p>
      <w:pPr>
        <w:ind w:firstLine="480"/>
        <w:rPr>
          <w:color w:val="auto"/>
        </w:rPr>
      </w:pPr>
      <w:r>
        <w:rPr>
          <w:rFonts w:hint="eastAsia"/>
          <w:color w:val="auto"/>
        </w:rPr>
        <w:t>建筑垃圾：本项目在建设过程中产生的建筑垃圾约</w:t>
      </w:r>
      <w:r>
        <w:rPr>
          <w:rFonts w:hint="eastAsia"/>
          <w:color w:val="auto"/>
          <w:lang w:val="en-US" w:eastAsia="zh-CN"/>
        </w:rPr>
        <w:t>30</w:t>
      </w:r>
      <w:r>
        <w:rPr>
          <w:rFonts w:hint="eastAsia"/>
          <w:color w:val="auto"/>
        </w:rPr>
        <w:t>t，其中如废金属、废钢筋、废铁丝、废砖块、废木料等应尽量回收利用，</w:t>
      </w:r>
      <w:r>
        <w:rPr>
          <w:color w:val="auto"/>
        </w:rPr>
        <w:t>其他不能回收利用的建筑垃圾清运至当地管理部门指定的的受纳场地堆放，严禁乱倾乱倒</w:t>
      </w:r>
      <w:r>
        <w:rPr>
          <w:rFonts w:hint="eastAsia"/>
          <w:color w:val="auto"/>
        </w:rPr>
        <w:t>。</w:t>
      </w:r>
    </w:p>
    <w:p>
      <w:pPr>
        <w:ind w:firstLine="480"/>
        <w:rPr>
          <w:rFonts w:hint="eastAsia"/>
          <w:color w:val="auto"/>
        </w:rPr>
      </w:pPr>
      <w:r>
        <w:rPr>
          <w:rFonts w:hint="eastAsia"/>
          <w:color w:val="auto"/>
        </w:rPr>
        <w:t>弃土弃渣：施工期基础工程包括挖土方量与回填土方量，项目开挖表土暂存于表土临时堆场，用于后期绿化覆土。项目挖方量约为</w:t>
      </w:r>
      <w:r>
        <w:rPr>
          <w:rFonts w:hint="eastAsia"/>
          <w:color w:val="auto"/>
          <w:lang w:val="en-US" w:eastAsia="zh-CN"/>
        </w:rPr>
        <w:t>3000</w:t>
      </w:r>
      <w:r>
        <w:rPr>
          <w:rFonts w:hint="eastAsia"/>
          <w:color w:val="auto"/>
        </w:rPr>
        <w:t>m</w:t>
      </w:r>
      <w:r>
        <w:rPr>
          <w:rFonts w:hint="eastAsia"/>
          <w:color w:val="auto"/>
          <w:vertAlign w:val="superscript"/>
        </w:rPr>
        <w:t>3</w:t>
      </w:r>
      <w:r>
        <w:rPr>
          <w:rFonts w:hint="eastAsia"/>
          <w:color w:val="auto"/>
        </w:rPr>
        <w:t>，填方量约为</w:t>
      </w:r>
      <w:r>
        <w:rPr>
          <w:rFonts w:hint="eastAsia"/>
          <w:color w:val="auto"/>
          <w:lang w:val="en-US" w:eastAsia="zh-CN"/>
        </w:rPr>
        <w:t>2000</w:t>
      </w:r>
      <w:r>
        <w:rPr>
          <w:rFonts w:hint="eastAsia"/>
          <w:color w:val="auto"/>
        </w:rPr>
        <w:t>m</w:t>
      </w:r>
      <w:r>
        <w:rPr>
          <w:rFonts w:hint="eastAsia"/>
          <w:color w:val="auto"/>
          <w:vertAlign w:val="superscript"/>
        </w:rPr>
        <w:t>3</w:t>
      </w:r>
      <w:r>
        <w:rPr>
          <w:rFonts w:hint="eastAsia"/>
          <w:color w:val="auto"/>
        </w:rPr>
        <w:t>，剩余土方量约为</w:t>
      </w:r>
      <w:r>
        <w:rPr>
          <w:rFonts w:hint="eastAsia"/>
          <w:color w:val="auto"/>
          <w:lang w:val="en-US" w:eastAsia="zh-CN"/>
        </w:rPr>
        <w:t>1000</w:t>
      </w:r>
      <w:r>
        <w:rPr>
          <w:rFonts w:hint="eastAsia"/>
          <w:color w:val="auto"/>
        </w:rPr>
        <w:t>m</w:t>
      </w:r>
      <w:r>
        <w:rPr>
          <w:rFonts w:hint="eastAsia"/>
          <w:color w:val="auto"/>
          <w:vertAlign w:val="superscript"/>
        </w:rPr>
        <w:t>3</w:t>
      </w:r>
      <w:r>
        <w:rPr>
          <w:rFonts w:hint="eastAsia"/>
          <w:color w:val="auto"/>
        </w:rPr>
        <w:t>，用作修建周边道路的填方，工程不产生外运弃土。</w:t>
      </w:r>
    </w:p>
    <w:p>
      <w:pPr>
        <w:ind w:firstLine="480"/>
        <w:rPr>
          <w:color w:val="auto"/>
        </w:rPr>
      </w:pPr>
      <w:r>
        <w:rPr>
          <w:rFonts w:hint="eastAsia"/>
          <w:color w:val="auto"/>
        </w:rPr>
        <w:t>评价认为项目采取上述措施后，施工期固体废物可做到妥善处置，确保不对环境造成二次污染。固体废物污染防治措施合理有效，技术经济可行。</w:t>
      </w:r>
    </w:p>
    <w:p>
      <w:pPr>
        <w:pStyle w:val="8"/>
        <w:tabs>
          <w:tab w:val="clear" w:pos="0"/>
        </w:tabs>
        <w:rPr>
          <w:rFonts w:hint="eastAsia"/>
          <w:color w:val="auto"/>
        </w:rPr>
      </w:pPr>
      <w:r>
        <w:rPr>
          <w:rFonts w:hint="eastAsia" w:eastAsia="黑体"/>
          <w:color w:val="auto"/>
          <w:sz w:val="28"/>
          <w:szCs w:val="28"/>
        </w:rPr>
        <w:t>施工期生态环境保护措施论证</w:t>
      </w:r>
    </w:p>
    <w:p>
      <w:pPr>
        <w:pStyle w:val="9"/>
        <w:spacing w:before="120" w:beforeLines="50"/>
        <w:rPr>
          <w:rFonts w:hint="eastAsia"/>
          <w:color w:val="auto"/>
        </w:rPr>
      </w:pPr>
      <w:r>
        <w:rPr>
          <w:rFonts w:hint="eastAsia"/>
          <w:color w:val="auto"/>
        </w:rPr>
        <w:t>生态减缓补偿措施</w:t>
      </w:r>
    </w:p>
    <w:p>
      <w:pPr>
        <w:ind w:firstLine="480"/>
        <w:rPr>
          <w:rFonts w:hint="eastAsia"/>
          <w:color w:val="auto"/>
        </w:rPr>
      </w:pPr>
      <w:r>
        <w:rPr>
          <w:rFonts w:hint="eastAsia"/>
          <w:color w:val="auto"/>
        </w:rPr>
        <w:t>针对本项目的实际情况，本次评价建议采取以下生态减缓补偿措施：</w:t>
      </w:r>
    </w:p>
    <w:p>
      <w:pPr>
        <w:ind w:firstLine="480"/>
        <w:rPr>
          <w:rFonts w:hint="eastAsia"/>
          <w:color w:val="auto"/>
        </w:rPr>
      </w:pPr>
      <w:r>
        <w:rPr>
          <w:rFonts w:hint="eastAsia"/>
          <w:color w:val="auto"/>
        </w:rPr>
        <w:t>（1）严格控制施工线路，施工范围，避免对施工区外的生态环境造成破坏。</w:t>
      </w:r>
    </w:p>
    <w:p>
      <w:pPr>
        <w:ind w:firstLine="480"/>
        <w:rPr>
          <w:rFonts w:hint="eastAsia"/>
          <w:color w:val="auto"/>
        </w:rPr>
      </w:pPr>
      <w:r>
        <w:rPr>
          <w:rFonts w:hint="eastAsia"/>
          <w:color w:val="auto"/>
        </w:rPr>
        <w:t>（2）建设所需物料堆放在场区，可减少对土地的占用，减少对生态的影响。</w:t>
      </w:r>
    </w:p>
    <w:p>
      <w:pPr>
        <w:ind w:firstLine="480"/>
        <w:rPr>
          <w:rFonts w:hint="eastAsia"/>
          <w:color w:val="auto"/>
        </w:rPr>
      </w:pPr>
      <w:r>
        <w:rPr>
          <w:rFonts w:hint="eastAsia"/>
          <w:color w:val="auto"/>
        </w:rPr>
        <w:t>（3）禁止建筑垃圾乱堆乱放，占压施工场地以外土地。在加快施工进度的前提下，施工完毕后进行覆土绿化，破坏的植被进行及时恢复，不会对生态环境造成明显影响。</w:t>
      </w:r>
    </w:p>
    <w:p>
      <w:pPr>
        <w:pStyle w:val="9"/>
        <w:spacing w:before="120" w:beforeLines="50"/>
        <w:rPr>
          <w:rFonts w:hint="eastAsia"/>
          <w:color w:val="auto"/>
        </w:rPr>
      </w:pPr>
      <w:r>
        <w:rPr>
          <w:rFonts w:hint="eastAsia"/>
          <w:color w:val="auto"/>
        </w:rPr>
        <w:t>水土保持措施</w:t>
      </w:r>
    </w:p>
    <w:p>
      <w:pPr>
        <w:ind w:firstLine="480"/>
        <w:rPr>
          <w:rFonts w:hint="eastAsia"/>
          <w:color w:val="auto"/>
        </w:rPr>
      </w:pPr>
      <w:r>
        <w:rPr>
          <w:rFonts w:hint="eastAsia"/>
          <w:color w:val="auto"/>
        </w:rPr>
        <w:t>（1）设置导流系统</w:t>
      </w:r>
    </w:p>
    <w:p>
      <w:pPr>
        <w:ind w:firstLine="480"/>
        <w:rPr>
          <w:rFonts w:hint="eastAsia"/>
          <w:color w:val="auto"/>
        </w:rPr>
      </w:pPr>
      <w:r>
        <w:rPr>
          <w:rFonts w:hint="eastAsia"/>
          <w:color w:val="auto"/>
        </w:rPr>
        <w:t>及时做好排水导流工作，减轻水流对裸露地表的冲刷，应设置拦砂坝，在施工中应实施排水工程，以预防地面径流直接冲刷施工浮土，导致水土流失加剧。</w:t>
      </w:r>
    </w:p>
    <w:p>
      <w:pPr>
        <w:ind w:firstLine="480"/>
        <w:rPr>
          <w:rFonts w:hint="eastAsia"/>
          <w:color w:val="auto"/>
        </w:rPr>
      </w:pPr>
      <w:r>
        <w:rPr>
          <w:rFonts w:hint="eastAsia"/>
          <w:color w:val="auto"/>
        </w:rPr>
        <w:t>（2）施工时间选择</w:t>
      </w:r>
    </w:p>
    <w:p>
      <w:pPr>
        <w:ind w:firstLine="480"/>
        <w:rPr>
          <w:rFonts w:hint="eastAsia"/>
          <w:color w:val="auto"/>
        </w:rPr>
      </w:pPr>
      <w:r>
        <w:rPr>
          <w:rFonts w:hint="eastAsia"/>
          <w:color w:val="auto"/>
        </w:rPr>
        <w:t>本项目在建设施工期间，有大面积的裸露地表，容易形成水土流失面。项目应合理安排施工，尽量将土石方开挖期避开大规模的降雨天气，并尽量缩短挖方时间，尽量在雨季到来之前完成挖方工程。若遇雨季，应对水土流失进行重点防护。</w:t>
      </w:r>
    </w:p>
    <w:p>
      <w:pPr>
        <w:ind w:firstLine="480"/>
        <w:rPr>
          <w:rFonts w:hint="eastAsia"/>
          <w:color w:val="auto"/>
        </w:rPr>
      </w:pPr>
      <w:r>
        <w:rPr>
          <w:rFonts w:hint="eastAsia"/>
          <w:color w:val="auto"/>
        </w:rPr>
        <w:t>（3）项目所在地挖方、填方应尽量平衡，剥离土石方就地消化为填土石方。对开挖的土壤分层堆放，分层回填，以保护植被生长层，恢复土壤生产力。</w:t>
      </w:r>
    </w:p>
    <w:p>
      <w:pPr>
        <w:ind w:firstLine="480"/>
        <w:rPr>
          <w:color w:val="auto"/>
        </w:rPr>
      </w:pPr>
      <w:r>
        <w:rPr>
          <w:rFonts w:hint="eastAsia"/>
          <w:color w:val="auto"/>
        </w:rPr>
        <w:t>评价认为在工程施工阶段采取上述防治措施后，可有效防止施工期生态环境的恶化，将施工期对生态环境的影响降至最低。生态保护措施有效，技术经济可行。</w:t>
      </w:r>
    </w:p>
    <w:p>
      <w:pPr>
        <w:pStyle w:val="7"/>
        <w:rPr>
          <w:rFonts w:eastAsia="黑体"/>
          <w:color w:val="auto"/>
          <w:sz w:val="32"/>
        </w:rPr>
      </w:pPr>
      <w:bookmarkStart w:id="220" w:name="_Toc5048"/>
      <w:r>
        <w:rPr>
          <w:rFonts w:eastAsia="黑体"/>
          <w:color w:val="auto"/>
          <w:sz w:val="32"/>
        </w:rPr>
        <w:t>运营期环境保护措施及其可行性论证</w:t>
      </w:r>
      <w:bookmarkEnd w:id="220"/>
    </w:p>
    <w:p>
      <w:pPr>
        <w:pStyle w:val="8"/>
        <w:tabs>
          <w:tab w:val="clear" w:pos="0"/>
        </w:tabs>
        <w:rPr>
          <w:rFonts w:eastAsia="黑体"/>
          <w:color w:val="auto"/>
          <w:sz w:val="28"/>
          <w:szCs w:val="28"/>
        </w:rPr>
      </w:pPr>
      <w:r>
        <w:rPr>
          <w:rFonts w:eastAsia="黑体"/>
          <w:color w:val="auto"/>
          <w:sz w:val="28"/>
          <w:szCs w:val="28"/>
        </w:rPr>
        <w:t>运营期废水治理措施论证</w:t>
      </w:r>
    </w:p>
    <w:p>
      <w:pPr>
        <w:ind w:firstLine="480"/>
        <w:rPr>
          <w:color w:val="auto"/>
        </w:rPr>
      </w:pPr>
      <w:bookmarkStart w:id="221" w:name="_Hlk46247389"/>
      <w:r>
        <w:rPr>
          <w:rFonts w:hint="eastAsia"/>
          <w:color w:val="auto"/>
        </w:rPr>
        <w:t>本项目猪舍采用经环保部认定的干清粪工艺，猪粪实现日产日清，项目厂区实行雨污分流系统；废水由排污管道进入污水处理系统，采用“干湿分离（固液分离）+厌氧发酵”的处理工艺，处理后产生的沼气、沼液、沼渣均综合利用。</w:t>
      </w:r>
    </w:p>
    <w:bookmarkEnd w:id="221"/>
    <w:p>
      <w:pPr>
        <w:ind w:firstLine="480"/>
        <w:rPr>
          <w:rFonts w:hint="eastAsia"/>
          <w:color w:val="auto"/>
        </w:rPr>
      </w:pPr>
      <w:r>
        <w:rPr>
          <w:rFonts w:hint="eastAsia"/>
          <w:color w:val="auto"/>
        </w:rPr>
        <w:t>项目废水经干湿分离后，液体进入全封闭厌氧塘（</w:t>
      </w:r>
      <w:r>
        <w:rPr>
          <w:rFonts w:hint="eastAsia"/>
          <w:color w:val="auto"/>
          <w:lang w:eastAsia="zh-CN"/>
        </w:rPr>
        <w:t>黑膜沼气池</w:t>
      </w:r>
      <w:r>
        <w:rPr>
          <w:rFonts w:hint="eastAsia"/>
          <w:color w:val="auto"/>
        </w:rPr>
        <w:t>）后经厌氧发酵去除大部分有机物，猪粪和沼渣运至干粪堆场，定期运至专门的堆肥厂进行综合利用，沼液在</w:t>
      </w:r>
      <w:r>
        <w:rPr>
          <w:rFonts w:hint="eastAsia"/>
          <w:color w:val="auto"/>
          <w:lang w:eastAsia="zh-CN"/>
        </w:rPr>
        <w:t>沼液暂存池</w:t>
      </w:r>
      <w:r>
        <w:rPr>
          <w:rFonts w:hint="eastAsia"/>
          <w:color w:val="auto"/>
        </w:rPr>
        <w:t>暂存后在施肥季节施用于消纳地资源化利用。</w:t>
      </w:r>
    </w:p>
    <w:p>
      <w:pPr>
        <w:pStyle w:val="9"/>
        <w:spacing w:before="120" w:beforeLines="50"/>
        <w:rPr>
          <w:color w:val="auto"/>
        </w:rPr>
      </w:pPr>
      <w:r>
        <w:rPr>
          <w:rFonts w:hint="eastAsia"/>
          <w:color w:val="auto"/>
        </w:rPr>
        <w:t>污废水收集处理工艺</w:t>
      </w:r>
    </w:p>
    <w:p>
      <w:pPr>
        <w:ind w:firstLine="480"/>
        <w:rPr>
          <w:color w:val="auto"/>
        </w:rPr>
      </w:pPr>
      <w:r>
        <w:rPr>
          <w:rFonts w:hint="eastAsia"/>
          <w:color w:val="auto"/>
        </w:rPr>
        <w:t>（1）处理模式</w:t>
      </w:r>
    </w:p>
    <w:p>
      <w:pPr>
        <w:ind w:firstLine="480"/>
        <w:rPr>
          <w:color w:val="auto"/>
        </w:rPr>
      </w:pPr>
      <w:r>
        <w:rPr>
          <w:rFonts w:hint="eastAsia"/>
          <w:color w:val="auto"/>
        </w:rPr>
        <w:t>根据《畜禽养殖业污染防治技术规范》要求：畜禽养殖过程中产生的污水应坚持农牧结合、种养平衡的原则，经无害化处理后，实现污水资源化利用。</w:t>
      </w:r>
    </w:p>
    <w:p>
      <w:pPr>
        <w:ind w:firstLine="480"/>
        <w:rPr>
          <w:color w:val="auto"/>
        </w:rPr>
      </w:pPr>
      <w:r>
        <w:rPr>
          <w:color w:val="auto"/>
        </w:rPr>
        <w:t>《畜禽养殖业污染治理工程技术规范》（HJ497-2009）推荐了三种方式：</w:t>
      </w:r>
    </w:p>
    <w:p>
      <w:pPr>
        <w:ind w:firstLine="480"/>
        <w:rPr>
          <w:color w:val="auto"/>
        </w:rPr>
      </w:pPr>
      <w:r>
        <w:rPr>
          <w:rFonts w:hint="eastAsia" w:ascii="宋体" w:hAnsi="宋体" w:cs="宋体"/>
          <w:color w:val="auto"/>
        </w:rPr>
        <w:t>①</w:t>
      </w:r>
      <w:r>
        <w:rPr>
          <w:color w:val="auto"/>
        </w:rPr>
        <w:t>模式Ⅰ</w:t>
      </w:r>
    </w:p>
    <w:p>
      <w:pPr>
        <w:spacing w:before="120" w:beforeLines="50" w:after="120" w:afterLines="50" w:line="240" w:lineRule="auto"/>
        <w:ind w:firstLine="0" w:firstLineChars="0"/>
        <w:jc w:val="center"/>
        <w:rPr>
          <w:rFonts w:hint="eastAsia"/>
          <w:color w:val="auto"/>
        </w:rPr>
      </w:pPr>
      <w:r>
        <w:rPr>
          <w:color w:val="auto"/>
          <w:lang/>
        </w:rPr>
        <w:drawing>
          <wp:inline distT="0" distB="0" distL="114300" distR="114300">
            <wp:extent cx="4030345" cy="1283335"/>
            <wp:effectExtent l="0" t="0" r="8255" b="12065"/>
            <wp:docPr id="3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7"/>
                    <pic:cNvPicPr>
                      <a:picLocks noChangeAspect="1"/>
                    </pic:cNvPicPr>
                  </pic:nvPicPr>
                  <pic:blipFill>
                    <a:blip r:embed="rId84"/>
                    <a:stretch>
                      <a:fillRect/>
                    </a:stretch>
                  </pic:blipFill>
                  <pic:spPr>
                    <a:xfrm>
                      <a:off x="0" y="0"/>
                      <a:ext cx="4030345" cy="1283335"/>
                    </a:xfrm>
                    <a:prstGeom prst="rect">
                      <a:avLst/>
                    </a:prstGeom>
                    <a:noFill/>
                    <a:ln>
                      <a:noFill/>
                    </a:ln>
                  </pic:spPr>
                </pic:pic>
              </a:graphicData>
            </a:graphic>
          </wp:inline>
        </w:drawing>
      </w:r>
    </w:p>
    <w:p>
      <w:pPr>
        <w:ind w:firstLine="480"/>
        <w:rPr>
          <w:color w:val="auto"/>
        </w:rPr>
      </w:pPr>
      <w:r>
        <w:rPr>
          <w:rFonts w:hint="eastAsia" w:ascii="宋体" w:hAnsi="宋体" w:cs="宋体"/>
          <w:color w:val="auto"/>
        </w:rPr>
        <w:t>②</w:t>
      </w:r>
      <w:r>
        <w:rPr>
          <w:color w:val="auto"/>
        </w:rPr>
        <w:t>模式Ⅱ</w:t>
      </w:r>
    </w:p>
    <w:p>
      <w:pPr>
        <w:spacing w:line="240" w:lineRule="auto"/>
        <w:ind w:firstLine="0" w:firstLineChars="0"/>
        <w:jc w:val="center"/>
        <w:rPr>
          <w:color w:val="auto"/>
          <w:position w:val="-41"/>
          <w:sz w:val="20"/>
          <w:szCs w:val="20"/>
        </w:rPr>
      </w:pPr>
      <w:r>
        <w:rPr>
          <w:color w:val="auto"/>
          <w:position w:val="-41"/>
          <w:sz w:val="20"/>
          <w:szCs w:val="20"/>
        </w:rPr>
        <w:drawing>
          <wp:inline distT="0" distB="0" distL="114300" distR="114300">
            <wp:extent cx="4559935" cy="1186815"/>
            <wp:effectExtent l="0" t="0" r="12065" b="13335"/>
            <wp:docPr id="3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8"/>
                    <pic:cNvPicPr>
                      <a:picLocks noChangeAspect="1"/>
                    </pic:cNvPicPr>
                  </pic:nvPicPr>
                  <pic:blipFill>
                    <a:blip r:embed="rId85"/>
                    <a:stretch>
                      <a:fillRect/>
                    </a:stretch>
                  </pic:blipFill>
                  <pic:spPr>
                    <a:xfrm>
                      <a:off x="0" y="0"/>
                      <a:ext cx="4559935" cy="1186815"/>
                    </a:xfrm>
                    <a:prstGeom prst="rect">
                      <a:avLst/>
                    </a:prstGeom>
                    <a:noFill/>
                    <a:ln>
                      <a:noFill/>
                    </a:ln>
                  </pic:spPr>
                </pic:pic>
              </a:graphicData>
            </a:graphic>
          </wp:inline>
        </w:drawing>
      </w:r>
    </w:p>
    <w:p>
      <w:pPr>
        <w:ind w:firstLine="480"/>
        <w:rPr>
          <w:color w:val="auto"/>
        </w:rPr>
      </w:pPr>
      <w:r>
        <w:rPr>
          <w:rFonts w:hint="eastAsia" w:ascii="宋体" w:hAnsi="宋体" w:cs="宋体"/>
          <w:color w:val="auto"/>
        </w:rPr>
        <w:t>③</w:t>
      </w:r>
      <w:r>
        <w:rPr>
          <w:color w:val="auto"/>
        </w:rPr>
        <w:t>模式Ⅲ</w:t>
      </w:r>
    </w:p>
    <w:p>
      <w:pPr>
        <w:adjustRightInd w:val="0"/>
        <w:snapToGrid w:val="0"/>
        <w:spacing w:line="240" w:lineRule="auto"/>
        <w:ind w:firstLine="0" w:firstLineChars="0"/>
        <w:jc w:val="center"/>
        <w:rPr>
          <w:rFonts w:hint="eastAsia"/>
          <w:color w:val="auto"/>
        </w:rPr>
      </w:pPr>
      <w:r>
        <w:rPr>
          <w:rFonts w:hint="eastAsia"/>
          <w:color w:val="auto"/>
          <w:position w:val="-52"/>
          <w:sz w:val="20"/>
          <w:szCs w:val="20"/>
        </w:rPr>
        <w:drawing>
          <wp:inline distT="0" distB="0" distL="114300" distR="114300">
            <wp:extent cx="4915535" cy="1433195"/>
            <wp:effectExtent l="0" t="0" r="18415" b="14605"/>
            <wp:docPr id="3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9"/>
                    <pic:cNvPicPr>
                      <a:picLocks noChangeAspect="1"/>
                    </pic:cNvPicPr>
                  </pic:nvPicPr>
                  <pic:blipFill>
                    <a:blip r:embed="rId86"/>
                    <a:stretch>
                      <a:fillRect/>
                    </a:stretch>
                  </pic:blipFill>
                  <pic:spPr>
                    <a:xfrm>
                      <a:off x="0" y="0"/>
                      <a:ext cx="4915535" cy="1433195"/>
                    </a:xfrm>
                    <a:prstGeom prst="rect">
                      <a:avLst/>
                    </a:prstGeom>
                    <a:noFill/>
                    <a:ln>
                      <a:noFill/>
                    </a:ln>
                  </pic:spPr>
                </pic:pic>
              </a:graphicData>
            </a:graphic>
          </wp:inline>
        </w:drawing>
      </w:r>
    </w:p>
    <w:p>
      <w:pPr>
        <w:pStyle w:val="166"/>
        <w:spacing w:before="0" w:beforeLines="0" w:line="360" w:lineRule="auto"/>
        <w:rPr>
          <w:rFonts w:hint="eastAsia"/>
          <w:color w:val="auto"/>
        </w:rPr>
      </w:pPr>
      <w:r>
        <w:rPr>
          <w:color w:val="auto"/>
        </w:rPr>
        <w:t>图7.2-1</w:t>
      </w:r>
      <w:r>
        <w:rPr>
          <w:rFonts w:hint="eastAsia"/>
          <w:color w:val="auto"/>
          <w:lang w:val="en-US" w:eastAsia="zh-CN"/>
        </w:rPr>
        <w:t xml:space="preserve"> </w:t>
      </w:r>
      <w:r>
        <w:rPr>
          <w:color w:val="auto"/>
        </w:rPr>
        <w:t>畜禽养殖污水处理的三种工艺</w:t>
      </w:r>
    </w:p>
    <w:tbl>
      <w:tblPr>
        <w:tblStyle w:val="51"/>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53"/>
        <w:gridCol w:w="873"/>
        <w:gridCol w:w="4394"/>
        <w:gridCol w:w="326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After w:w="0" w:type="dxa"/>
          <w:trHeight w:val="340" w:hRule="atLeast"/>
          <w:tblHeader/>
          <w:jc w:val="center"/>
        </w:trPr>
        <w:tc>
          <w:tcPr>
            <w:tcW w:w="653" w:type="dxa"/>
            <w:noWrap w:val="0"/>
            <w:vAlign w:val="center"/>
          </w:tcPr>
          <w:p>
            <w:pPr>
              <w:pStyle w:val="149"/>
              <w:adjustRightInd w:val="0"/>
              <w:snapToGrid w:val="0"/>
              <w:rPr>
                <w:color w:val="auto"/>
              </w:rPr>
            </w:pPr>
            <w:r>
              <w:rPr>
                <w:color w:val="auto"/>
              </w:rPr>
              <w:t>序号</w:t>
            </w:r>
          </w:p>
        </w:tc>
        <w:tc>
          <w:tcPr>
            <w:tcW w:w="873" w:type="dxa"/>
            <w:noWrap w:val="0"/>
            <w:vAlign w:val="center"/>
          </w:tcPr>
          <w:p>
            <w:pPr>
              <w:pStyle w:val="149"/>
              <w:adjustRightInd w:val="0"/>
              <w:snapToGrid w:val="0"/>
              <w:rPr>
                <w:color w:val="auto"/>
              </w:rPr>
            </w:pPr>
            <w:r>
              <w:rPr>
                <w:color w:val="auto"/>
              </w:rPr>
              <w:t>名称</w:t>
            </w:r>
          </w:p>
        </w:tc>
        <w:tc>
          <w:tcPr>
            <w:tcW w:w="4394" w:type="dxa"/>
            <w:noWrap w:val="0"/>
            <w:vAlign w:val="center"/>
          </w:tcPr>
          <w:p>
            <w:pPr>
              <w:pStyle w:val="149"/>
              <w:adjustRightInd w:val="0"/>
              <w:snapToGrid w:val="0"/>
              <w:rPr>
                <w:color w:val="auto"/>
              </w:rPr>
            </w:pPr>
            <w:r>
              <w:rPr>
                <w:rFonts w:hint="eastAsia"/>
                <w:color w:val="auto"/>
              </w:rPr>
              <w:t>适用条件</w:t>
            </w:r>
          </w:p>
        </w:tc>
        <w:tc>
          <w:tcPr>
            <w:tcW w:w="3260" w:type="dxa"/>
            <w:noWrap w:val="0"/>
            <w:vAlign w:val="center"/>
          </w:tcPr>
          <w:p>
            <w:pPr>
              <w:pStyle w:val="149"/>
              <w:adjustRightInd w:val="0"/>
              <w:snapToGrid w:val="0"/>
              <w:rPr>
                <w:color w:val="auto"/>
              </w:rPr>
            </w:pPr>
            <w:r>
              <w:rPr>
                <w:rFonts w:hint="eastAsia"/>
                <w:color w:val="auto"/>
              </w:rPr>
              <w:t>本项目实际情况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After w:w="0" w:type="dxa"/>
          <w:trHeight w:val="340" w:hRule="atLeast"/>
          <w:jc w:val="center"/>
        </w:trPr>
        <w:tc>
          <w:tcPr>
            <w:tcW w:w="653" w:type="dxa"/>
            <w:noWrap w:val="0"/>
            <w:vAlign w:val="center"/>
          </w:tcPr>
          <w:p>
            <w:pPr>
              <w:pStyle w:val="110"/>
              <w:adjustRightInd w:val="0"/>
              <w:snapToGrid w:val="0"/>
              <w:spacing w:line="240" w:lineRule="auto"/>
              <w:rPr>
                <w:color w:val="auto"/>
              </w:rPr>
            </w:pPr>
            <w:r>
              <w:rPr>
                <w:color w:val="auto"/>
              </w:rPr>
              <w:t>1</w:t>
            </w:r>
          </w:p>
        </w:tc>
        <w:tc>
          <w:tcPr>
            <w:tcW w:w="873" w:type="dxa"/>
            <w:noWrap w:val="0"/>
            <w:vAlign w:val="center"/>
          </w:tcPr>
          <w:p>
            <w:pPr>
              <w:pStyle w:val="110"/>
              <w:adjustRightInd w:val="0"/>
              <w:snapToGrid w:val="0"/>
              <w:spacing w:line="240" w:lineRule="auto"/>
              <w:rPr>
                <w:color w:val="auto"/>
              </w:rPr>
            </w:pPr>
            <w:r>
              <w:rPr>
                <w:rFonts w:hint="eastAsia"/>
                <w:color w:val="auto"/>
              </w:rPr>
              <w:t>模式Ⅰ</w:t>
            </w:r>
          </w:p>
        </w:tc>
        <w:tc>
          <w:tcPr>
            <w:tcW w:w="4394" w:type="dxa"/>
            <w:noWrap w:val="0"/>
            <w:vAlign w:val="center"/>
          </w:tcPr>
          <w:p>
            <w:pPr>
              <w:pStyle w:val="110"/>
              <w:adjustRightInd w:val="0"/>
              <w:snapToGrid w:val="0"/>
              <w:spacing w:line="240" w:lineRule="auto"/>
              <w:jc w:val="left"/>
              <w:rPr>
                <w:color w:val="auto"/>
              </w:rPr>
            </w:pPr>
            <w:r>
              <w:rPr>
                <w:rFonts w:hint="eastAsia"/>
                <w:color w:val="auto"/>
              </w:rPr>
              <w:t>适用于当地有较大的能源需求，沼气能完全利用，同时周边有足够土地消纳沼液、沼渣，并有一倍以上的土地轮作面积，使整个养殖场（区）的畜禽排泄物在小区域范围内全部达到循环利用的情况。</w:t>
            </w:r>
          </w:p>
        </w:tc>
        <w:tc>
          <w:tcPr>
            <w:tcW w:w="3260" w:type="dxa"/>
            <w:vMerge w:val="restart"/>
            <w:noWrap w:val="0"/>
            <w:vAlign w:val="center"/>
          </w:tcPr>
          <w:p>
            <w:pPr>
              <w:pStyle w:val="110"/>
              <w:adjustRightInd w:val="0"/>
              <w:snapToGrid w:val="0"/>
              <w:spacing w:line="240" w:lineRule="auto"/>
              <w:rPr>
                <w:rFonts w:hint="eastAsia"/>
                <w:color w:val="auto"/>
                <w:kern w:val="0"/>
              </w:rPr>
            </w:pPr>
            <w:r>
              <w:rPr>
                <w:rFonts w:hint="eastAsia"/>
                <w:color w:val="auto"/>
                <w:kern w:val="0"/>
              </w:rPr>
              <w:t>根据章节5</w:t>
            </w:r>
            <w:r>
              <w:rPr>
                <w:color w:val="auto"/>
                <w:kern w:val="0"/>
              </w:rPr>
              <w:t>.2.1</w:t>
            </w:r>
            <w:r>
              <w:rPr>
                <w:rFonts w:hint="eastAsia"/>
                <w:color w:val="auto"/>
                <w:kern w:val="0"/>
              </w:rPr>
              <w:t>分析，本项目周边有足够的土地用于消纳进行污染物无害化处理的沼液，并有一定的土地轮作面积，沼气可部分用作职工食堂炊事燃料，剩余少量沼气火炬燃烧。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After w:w="0" w:type="dxa"/>
          <w:trHeight w:val="340" w:hRule="atLeast"/>
          <w:jc w:val="center"/>
        </w:trPr>
        <w:tc>
          <w:tcPr>
            <w:tcW w:w="653" w:type="dxa"/>
            <w:noWrap w:val="0"/>
            <w:vAlign w:val="center"/>
          </w:tcPr>
          <w:p>
            <w:pPr>
              <w:pStyle w:val="110"/>
              <w:adjustRightInd w:val="0"/>
              <w:snapToGrid w:val="0"/>
              <w:spacing w:line="240" w:lineRule="auto"/>
              <w:rPr>
                <w:color w:val="auto"/>
              </w:rPr>
            </w:pPr>
            <w:r>
              <w:rPr>
                <w:color w:val="auto"/>
              </w:rPr>
              <w:t>2</w:t>
            </w:r>
          </w:p>
        </w:tc>
        <w:tc>
          <w:tcPr>
            <w:tcW w:w="873" w:type="dxa"/>
            <w:noWrap w:val="0"/>
            <w:vAlign w:val="center"/>
          </w:tcPr>
          <w:p>
            <w:pPr>
              <w:pStyle w:val="110"/>
              <w:adjustRightInd w:val="0"/>
              <w:snapToGrid w:val="0"/>
              <w:spacing w:line="240" w:lineRule="auto"/>
              <w:rPr>
                <w:color w:val="auto"/>
              </w:rPr>
            </w:pPr>
            <w:r>
              <w:rPr>
                <w:color w:val="auto"/>
              </w:rPr>
              <w:t>模式Ⅱ</w:t>
            </w:r>
          </w:p>
        </w:tc>
        <w:tc>
          <w:tcPr>
            <w:tcW w:w="4394" w:type="dxa"/>
            <w:noWrap w:val="0"/>
            <w:vAlign w:val="center"/>
          </w:tcPr>
          <w:p>
            <w:pPr>
              <w:pStyle w:val="110"/>
              <w:adjustRightInd w:val="0"/>
              <w:snapToGrid w:val="0"/>
              <w:spacing w:line="240" w:lineRule="auto"/>
              <w:jc w:val="left"/>
              <w:rPr>
                <w:color w:val="auto"/>
              </w:rPr>
            </w:pPr>
            <w:r>
              <w:rPr>
                <w:rFonts w:hint="eastAsia"/>
                <w:color w:val="auto"/>
              </w:rPr>
              <w:t>适用于能源需求不大，主要以进行污染物无害化处理、降低有机物浓度、减少沼液和沼渣消纳所需配套的土地面积为目的，且养殖场周围具有足够土地面积全部消纳低浓度沼液，并且有一定的土地轮作面积的情况。</w:t>
            </w:r>
          </w:p>
        </w:tc>
        <w:tc>
          <w:tcPr>
            <w:tcW w:w="3260" w:type="dxa"/>
            <w:vMerge w:val="continue"/>
            <w:noWrap w:val="0"/>
            <w:vAlign w:val="center"/>
          </w:tcPr>
          <w:p>
            <w:pPr>
              <w:pStyle w:val="110"/>
              <w:adjustRightInd w:val="0"/>
              <w:snapToGrid w:val="0"/>
              <w:spacing w:line="240" w:lineRule="auto"/>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wAfter w:w="0" w:type="dxa"/>
          <w:trHeight w:val="340" w:hRule="atLeast"/>
          <w:jc w:val="center"/>
        </w:trPr>
        <w:tc>
          <w:tcPr>
            <w:tcW w:w="653" w:type="dxa"/>
            <w:noWrap w:val="0"/>
            <w:vAlign w:val="center"/>
          </w:tcPr>
          <w:p>
            <w:pPr>
              <w:pStyle w:val="110"/>
              <w:adjustRightInd w:val="0"/>
              <w:snapToGrid w:val="0"/>
              <w:spacing w:line="240" w:lineRule="auto"/>
              <w:rPr>
                <w:color w:val="auto"/>
              </w:rPr>
            </w:pPr>
            <w:r>
              <w:rPr>
                <w:color w:val="auto"/>
              </w:rPr>
              <w:t>3</w:t>
            </w:r>
          </w:p>
        </w:tc>
        <w:tc>
          <w:tcPr>
            <w:tcW w:w="873" w:type="dxa"/>
            <w:noWrap w:val="0"/>
            <w:vAlign w:val="center"/>
          </w:tcPr>
          <w:p>
            <w:pPr>
              <w:pStyle w:val="110"/>
              <w:adjustRightInd w:val="0"/>
              <w:snapToGrid w:val="0"/>
              <w:spacing w:line="240" w:lineRule="auto"/>
              <w:rPr>
                <w:color w:val="auto"/>
              </w:rPr>
            </w:pPr>
            <w:r>
              <w:rPr>
                <w:color w:val="auto"/>
              </w:rPr>
              <w:t>模式Ⅲ</w:t>
            </w:r>
          </w:p>
        </w:tc>
        <w:tc>
          <w:tcPr>
            <w:tcW w:w="4394" w:type="dxa"/>
            <w:noWrap w:val="0"/>
            <w:vAlign w:val="center"/>
          </w:tcPr>
          <w:p>
            <w:pPr>
              <w:pStyle w:val="110"/>
              <w:adjustRightInd w:val="0"/>
              <w:snapToGrid w:val="0"/>
              <w:spacing w:line="240" w:lineRule="auto"/>
              <w:jc w:val="left"/>
              <w:rPr>
                <w:color w:val="auto"/>
              </w:rPr>
            </w:pPr>
            <w:r>
              <w:rPr>
                <w:rFonts w:hint="eastAsia"/>
                <w:color w:val="auto"/>
              </w:rPr>
              <w:t>适用于能源需求不高且沼液和沼渣无法进行土地消纳，废水必须经处理后达标排放或回用的。</w:t>
            </w:r>
          </w:p>
        </w:tc>
        <w:tc>
          <w:tcPr>
            <w:tcW w:w="3260" w:type="dxa"/>
            <w:vMerge w:val="continue"/>
            <w:noWrap w:val="0"/>
            <w:vAlign w:val="center"/>
          </w:tcPr>
          <w:p>
            <w:pPr>
              <w:pStyle w:val="110"/>
              <w:adjustRightInd w:val="0"/>
              <w:snapToGrid w:val="0"/>
              <w:spacing w:line="240" w:lineRule="auto"/>
              <w:rPr>
                <w:color w:val="auto"/>
              </w:rPr>
            </w:pPr>
          </w:p>
        </w:tc>
      </w:tr>
    </w:tbl>
    <w:p>
      <w:pPr>
        <w:spacing w:before="120" w:beforeLines="50"/>
        <w:ind w:firstLine="480"/>
        <w:rPr>
          <w:color w:val="auto"/>
        </w:rPr>
      </w:pPr>
      <w:r>
        <w:rPr>
          <w:rFonts w:hint="eastAsia"/>
          <w:color w:val="auto"/>
        </w:rPr>
        <w:t>在《畜禽养殖业污染治理工程技术规范》编制说明（征求意见稿）中，确定了两种畜禽养殖废水的处理模式，一种为“达标排放”模式（模式Ⅲ），一种为</w:t>
      </w:r>
      <w:bookmarkStart w:id="222" w:name="_Hlk46245825"/>
      <w:r>
        <w:rPr>
          <w:rFonts w:hint="eastAsia"/>
          <w:color w:val="auto"/>
        </w:rPr>
        <w:t>“综合利用”模式（模式Ⅰ和Ⅱ）</w:t>
      </w:r>
      <w:bookmarkEnd w:id="222"/>
      <w:r>
        <w:rPr>
          <w:rFonts w:hint="eastAsia"/>
          <w:color w:val="auto"/>
        </w:rPr>
        <w:t>，这两种处理模式与我国《大中型畜禽养殖场能源环境工程建设规划》确立的畜禽粪污治理模式也是相符合的。“达标排放”模式（模式Ⅲ）多用于大、中城市的近郊区。与综合利用模式相比，达标排放模式的工程造价和运行费均相对较高。“综合利用”模式（模式Ⅰ和Ⅱ）遵循了生态农业原则，具有良好的经济效益和环境效益。</w:t>
      </w:r>
    </w:p>
    <w:p>
      <w:pPr>
        <w:ind w:firstLine="480"/>
        <w:rPr>
          <w:color w:val="auto"/>
        </w:rPr>
      </w:pPr>
      <w:r>
        <w:rPr>
          <w:rFonts w:hint="eastAsia"/>
          <w:color w:val="auto"/>
        </w:rPr>
        <w:t>本项目遵循种养平衡的原则，且周边有足够的土地用于消纳</w:t>
      </w:r>
      <w:r>
        <w:rPr>
          <w:rFonts w:hint="eastAsia"/>
          <w:color w:val="auto"/>
          <w:kern w:val="0"/>
        </w:rPr>
        <w:t>进行污染物无害化处理的沼液</w:t>
      </w:r>
      <w:r>
        <w:rPr>
          <w:rFonts w:hint="eastAsia"/>
          <w:color w:val="auto"/>
        </w:rPr>
        <w:t>，本项目拟参考模式Ⅱ，采用“干湿分离（固液分离）+厌氧发酵”的处理工艺，处理后的沼液还田利用。</w:t>
      </w:r>
    </w:p>
    <w:p>
      <w:pPr>
        <w:adjustRightInd w:val="0"/>
        <w:snapToGrid w:val="0"/>
        <w:ind w:firstLine="480"/>
        <w:rPr>
          <w:color w:val="auto"/>
        </w:rPr>
      </w:pPr>
      <w:r>
        <w:rPr>
          <w:rFonts w:hint="eastAsia"/>
          <w:color w:val="auto"/>
        </w:rPr>
        <w:t>（2）处理工艺</w:t>
      </w:r>
    </w:p>
    <w:p>
      <w:pPr>
        <w:adjustRightInd w:val="0"/>
        <w:snapToGrid w:val="0"/>
        <w:ind w:firstLine="480"/>
        <w:rPr>
          <w:color w:val="auto"/>
        </w:rPr>
      </w:pPr>
      <w:r>
        <w:rPr>
          <w:rFonts w:hint="eastAsia"/>
          <w:color w:val="auto"/>
        </w:rPr>
        <w:t>本项目猪舍采用经环保部认定的干清粪工艺，猪粪实现日产日清，项目厂区实行雨污分流系统；废水由排污管道进入污水处理系统，采用“干湿分离（固液分离）+厌氧发酵（黑膜沼气池）”的处理工艺，处理后产生的沼气、沼液、沼渣均综合利用。</w:t>
      </w:r>
    </w:p>
    <w:p>
      <w:pPr>
        <w:adjustRightInd w:val="0"/>
        <w:snapToGrid w:val="0"/>
        <w:ind w:firstLine="480"/>
        <w:rPr>
          <w:color w:val="auto"/>
        </w:rPr>
      </w:pPr>
      <w:r>
        <w:rPr>
          <w:rFonts w:hint="eastAsia"/>
          <w:color w:val="auto"/>
        </w:rPr>
        <w:t>黑膜沼气池俗名盖泻湖、覆膜沼气池和土工膜沼气池，学名“全封闭厌氧塘”，集发酵、贮气于一体，是在开挖好的土方基础上，采用优质HDPE材料，由底膜和顶膜密封形成的全封闭厌氧反应器。在黑膜沼气池内，污水中的有机物在微生物作用下降解转化生成沼气，系统配置沼气净化和利用设施。黑膜沼气池容积大、深度较深，污水进入池内后，每天进水量相对较少，因此耐污水的冲击负荷强；加之用黑膜（具有隔温功能）覆盖的地埋式沼气池具有冬季相对恒温的特点，池内污水温度受外界影响较小，冬季不需保温。</w:t>
      </w:r>
    </w:p>
    <w:p>
      <w:pPr>
        <w:ind w:firstLine="480"/>
        <w:rPr>
          <w:rFonts w:hint="eastAsia"/>
          <w:color w:val="auto"/>
        </w:rPr>
      </w:pPr>
      <w:r>
        <w:rPr>
          <w:rFonts w:hint="eastAsia"/>
          <w:color w:val="auto"/>
        </w:rPr>
        <w:t>全封闭厌氧塘的优点如下：①全封闭厌氧塘具有优异的化学稳定性，耐高低温，耐沥青、油及焦油，耐酸、碱、盐等80多种强酸强碱化学介质腐蚀；对进水SS浓度无要求，不会造成污泥淤积，拥堵管道。②全封闭厌氧塘施工简单，建设成本低；施工简单，建设周期短；安全性高，工艺流程短，运行维护方便，广泛适用于禽畜粪污水的处理、城垃圾填埋场等。③项目全封闭厌氧塘厌氧发酵产生的沼气可以作为燃料综合利用。④全封闭厌氧塘内温度稳定，水力停留时间长，有利于厌氧菌发酵，COD去除率在80%以上，出水呈红棕色，腐化程度较高，沼液异味小，不会造成二次发酵烧苗现象；⑤全封闭厌氧塘厌氧发酵容积大、污水滞留期长、沼气产生量大、运行处理费低。</w:t>
      </w:r>
    </w:p>
    <w:p>
      <w:pPr>
        <w:ind w:firstLine="480"/>
        <w:rPr>
          <w:rFonts w:hint="eastAsia"/>
          <w:color w:val="auto"/>
        </w:rPr>
      </w:pPr>
      <w:r>
        <w:rPr>
          <w:rFonts w:hint="eastAsia"/>
          <w:color w:val="auto"/>
        </w:rPr>
        <w:t>本项目全封闭厌氧塘（黑膜沼气池）采用常温发酵，废水处理产生的沼气经配套净化装置净化后，部分供给职工食堂使用，剩余火炬燃烧；沼液在非施肥季节储存于</w:t>
      </w:r>
      <w:r>
        <w:rPr>
          <w:rFonts w:hint="eastAsia"/>
          <w:color w:val="auto"/>
          <w:lang w:eastAsia="zh-CN"/>
        </w:rPr>
        <w:t>沼液暂存池</w:t>
      </w:r>
      <w:r>
        <w:rPr>
          <w:rFonts w:hint="eastAsia"/>
          <w:color w:val="auto"/>
        </w:rPr>
        <w:t>，满足《畜禽养殖业污染防治技术规范》（HJ/T81-2001）相关要求。</w:t>
      </w:r>
    </w:p>
    <w:p>
      <w:pPr>
        <w:ind w:firstLine="480"/>
        <w:rPr>
          <w:rFonts w:hint="eastAsia"/>
          <w:color w:val="auto"/>
        </w:rPr>
      </w:pPr>
      <w:r>
        <w:rPr>
          <w:rFonts w:hint="eastAsia"/>
          <w:color w:val="auto"/>
        </w:rPr>
        <w:t>本项目采用的经环保部认定的清粪工艺后，全封闭厌氧塘（</w:t>
      </w:r>
      <w:r>
        <w:rPr>
          <w:rFonts w:hint="eastAsia"/>
          <w:color w:val="auto"/>
          <w:lang w:eastAsia="zh-CN"/>
        </w:rPr>
        <w:t>黑膜沼气池</w:t>
      </w:r>
      <w:r>
        <w:rPr>
          <w:rFonts w:hint="eastAsia"/>
          <w:color w:val="auto"/>
        </w:rPr>
        <w:t>）根据出水水质控制要求来调整水力停留时间，确保废水处理效果。</w:t>
      </w:r>
    </w:p>
    <w:p>
      <w:pPr>
        <w:ind w:firstLine="480"/>
        <w:rPr>
          <w:rFonts w:hint="eastAsia"/>
          <w:color w:val="auto"/>
        </w:rPr>
      </w:pPr>
      <w:r>
        <w:rPr>
          <w:rFonts w:hint="eastAsia"/>
          <w:color w:val="auto"/>
        </w:rPr>
        <w:t>废水经过固液分离机处理，能够减少废水中的粪便固形物，做到沼液的保氮保肥，最大限度的发挥全封闭厌氧塘（</w:t>
      </w:r>
      <w:r>
        <w:rPr>
          <w:rFonts w:hint="eastAsia"/>
          <w:color w:val="auto"/>
          <w:lang w:eastAsia="zh-CN"/>
        </w:rPr>
        <w:t>黑膜沼气池</w:t>
      </w:r>
      <w:r>
        <w:rPr>
          <w:rFonts w:hint="eastAsia"/>
          <w:color w:val="auto"/>
        </w:rPr>
        <w:t>）除臭杀菌的作用。经过厌氧发酵处理后产生的沼液属于高浓度有机废水，该废水具有有机物浓度高、可生化性好、易降解的特点，是较为理想的农肥。</w:t>
      </w:r>
    </w:p>
    <w:p>
      <w:pPr>
        <w:pStyle w:val="9"/>
        <w:spacing w:before="120" w:beforeLines="50"/>
        <w:rPr>
          <w:rFonts w:hint="eastAsia"/>
          <w:color w:val="auto"/>
        </w:rPr>
      </w:pPr>
      <w:r>
        <w:rPr>
          <w:rFonts w:hint="eastAsia"/>
          <w:color w:val="auto"/>
          <w:lang w:eastAsia="zh-CN"/>
        </w:rPr>
        <w:t>沼液暂存池</w:t>
      </w:r>
      <w:r>
        <w:rPr>
          <w:rFonts w:hint="eastAsia"/>
          <w:color w:val="auto"/>
        </w:rPr>
        <w:t>内暂存的可行性分析</w:t>
      </w:r>
    </w:p>
    <w:p>
      <w:pPr>
        <w:ind w:firstLine="480"/>
        <w:rPr>
          <w:rFonts w:hint="eastAsia"/>
          <w:color w:val="auto"/>
        </w:rPr>
      </w:pPr>
      <w:r>
        <w:rPr>
          <w:rFonts w:hint="eastAsia"/>
          <w:color w:val="auto"/>
        </w:rPr>
        <w:t>本项目设计建设1个</w:t>
      </w:r>
      <w:r>
        <w:rPr>
          <w:rFonts w:hint="eastAsia"/>
          <w:color w:val="auto"/>
          <w:lang w:eastAsia="zh-CN"/>
        </w:rPr>
        <w:t>沼液暂存池</w:t>
      </w:r>
      <w:r>
        <w:rPr>
          <w:rFonts w:hint="eastAsia"/>
          <w:color w:val="auto"/>
        </w:rPr>
        <w:t>，容积为</w:t>
      </w:r>
      <w:r>
        <w:rPr>
          <w:rFonts w:hint="eastAsia"/>
          <w:color w:val="auto"/>
          <w:lang w:val="en-US" w:eastAsia="zh-CN"/>
        </w:rPr>
        <w:t>65</w:t>
      </w:r>
      <w:r>
        <w:rPr>
          <w:rFonts w:hint="eastAsia"/>
          <w:color w:val="auto"/>
        </w:rPr>
        <w:t>00m</w:t>
      </w:r>
      <w:r>
        <w:rPr>
          <w:rFonts w:hint="eastAsia"/>
          <w:color w:val="auto"/>
          <w:vertAlign w:val="superscript"/>
        </w:rPr>
        <w:t>3</w:t>
      </w:r>
      <w:r>
        <w:rPr>
          <w:rFonts w:hint="eastAsia"/>
          <w:color w:val="auto"/>
        </w:rPr>
        <w:t>。本项目消纳区农作物主要为水稻和油菜、果园为柚子，用肥的最大间隔时间一般小于90天，冬季封冻期或雨季最长降雨期（</w:t>
      </w:r>
      <w:r>
        <w:rPr>
          <w:rFonts w:hint="eastAsia"/>
          <w:color w:val="auto"/>
          <w:lang w:val="en-US" w:eastAsia="zh-CN"/>
        </w:rPr>
        <w:t>游仙区</w:t>
      </w:r>
      <w:r>
        <w:rPr>
          <w:rFonts w:hint="eastAsia"/>
          <w:color w:val="auto"/>
        </w:rPr>
        <w:t>气候温和，冬季平均气温在</w:t>
      </w:r>
      <w:r>
        <w:rPr>
          <w:rFonts w:hint="eastAsia"/>
          <w:color w:val="auto"/>
          <w:lang w:val="en-US" w:eastAsia="zh-CN"/>
        </w:rPr>
        <w:t>5.2</w:t>
      </w:r>
      <w:r>
        <w:rPr>
          <w:rFonts w:hint="eastAsia"/>
          <w:color w:val="auto"/>
        </w:rPr>
        <w:t>℃，雨量多集中在6月下旬—</w:t>
      </w:r>
      <w:r>
        <w:rPr>
          <w:rFonts w:hint="eastAsia"/>
          <w:color w:val="auto"/>
          <w:lang w:val="en-US" w:eastAsia="zh-CN"/>
        </w:rPr>
        <w:t>8</w:t>
      </w:r>
      <w:r>
        <w:rPr>
          <w:rFonts w:hint="eastAsia"/>
          <w:color w:val="auto"/>
        </w:rPr>
        <w:t>月）一般不超过20天。按照最大施肥间隔时间沼液需满足存储</w:t>
      </w:r>
      <w:r>
        <w:rPr>
          <w:color w:val="auto"/>
        </w:rPr>
        <w:t>90</w:t>
      </w:r>
      <w:r>
        <w:rPr>
          <w:rFonts w:hint="eastAsia"/>
          <w:color w:val="auto"/>
        </w:rPr>
        <w:t>天的规模设计，本项目夏季进入</w:t>
      </w:r>
      <w:r>
        <w:rPr>
          <w:rFonts w:hint="eastAsia"/>
          <w:color w:val="auto"/>
          <w:lang w:eastAsia="zh-CN"/>
        </w:rPr>
        <w:t>沼液暂存池</w:t>
      </w:r>
      <w:r>
        <w:rPr>
          <w:rFonts w:hint="eastAsia"/>
          <w:color w:val="auto"/>
        </w:rPr>
        <w:t>废水量夏季为</w:t>
      </w:r>
      <w:r>
        <w:rPr>
          <w:rFonts w:hint="eastAsia"/>
          <w:color w:val="auto"/>
          <w:lang w:val="en-US" w:eastAsia="zh-CN"/>
        </w:rPr>
        <w:t>30.063</w:t>
      </w:r>
      <w:r>
        <w:rPr>
          <w:rFonts w:hint="eastAsia"/>
          <w:color w:val="auto"/>
        </w:rPr>
        <w:t>m</w:t>
      </w:r>
      <w:r>
        <w:rPr>
          <w:rFonts w:hint="eastAsia"/>
          <w:color w:val="auto"/>
          <w:vertAlign w:val="superscript"/>
        </w:rPr>
        <w:t>3</w:t>
      </w:r>
      <w:r>
        <w:rPr>
          <w:rFonts w:hint="eastAsia"/>
          <w:color w:val="auto"/>
        </w:rPr>
        <w:t>/d，非施肥季节养殖污水产生量约为</w:t>
      </w:r>
      <w:r>
        <w:rPr>
          <w:rFonts w:hint="eastAsia"/>
          <w:b w:val="0"/>
          <w:bCs/>
          <w:color w:val="auto"/>
        </w:rPr>
        <w:t>901.89</w:t>
      </w:r>
      <w:r>
        <w:rPr>
          <w:rFonts w:hint="eastAsia"/>
          <w:color w:val="auto"/>
        </w:rPr>
        <w:t>m</w:t>
      </w:r>
      <w:r>
        <w:rPr>
          <w:rFonts w:hint="eastAsia"/>
          <w:color w:val="auto"/>
          <w:vertAlign w:val="superscript"/>
        </w:rPr>
        <w:t>3</w:t>
      </w:r>
      <w:r>
        <w:rPr>
          <w:rFonts w:hint="eastAsia"/>
          <w:color w:val="auto"/>
        </w:rPr>
        <w:t>，本项目</w:t>
      </w:r>
      <w:r>
        <w:rPr>
          <w:rFonts w:hint="eastAsia"/>
          <w:color w:val="auto"/>
          <w:lang w:eastAsia="zh-CN"/>
        </w:rPr>
        <w:t>沼液暂存池</w:t>
      </w:r>
      <w:r>
        <w:rPr>
          <w:rFonts w:hint="eastAsia"/>
          <w:color w:val="auto"/>
        </w:rPr>
        <w:t>有效容积约为</w:t>
      </w:r>
      <w:r>
        <w:rPr>
          <w:rFonts w:hint="eastAsia"/>
          <w:color w:val="auto"/>
          <w:lang w:val="en-US" w:eastAsia="zh-CN"/>
        </w:rPr>
        <w:t>6500</w:t>
      </w:r>
      <w:r>
        <w:rPr>
          <w:rFonts w:hint="eastAsia"/>
          <w:color w:val="auto"/>
        </w:rPr>
        <w:t>m</w:t>
      </w:r>
      <w:r>
        <w:rPr>
          <w:rFonts w:hint="eastAsia"/>
          <w:color w:val="auto"/>
          <w:vertAlign w:val="superscript"/>
        </w:rPr>
        <w:t>3</w:t>
      </w:r>
      <w:r>
        <w:rPr>
          <w:rFonts w:hint="eastAsia"/>
          <w:color w:val="auto"/>
        </w:rPr>
        <w:t>，因此可以满足《畜禽养殖业污染治理工程技术规范》（HT 497-2009）6.1.2.3 中规定的“贮存池的贮存期不得低于当地农作物生产用肥的最大间隔时间和冬季封冻或雨季最长降雨期，一般不得小于30天的排放总量”的相关要求。</w:t>
      </w:r>
    </w:p>
    <w:p>
      <w:pPr>
        <w:pStyle w:val="9"/>
        <w:spacing w:before="120" w:beforeLines="50"/>
        <w:rPr>
          <w:rFonts w:hint="eastAsia"/>
          <w:color w:val="auto"/>
        </w:rPr>
      </w:pPr>
      <w:r>
        <w:rPr>
          <w:rFonts w:hint="eastAsia"/>
          <w:color w:val="auto"/>
        </w:rPr>
        <w:t>废水处理效果</w:t>
      </w:r>
    </w:p>
    <w:p>
      <w:pPr>
        <w:ind w:firstLine="480"/>
        <w:rPr>
          <w:rFonts w:hint="eastAsia"/>
          <w:b/>
          <w:bCs/>
          <w:color w:val="auto"/>
          <w:sz w:val="11"/>
          <w:szCs w:val="11"/>
        </w:rPr>
      </w:pPr>
      <w:r>
        <w:rPr>
          <w:rFonts w:hint="eastAsia"/>
          <w:color w:val="auto"/>
        </w:rPr>
        <w:t>本项目经过项目黑膜沼气池处理过的废水中含主要污染物有BOD</w:t>
      </w:r>
      <w:r>
        <w:rPr>
          <w:rFonts w:hint="eastAsia"/>
          <w:color w:val="auto"/>
          <w:vertAlign w:val="subscript"/>
        </w:rPr>
        <w:t>5</w:t>
      </w:r>
      <w:r>
        <w:rPr>
          <w:rFonts w:hint="eastAsia"/>
          <w:color w:val="auto"/>
        </w:rPr>
        <w:t>、COD、氨氮等，属于高浓度有机废水，一般不含有毒物质，能够满足《畜禽养殖业污染物排放标准》（</w:t>
      </w:r>
      <w:r>
        <w:rPr>
          <w:color w:val="auto"/>
        </w:rPr>
        <w:t>GB 18596-2001</w:t>
      </w:r>
      <w:r>
        <w:rPr>
          <w:rFonts w:hint="eastAsia"/>
          <w:color w:val="auto"/>
        </w:rPr>
        <w:t>）中相关要求。</w:t>
      </w:r>
    </w:p>
    <w:p>
      <w:pPr>
        <w:pStyle w:val="9"/>
        <w:spacing w:before="120" w:beforeLines="50"/>
        <w:rPr>
          <w:rFonts w:hint="eastAsia"/>
          <w:color w:val="auto"/>
        </w:rPr>
      </w:pPr>
      <w:r>
        <w:rPr>
          <w:rFonts w:hint="eastAsia"/>
          <w:color w:val="auto"/>
        </w:rPr>
        <w:t>沼液农肥利用可行性分析</w:t>
      </w:r>
    </w:p>
    <w:p>
      <w:pPr>
        <w:ind w:firstLine="480"/>
        <w:rPr>
          <w:color w:val="auto"/>
        </w:rPr>
      </w:pPr>
      <w:r>
        <w:rPr>
          <w:rFonts w:hint="eastAsia"/>
          <w:color w:val="auto"/>
        </w:rPr>
        <w:t>1、沼液消纳分析</w:t>
      </w:r>
    </w:p>
    <w:p>
      <w:pPr>
        <w:ind w:firstLine="480"/>
        <w:rPr>
          <w:rFonts w:hint="eastAsia"/>
          <w:color w:val="auto"/>
        </w:rPr>
      </w:pPr>
      <w:r>
        <w:rPr>
          <w:rFonts w:hint="eastAsia"/>
          <w:color w:val="auto"/>
        </w:rPr>
        <w:t>根据5</w:t>
      </w:r>
      <w:r>
        <w:rPr>
          <w:color w:val="auto"/>
        </w:rPr>
        <w:t>.2.1.2</w:t>
      </w:r>
      <w:r>
        <w:rPr>
          <w:rFonts w:hint="eastAsia"/>
          <w:color w:val="auto"/>
        </w:rPr>
        <w:t>章节土地消纳容量分析，本项目周边农田完全满足土地消纳能力。符合《畜禽养殖业污染防治技术规范》中“畜禽养殖过程中产生的污水应坚持种养结合的原则，经无害化处理后尽量充分还田，实现无水资源化利用”的要求。</w:t>
      </w:r>
    </w:p>
    <w:p>
      <w:pPr>
        <w:ind w:firstLine="480"/>
        <w:rPr>
          <w:color w:val="auto"/>
        </w:rPr>
      </w:pPr>
      <w:r>
        <w:rPr>
          <w:rFonts w:hint="eastAsia"/>
          <w:color w:val="auto"/>
        </w:rPr>
        <w:t>2、沼液利用与农耕相容性</w:t>
      </w:r>
    </w:p>
    <w:p>
      <w:pPr>
        <w:ind w:firstLine="480"/>
        <w:rPr>
          <w:rFonts w:hint="eastAsia"/>
          <w:color w:val="auto"/>
        </w:rPr>
      </w:pPr>
      <w:r>
        <w:rPr>
          <w:rFonts w:hint="eastAsia"/>
          <w:color w:val="auto"/>
        </w:rPr>
        <w:t>目前本项目沼液消纳区农作物以稻谷、油菜、柚子树为主，主要使用化肥增加土壤肥力，化肥容易引起土壤酸度变化。过磷酸钙、硫酸铵、氯化铵等都属生物酸性肥料，即植物吸收肥料中的养分离子后，土壤中氢离子增多，易造成土壤酸化，长期大量施用化肥，尤其在连续施用单一品种化肥时，在短期内即可出现这种情况。土壤酸化后会导致有毒物质的释放，或使有毒物质毒性增强，对生物体产生不良影响，土壤酸化还能溶解土壤中的一些营养物质，在降雨和灌溉的作用下，向下渗透补给地下水，使得营养成分流失，造成土壤贫瘠化，影响作物的生长。有害物质对土壤产生污染，制造化肥矿物原料及化工原料中，含有多种重金属放射性物质和其他有害成分，随施肥进入农田土壤造成污染。</w:t>
      </w:r>
    </w:p>
    <w:p>
      <w:pPr>
        <w:ind w:firstLine="480"/>
        <w:rPr>
          <w:rFonts w:hint="eastAsia"/>
          <w:color w:val="auto"/>
        </w:rPr>
      </w:pPr>
      <w:r>
        <w:rPr>
          <w:rFonts w:hint="eastAsia"/>
          <w:color w:val="auto"/>
        </w:rPr>
        <w:t>随着我国人民生活水平的提高和消费理念的转变，以及环境污染和资源浪费问题的日益严峻，有利于人们健康的无污染、安全、优质营养的绿色食品已成为时尚，越来越受到人们的青睐。</w:t>
      </w:r>
    </w:p>
    <w:p>
      <w:pPr>
        <w:ind w:firstLine="480"/>
        <w:rPr>
          <w:color w:val="auto"/>
        </w:rPr>
      </w:pPr>
      <w:r>
        <w:rPr>
          <w:rFonts w:hint="eastAsia"/>
          <w:color w:val="auto"/>
        </w:rPr>
        <w:t>本项目建成运行后，沼液消纳区的农作物将使用沼液施肥，这些农作物需要大量的养分，沼液能提供充足的养分。沼液中的有机质、腐殖质可以明显的改善土壤理化性质，提髙肥力，提高地力，可以使农业用地变成有持续发展的良性循环的金土地。沼液含有大量丰富的营养成分，是农作物的无公害长效肥料，施用后能增产增收改善土壤结构，克服了我国化肥的施用量急剧增加，导致农田土壤产生质变，有机质含量降低，导致土壤板结，肥力下降等现象。</w:t>
      </w:r>
    </w:p>
    <w:p>
      <w:pPr>
        <w:pStyle w:val="9"/>
        <w:spacing w:before="120" w:beforeLines="50"/>
        <w:rPr>
          <w:rFonts w:hint="eastAsia"/>
          <w:color w:val="auto"/>
        </w:rPr>
      </w:pPr>
      <w:r>
        <w:rPr>
          <w:rFonts w:hint="eastAsia"/>
          <w:color w:val="auto"/>
        </w:rPr>
        <w:t>本项目沼液利用具体布置和程序</w:t>
      </w:r>
    </w:p>
    <w:p>
      <w:pPr>
        <w:ind w:firstLine="480"/>
        <w:rPr>
          <w:rFonts w:hint="eastAsia"/>
          <w:color w:val="auto"/>
        </w:rPr>
      </w:pPr>
      <w:r>
        <w:rPr>
          <w:rFonts w:hint="eastAsia"/>
          <w:color w:val="auto"/>
        </w:rPr>
        <w:t>1、沼液消纳系统布置</w:t>
      </w:r>
    </w:p>
    <w:p>
      <w:pPr>
        <w:ind w:firstLine="480"/>
        <w:rPr>
          <w:rFonts w:hint="eastAsia"/>
          <w:color w:val="auto"/>
        </w:rPr>
      </w:pPr>
      <w:r>
        <w:rPr>
          <w:rFonts w:hint="eastAsia"/>
          <w:color w:val="auto"/>
        </w:rPr>
        <w:t>针对本项目沼液农肥利用，场外主要由管线、喷灌装置构成。</w:t>
      </w:r>
    </w:p>
    <w:p>
      <w:pPr>
        <w:ind w:firstLine="480"/>
        <w:rPr>
          <w:rFonts w:hint="eastAsia"/>
          <w:color w:val="auto"/>
        </w:rPr>
      </w:pPr>
      <w:r>
        <w:rPr>
          <w:rFonts w:hint="eastAsia"/>
          <w:color w:val="auto"/>
        </w:rPr>
        <w:t>管线包括主管线，主要沿农用道路布置，支管沿着农田分布因地制宜的布置。初步设计沼液输送管道总长约</w:t>
      </w:r>
      <w:r>
        <w:rPr>
          <w:rFonts w:hint="eastAsia"/>
          <w:color w:val="auto"/>
          <w:lang w:val="en-US" w:eastAsia="zh-CN"/>
        </w:rPr>
        <w:t>6.5</w:t>
      </w:r>
      <w:r>
        <w:rPr>
          <w:rFonts w:hint="eastAsia"/>
          <w:color w:val="auto"/>
        </w:rPr>
        <w:t>km，其中主管线</w:t>
      </w:r>
      <w:r>
        <w:rPr>
          <w:rFonts w:hint="eastAsia"/>
          <w:color w:val="auto"/>
          <w:lang w:val="en-US" w:eastAsia="zh-CN"/>
        </w:rPr>
        <w:t>3</w:t>
      </w:r>
      <w:r>
        <w:rPr>
          <w:rFonts w:hint="eastAsia"/>
          <w:color w:val="auto"/>
        </w:rPr>
        <w:t>km，其余为支管。管材为</w:t>
      </w:r>
      <w:r>
        <w:rPr>
          <w:color w:val="auto"/>
        </w:rPr>
        <w:t>PE</w:t>
      </w:r>
      <w:r>
        <w:rPr>
          <w:rFonts w:hint="eastAsia"/>
          <w:color w:val="auto"/>
        </w:rPr>
        <w:t>管，主干管直径为</w:t>
      </w:r>
      <w:r>
        <w:rPr>
          <w:color w:val="auto"/>
        </w:rPr>
        <w:t>1</w:t>
      </w:r>
      <w:r>
        <w:rPr>
          <w:rFonts w:hint="eastAsia"/>
          <w:color w:val="auto"/>
        </w:rPr>
        <w:t>00mm，支管直径分别为</w:t>
      </w:r>
      <w:r>
        <w:rPr>
          <w:color w:val="auto"/>
        </w:rPr>
        <w:t>50</w:t>
      </w:r>
      <w:r>
        <w:rPr>
          <w:rFonts w:hint="eastAsia"/>
          <w:color w:val="auto"/>
        </w:rPr>
        <w:t>mm。管线自</w:t>
      </w:r>
      <w:r>
        <w:rPr>
          <w:rFonts w:hint="eastAsia"/>
          <w:color w:val="auto"/>
          <w:lang w:eastAsia="zh-CN"/>
        </w:rPr>
        <w:t>沼液暂存池</w:t>
      </w:r>
      <w:r>
        <w:rPr>
          <w:rFonts w:hint="eastAsia"/>
          <w:color w:val="auto"/>
        </w:rPr>
        <w:t>铺设至施肥田间地头，主管网主要环消纳地分布，沿田间道路布设，并在主管网两侧分别布设支管网，施肥期配套软管满足施肥需求，管线材质为高强度</w:t>
      </w:r>
      <w:r>
        <w:rPr>
          <w:color w:val="auto"/>
        </w:rPr>
        <w:t>PE</w:t>
      </w:r>
      <w:r>
        <w:rPr>
          <w:rFonts w:hint="eastAsia"/>
          <w:color w:val="auto"/>
        </w:rPr>
        <w:t xml:space="preserve">管，设计使用寿命30年。 </w:t>
      </w:r>
    </w:p>
    <w:p>
      <w:pPr>
        <w:ind w:firstLine="480"/>
        <w:rPr>
          <w:rFonts w:hint="eastAsia"/>
          <w:color w:val="auto"/>
        </w:rPr>
      </w:pPr>
      <w:r>
        <w:rPr>
          <w:rFonts w:hint="eastAsia"/>
          <w:color w:val="auto"/>
        </w:rPr>
        <w:t>田间配套移动式喷灌装置用于追肥时放置田间；采用配套农田模式来推进沼液消纳。公司与周边</w:t>
      </w:r>
      <w:r>
        <w:rPr>
          <w:rFonts w:hint="eastAsia"/>
          <w:color w:val="auto"/>
          <w:sz w:val="24"/>
          <w:szCs w:val="24"/>
        </w:rPr>
        <w:t>周边</w:t>
      </w:r>
      <w:r>
        <w:rPr>
          <w:rFonts w:hint="eastAsia"/>
          <w:color w:val="auto"/>
          <w:sz w:val="24"/>
          <w:szCs w:val="24"/>
          <w:lang w:val="en-US" w:eastAsia="zh-CN"/>
        </w:rPr>
        <w:t>村民委员会、农业合作社</w:t>
      </w:r>
      <w:r>
        <w:rPr>
          <w:rFonts w:hint="eastAsia"/>
          <w:color w:val="auto"/>
        </w:rPr>
        <w:t>签订协议，利用农田消纳沼液，该区域以水稻、油菜种植为主，消纳方式为底肥施用和追肥施用两种。</w:t>
      </w:r>
    </w:p>
    <w:p>
      <w:pPr>
        <w:ind w:firstLine="480"/>
        <w:rPr>
          <w:rFonts w:hint="eastAsia"/>
          <w:color w:val="auto"/>
        </w:rPr>
      </w:pPr>
      <w:r>
        <w:rPr>
          <w:rFonts w:hint="eastAsia"/>
          <w:color w:val="auto"/>
        </w:rPr>
        <w:t>2、沼液消纳流程</w:t>
      </w:r>
    </w:p>
    <w:p>
      <w:pPr>
        <w:ind w:firstLine="480"/>
        <w:rPr>
          <w:rFonts w:hint="eastAsia"/>
          <w:color w:val="auto"/>
        </w:rPr>
      </w:pPr>
      <w:r>
        <w:rPr>
          <w:rFonts w:hint="eastAsia"/>
          <w:color w:val="auto"/>
        </w:rPr>
        <w:t>经过现场踏勘，项目消纳土地周边仅有机耕道布置于田间，且项目厂区位于山区</w:t>
      </w:r>
      <w:r>
        <w:rPr>
          <w:rFonts w:hint="eastAsia"/>
          <w:color w:val="auto"/>
          <w:lang w:val="en-US" w:eastAsia="zh-CN"/>
        </w:rPr>
        <w:t>山顶</w:t>
      </w:r>
      <w:r>
        <w:rPr>
          <w:rFonts w:hint="eastAsia"/>
          <w:color w:val="auto"/>
        </w:rPr>
        <w:t>，周边耕地地势较低，完全通过管道重力自流即可运输至厂外田间池。</w:t>
      </w:r>
    </w:p>
    <w:p>
      <w:pPr>
        <w:ind w:firstLine="480"/>
        <w:rPr>
          <w:rFonts w:hint="eastAsia"/>
          <w:color w:val="auto"/>
        </w:rPr>
      </w:pPr>
      <w:r>
        <w:rPr>
          <w:rFonts w:hint="eastAsia"/>
          <w:color w:val="auto"/>
        </w:rPr>
        <w:t>3、沼液浇灌的污染防治措施</w:t>
      </w:r>
    </w:p>
    <w:p>
      <w:pPr>
        <w:ind w:firstLine="480"/>
        <w:rPr>
          <w:color w:val="auto"/>
        </w:rPr>
      </w:pPr>
      <w:r>
        <w:rPr>
          <w:rFonts w:hint="eastAsia"/>
          <w:color w:val="auto"/>
        </w:rPr>
        <w:t>沼液在农肥时易形成地表径流（特别是在施底肥时），污染地表水体。因此为了防止沼液污染附近地表水体，本环评要求，根据沼液施肥方式及地形分布特点，在沼液消纳地易自流的区块周边设排水沟，以免沼液污染地表水体水质。</w:t>
      </w:r>
    </w:p>
    <w:p>
      <w:pPr>
        <w:pStyle w:val="9"/>
        <w:spacing w:before="120" w:beforeLines="50"/>
        <w:rPr>
          <w:rFonts w:hint="eastAsia"/>
          <w:color w:val="auto"/>
        </w:rPr>
      </w:pPr>
      <w:r>
        <w:rPr>
          <w:rFonts w:hint="eastAsia"/>
          <w:color w:val="auto"/>
        </w:rPr>
        <w:t>经济可行性</w:t>
      </w:r>
    </w:p>
    <w:p>
      <w:pPr>
        <w:ind w:firstLine="480"/>
        <w:rPr>
          <w:rFonts w:hint="eastAsia"/>
          <w:color w:val="auto"/>
        </w:rPr>
      </w:pPr>
      <w:r>
        <w:rPr>
          <w:rFonts w:hint="eastAsia"/>
          <w:color w:val="auto"/>
        </w:rPr>
        <w:t>本项目水处理工程竣工运行后，主要为社会效益，厂区养殖废水中含有大量有害物，对人类和动物会造成直接或间接危害。通过对原废水的治理后，大大减少对土资源、水资源和大气资源的污染，清除疾病传播源，有利于人民对土资源、水资源的利用，更有利于人们的身心健康，促进社会的文明进步，间接的产生巨大的社会效益。同时可减少污染赔偿费及超标排污费，并可产生大量沼气能源和生物肥原料，节约施肥成本。</w:t>
      </w:r>
    </w:p>
    <w:p>
      <w:pPr>
        <w:ind w:firstLine="480"/>
        <w:rPr>
          <w:color w:val="auto"/>
        </w:rPr>
      </w:pPr>
      <w:r>
        <w:rPr>
          <w:rFonts w:hint="eastAsia"/>
          <w:color w:val="auto"/>
        </w:rPr>
        <w:t>综上所述，项目废水污染防治措施有效，一次性投资后运行费用较低，技术经济可行。</w:t>
      </w:r>
    </w:p>
    <w:p>
      <w:pPr>
        <w:pStyle w:val="8"/>
        <w:tabs>
          <w:tab w:val="clear" w:pos="0"/>
        </w:tabs>
        <w:rPr>
          <w:rFonts w:eastAsia="黑体"/>
          <w:color w:val="auto"/>
          <w:sz w:val="28"/>
          <w:szCs w:val="28"/>
        </w:rPr>
      </w:pPr>
      <w:r>
        <w:rPr>
          <w:rFonts w:eastAsia="黑体"/>
          <w:color w:val="auto"/>
          <w:sz w:val="28"/>
          <w:szCs w:val="28"/>
        </w:rPr>
        <w:t>地下水污染防治措施论证</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本项目产生的废水中有机物含量高，且含有大量粪大肠菌群，为防止废水传输过程中以及处理过程中跑、冒、滴、漏等对项目区地下水及土壤的污染，项目拟采取源头控制、分区防治、污染监控等防治措施。</w:t>
      </w:r>
    </w:p>
    <w:p>
      <w:pPr>
        <w:pStyle w:val="9"/>
        <w:rPr>
          <w:rFonts w:hint="default" w:cs="Times New Roman"/>
          <w:color w:val="auto"/>
          <w:lang w:val="en-US" w:eastAsia="zh-CN"/>
        </w:rPr>
      </w:pPr>
      <w:r>
        <w:rPr>
          <w:rFonts w:hint="default" w:cs="Times New Roman"/>
          <w:color w:val="auto"/>
          <w:lang w:val="en-US" w:eastAsia="zh-CN"/>
        </w:rPr>
        <w:t>源头控制</w:t>
      </w:r>
    </w:p>
    <w:p>
      <w:pPr>
        <w:ind w:firstLine="480"/>
        <w:rPr>
          <w:rFonts w:hint="eastAsia"/>
          <w:color w:val="auto"/>
        </w:rPr>
      </w:pPr>
      <w:r>
        <w:rPr>
          <w:color w:val="auto"/>
        </w:rPr>
        <w:t>本</w:t>
      </w:r>
      <w:r>
        <w:rPr>
          <w:rFonts w:hint="eastAsia"/>
          <w:color w:val="auto"/>
        </w:rPr>
        <w:t>项目应根据国家现行相关规范加强环境管理，采取防止和降低污染物跑、冒、</w:t>
      </w:r>
    </w:p>
    <w:p>
      <w:pPr>
        <w:ind w:left="0" w:leftChars="0" w:firstLine="0" w:firstLineChars="0"/>
        <w:rPr>
          <w:color w:val="auto"/>
        </w:rPr>
      </w:pPr>
      <w:r>
        <w:rPr>
          <w:rFonts w:hint="eastAsia"/>
          <w:color w:val="auto"/>
        </w:rPr>
        <w:t>滴、漏的措施。正常运营过程中应加强控制，同时加强对防渗工程的检查，若发现防渗密封材料老化或损坏，应及时维修更换</w:t>
      </w:r>
      <w:r>
        <w:rPr>
          <w:color w:val="auto"/>
        </w:rPr>
        <w:t>。</w:t>
      </w:r>
    </w:p>
    <w:p>
      <w:pPr>
        <w:pStyle w:val="9"/>
        <w:rPr>
          <w:rFonts w:hint="default" w:cs="Times New Roman"/>
          <w:color w:val="auto"/>
          <w:lang w:val="en-US" w:eastAsia="zh-CN"/>
        </w:rPr>
      </w:pPr>
      <w:r>
        <w:rPr>
          <w:rFonts w:hint="default" w:cs="Times New Roman"/>
          <w:color w:val="auto"/>
          <w:lang w:val="en-US" w:eastAsia="zh-CN"/>
        </w:rPr>
        <w:t>分区防治措施</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采取分区防渗措施，设重点防渗区、一般防渗区、简单防渗区，具体措施如下：</w:t>
      </w:r>
    </w:p>
    <w:p>
      <w:pPr>
        <w:ind w:firstLine="480"/>
        <w:rPr>
          <w:rFonts w:hint="eastAsia"/>
          <w:color w:val="auto"/>
        </w:rPr>
      </w:pPr>
      <w:r>
        <w:rPr>
          <w:rFonts w:hint="default" w:ascii="Times New Roman" w:hAnsi="Times New Roman" w:eastAsia="宋体" w:cs="Times New Roman"/>
          <w:color w:val="auto"/>
          <w:sz w:val="24"/>
          <w:szCs w:val="24"/>
          <w:lang w:val="en-US" w:eastAsia="zh-CN"/>
        </w:rPr>
        <w:t>（1）重点防渗区：</w:t>
      </w:r>
      <w:r>
        <w:rPr>
          <w:rFonts w:hint="eastAsia"/>
          <w:color w:val="auto"/>
        </w:rPr>
        <w:t>包括</w:t>
      </w:r>
      <w:r>
        <w:rPr>
          <w:rFonts w:hint="eastAsia"/>
          <w:color w:val="auto"/>
          <w:lang w:val="en-US" w:eastAsia="zh-CN"/>
        </w:rPr>
        <w:t>干粪堆场</w:t>
      </w:r>
      <w:r>
        <w:rPr>
          <w:rFonts w:hint="eastAsia"/>
          <w:color w:val="auto"/>
        </w:rPr>
        <w:t>、危废暂存间、污水处理系统</w:t>
      </w:r>
      <w:r>
        <w:rPr>
          <w:rFonts w:hint="eastAsia"/>
          <w:color w:val="auto"/>
          <w:lang w:eastAsia="zh-CN"/>
        </w:rPr>
        <w:t>（</w:t>
      </w:r>
      <w:r>
        <w:rPr>
          <w:rFonts w:hint="eastAsia"/>
          <w:color w:val="auto"/>
          <w:lang w:val="en-US" w:eastAsia="zh-CN"/>
        </w:rPr>
        <w:t>收集池、沼气池、沼液暂存池、田间暂存池、污水管</w:t>
      </w:r>
      <w:r>
        <w:rPr>
          <w:rFonts w:hint="eastAsia"/>
          <w:color w:val="auto"/>
          <w:lang w:eastAsia="zh-CN"/>
        </w:rPr>
        <w:t>）</w:t>
      </w:r>
      <w:r>
        <w:rPr>
          <w:rFonts w:hint="eastAsia"/>
          <w:color w:val="auto"/>
        </w:rPr>
        <w:t>、发电机房（含储油间）</w:t>
      </w:r>
      <w:r>
        <w:rPr>
          <w:rFonts w:hint="eastAsia"/>
          <w:color w:val="auto"/>
          <w:lang w:eastAsia="zh-CN"/>
        </w:rPr>
        <w:t>、防疫室</w:t>
      </w:r>
      <w:r>
        <w:rPr>
          <w:rFonts w:hint="eastAsia"/>
          <w:color w:val="auto"/>
        </w:rPr>
        <w:t>。</w:t>
      </w:r>
    </w:p>
    <w:p>
      <w:pPr>
        <w:ind w:firstLine="480"/>
        <w:rPr>
          <w:rFonts w:hint="eastAsia" w:eastAsia="宋体"/>
          <w:color w:val="auto"/>
          <w:lang w:eastAsia="zh-CN"/>
        </w:rPr>
      </w:pPr>
      <w:r>
        <w:rPr>
          <w:rFonts w:hint="eastAsia"/>
          <w:color w:val="auto"/>
          <w:lang w:eastAsia="zh-CN"/>
        </w:rPr>
        <w:t>危废暂存间：危废暂存间按照《危险废物贮存污染控制标准》（GB18597-2001）要求，确保等效黏土防渗层 Mb≥6.0m，防渗系数 K≤10</w:t>
      </w:r>
      <w:r>
        <w:rPr>
          <w:rFonts w:hint="eastAsia"/>
          <w:color w:val="auto"/>
          <w:vertAlign w:val="superscript"/>
          <w:lang w:eastAsia="zh-CN"/>
        </w:rPr>
        <w:t xml:space="preserve"> -10</w:t>
      </w:r>
      <w:r>
        <w:rPr>
          <w:rFonts w:hint="eastAsia"/>
          <w:color w:val="auto"/>
          <w:lang w:eastAsia="zh-CN"/>
        </w:rPr>
        <w:t xml:space="preserve"> cm/s，或参照 GB18597 执行；</w:t>
      </w:r>
    </w:p>
    <w:p>
      <w:pPr>
        <w:pStyle w:val="265"/>
        <w:rPr>
          <w:rFonts w:hint="eastAsia"/>
          <w:color w:val="auto"/>
          <w:lang w:eastAsia="zh-CN"/>
        </w:rPr>
      </w:pPr>
      <w:r>
        <w:rPr>
          <w:rFonts w:hint="eastAsia"/>
          <w:color w:val="auto"/>
          <w:lang w:val="en-US" w:eastAsia="zh-CN"/>
        </w:rPr>
        <w:t>干粪堆场、</w:t>
      </w:r>
      <w:r>
        <w:rPr>
          <w:rFonts w:hint="eastAsia"/>
          <w:color w:val="auto"/>
        </w:rPr>
        <w:t>发电机房（含储油间）、防疫室</w:t>
      </w:r>
      <w:r>
        <w:rPr>
          <w:rFonts w:hint="eastAsia"/>
          <w:color w:val="auto"/>
          <w:lang w:eastAsia="zh-CN"/>
        </w:rPr>
        <w:t>、</w:t>
      </w:r>
      <w:r>
        <w:rPr>
          <w:rFonts w:hint="eastAsia"/>
          <w:color w:val="auto"/>
        </w:rPr>
        <w:t>污水处理系统（</w:t>
      </w:r>
      <w:r>
        <w:rPr>
          <w:rFonts w:hint="eastAsia"/>
          <w:color w:val="auto"/>
          <w:lang w:val="en-US" w:eastAsia="zh-CN"/>
        </w:rPr>
        <w:t>收集池、沼气池、沼液暂存池、田间暂存池、事故应急池、污水管</w:t>
      </w:r>
      <w:r>
        <w:rPr>
          <w:rFonts w:hint="eastAsia"/>
          <w:color w:val="auto"/>
        </w:rPr>
        <w:t>）</w:t>
      </w:r>
      <w:r>
        <w:rPr>
          <w:rFonts w:hint="eastAsia"/>
          <w:color w:val="auto"/>
          <w:lang w:eastAsia="zh-CN"/>
        </w:rPr>
        <w:t>：确保等效黏土防渗层 Mb≥6.0m，K≤10</w:t>
      </w:r>
      <w:r>
        <w:rPr>
          <w:rFonts w:hint="eastAsia"/>
          <w:color w:val="auto"/>
          <w:vertAlign w:val="superscript"/>
          <w:lang w:eastAsia="zh-CN"/>
        </w:rPr>
        <w:t xml:space="preserve"> -7</w:t>
      </w:r>
      <w:r>
        <w:rPr>
          <w:rFonts w:hint="eastAsia"/>
          <w:color w:val="auto"/>
          <w:lang w:eastAsia="zh-CN"/>
        </w:rPr>
        <w:t xml:space="preserve"> cm/s，</w:t>
      </w:r>
      <w:r>
        <w:rPr>
          <w:color w:val="auto"/>
        </w:rPr>
        <w:t>或参考</w:t>
      </w:r>
      <w:r>
        <w:rPr>
          <w:rFonts w:hint="eastAsia"/>
          <w:color w:val="auto"/>
        </w:rPr>
        <w:t>（GB18598）</w:t>
      </w:r>
      <w:r>
        <w:rPr>
          <w:rFonts w:hint="eastAsia"/>
          <w:color w:val="auto"/>
          <w:lang w:eastAsia="zh-CN"/>
        </w:rPr>
        <w:t>执行。</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（2）一般防渗区：</w:t>
      </w:r>
      <w:r>
        <w:rPr>
          <w:rFonts w:hint="eastAsia"/>
          <w:color w:val="auto"/>
          <w:lang w:val="en-US" w:eastAsia="zh-CN"/>
        </w:rPr>
        <w:t>包括猪舍、</w:t>
      </w:r>
      <w:r>
        <w:rPr>
          <w:rFonts w:hint="eastAsia"/>
          <w:color w:val="auto"/>
          <w:lang w:eastAsia="zh-CN"/>
        </w:rPr>
        <w:t>消毒区、卫生间等</w:t>
      </w:r>
      <w:r>
        <w:rPr>
          <w:rFonts w:hint="default" w:ascii="Times New Roman" w:hAnsi="Times New Roman" w:eastAsia="宋体" w:cs="Times New Roman"/>
          <w:color w:val="auto"/>
          <w:sz w:val="24"/>
          <w:szCs w:val="24"/>
          <w:lang w:val="en-US" w:eastAsia="zh-CN"/>
        </w:rPr>
        <w:t>，等效黏土防渗层Mb≥1.5m，K≤1×10</w:t>
      </w:r>
      <w:r>
        <w:rPr>
          <w:rFonts w:hint="default" w:ascii="Times New Roman" w:hAnsi="Times New Roman" w:eastAsia="宋体" w:cs="Times New Roman"/>
          <w:color w:val="auto"/>
          <w:sz w:val="24"/>
          <w:szCs w:val="24"/>
          <w:vertAlign w:val="superscript"/>
          <w:lang w:val="en-US" w:eastAsia="zh-CN"/>
        </w:rPr>
        <w:t>-7</w:t>
      </w:r>
      <w:r>
        <w:rPr>
          <w:rFonts w:hint="default" w:ascii="Times New Roman" w:hAnsi="Times New Roman" w:eastAsia="宋体" w:cs="Times New Roman"/>
          <w:color w:val="auto"/>
          <w:sz w:val="24"/>
          <w:szCs w:val="24"/>
          <w:lang w:val="en-US" w:eastAsia="zh-CN"/>
        </w:rPr>
        <w:t>cm/s</w:t>
      </w:r>
      <w:r>
        <w:rPr>
          <w:rFonts w:hint="eastAsia" w:ascii="Times New Roman" w:hAnsi="Times New Roman" w:eastAsia="宋体" w:cs="Times New Roman"/>
          <w:color w:val="auto"/>
          <w:sz w:val="24"/>
          <w:szCs w:val="24"/>
          <w:lang w:val="en-US" w:eastAsia="zh-CN"/>
        </w:rPr>
        <w:t>，</w:t>
      </w:r>
      <w:r>
        <w:rPr>
          <w:color w:val="auto"/>
        </w:rPr>
        <w:t>或参考</w:t>
      </w:r>
      <w:r>
        <w:rPr>
          <w:rFonts w:hint="eastAsia"/>
          <w:color w:val="auto"/>
        </w:rPr>
        <w:t>（</w:t>
      </w:r>
      <w:r>
        <w:rPr>
          <w:color w:val="auto"/>
        </w:rPr>
        <w:t>GB 16889</w:t>
      </w:r>
      <w:r>
        <w:rPr>
          <w:rFonts w:hint="eastAsia"/>
          <w:color w:val="auto"/>
        </w:rPr>
        <w:t>）</w:t>
      </w:r>
      <w:r>
        <w:rPr>
          <w:rFonts w:hint="eastAsia"/>
          <w:color w:val="auto"/>
          <w:lang w:eastAsia="zh-CN"/>
        </w:rPr>
        <w:t>。</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（3）简单防渗区：</w:t>
      </w:r>
      <w:r>
        <w:rPr>
          <w:rFonts w:hint="eastAsia"/>
          <w:color w:val="auto"/>
        </w:rPr>
        <w:t>办公生活区、场内道路地面等除绿化以外的其他区域。</w:t>
      </w:r>
      <w:r>
        <w:rPr>
          <w:rFonts w:hint="default" w:ascii="Times New Roman" w:hAnsi="Times New Roman" w:eastAsia="宋体" w:cs="Times New Roman"/>
          <w:color w:val="auto"/>
          <w:sz w:val="24"/>
          <w:szCs w:val="24"/>
          <w:lang w:val="en-US" w:eastAsia="zh-CN"/>
        </w:rPr>
        <w:t>采取地面一般硬化。</w:t>
      </w:r>
    </w:p>
    <w:p>
      <w:pPr>
        <w:pStyle w:val="9"/>
        <w:rPr>
          <w:rFonts w:hint="default" w:cs="Times New Roman"/>
          <w:color w:val="auto"/>
          <w:lang w:val="en-US" w:eastAsia="zh-CN"/>
        </w:rPr>
      </w:pPr>
      <w:r>
        <w:rPr>
          <w:rFonts w:hint="default" w:cs="Times New Roman"/>
          <w:color w:val="auto"/>
          <w:lang w:val="en-US" w:eastAsia="zh-CN"/>
        </w:rPr>
        <w:t>污染监控</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本项目场区地下水下游（选取下游居民地下水井），设置1个地下水监测点，定期进行（每年1次），遇非正常生产情况及事故性排放另增加监测频次。</w:t>
      </w:r>
    </w:p>
    <w:p>
      <w:pPr>
        <w:pStyle w:val="26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综上，通过采取以上措施，可有效防止地下水污染，不会对区域地下水造成明显影响。项目地下水污染防治措施有效，经济技术可行。</w:t>
      </w:r>
    </w:p>
    <w:p>
      <w:pPr>
        <w:pStyle w:val="8"/>
        <w:tabs>
          <w:tab w:val="clear" w:pos="0"/>
        </w:tabs>
        <w:rPr>
          <w:rFonts w:eastAsia="黑体"/>
          <w:color w:val="auto"/>
          <w:sz w:val="28"/>
          <w:szCs w:val="28"/>
        </w:rPr>
      </w:pPr>
      <w:r>
        <w:rPr>
          <w:rFonts w:eastAsia="黑体"/>
          <w:color w:val="auto"/>
          <w:sz w:val="28"/>
          <w:szCs w:val="28"/>
        </w:rPr>
        <w:t>废气治理措施论证</w:t>
      </w:r>
    </w:p>
    <w:p>
      <w:pPr>
        <w:pStyle w:val="9"/>
        <w:spacing w:before="120" w:beforeLines="50"/>
        <w:rPr>
          <w:b/>
          <w:color w:val="auto"/>
        </w:rPr>
      </w:pPr>
      <w:r>
        <w:rPr>
          <w:color w:val="auto"/>
        </w:rPr>
        <w:t>恶臭治理措施</w:t>
      </w:r>
      <w:r>
        <w:rPr>
          <w:rFonts w:hint="eastAsia"/>
          <w:color w:val="auto"/>
        </w:rPr>
        <w:t>分析</w:t>
      </w:r>
      <w:r>
        <w:rPr>
          <w:color w:val="auto"/>
        </w:rPr>
        <w:t>论证</w:t>
      </w:r>
    </w:p>
    <w:p>
      <w:pPr>
        <w:ind w:firstLine="482"/>
        <w:rPr>
          <w:rFonts w:hint="eastAsia"/>
          <w:b/>
          <w:color w:val="auto"/>
        </w:rPr>
      </w:pPr>
      <w:r>
        <w:rPr>
          <w:rFonts w:hint="eastAsia"/>
          <w:b/>
          <w:color w:val="auto"/>
        </w:rPr>
        <w:t>1、恶臭污染防治措施技术可行性</w:t>
      </w:r>
    </w:p>
    <w:p>
      <w:pPr>
        <w:ind w:firstLine="480"/>
        <w:rPr>
          <w:rFonts w:hint="eastAsia"/>
          <w:color w:val="auto"/>
        </w:rPr>
      </w:pPr>
      <w:r>
        <w:rPr>
          <w:rFonts w:hint="eastAsia"/>
          <w:color w:val="auto"/>
        </w:rPr>
        <w:t>由于猪舍的恶臭污染源很分散，集中处理困难，最有效的控制方法是预防为主，在恶臭产生的源头处理。根据《畜禽养殖业污染治理工程技术规范》（HJ497-2009）及《畜禽养殖业污染防治技术规范》（HJ/T81-2001）相关要求，结合本项目生产实际，本评价主要提出如下措施减少恶臭污染物的产生：</w:t>
      </w:r>
    </w:p>
    <w:p>
      <w:pPr>
        <w:ind w:firstLine="480"/>
        <w:rPr>
          <w:color w:val="auto"/>
        </w:rPr>
      </w:pPr>
      <w:r>
        <w:rPr>
          <w:rFonts w:hint="eastAsia"/>
          <w:color w:val="auto"/>
        </w:rPr>
        <w:t>（1）源头控制</w:t>
      </w:r>
    </w:p>
    <w:p>
      <w:pPr>
        <w:rPr>
          <w:rFonts w:hint="eastAsia"/>
          <w:color w:val="auto"/>
          <w:lang w:val="en-US" w:eastAsia="zh-CN"/>
        </w:rPr>
      </w:pPr>
      <w:r>
        <w:rPr>
          <w:rFonts w:hint="eastAsia"/>
          <w:color w:val="auto"/>
          <w:lang w:val="en-US" w:eastAsia="zh-CN"/>
        </w:rPr>
        <w:t>科学设计日粮，提高饲料利用率，合理使用饲料添加剂（EM 菌），并采用低氮饲料喂养；项目污水收集管道采用地埋式，不得采用明沟布设，减少恶臭气体的无组织排放。</w:t>
      </w:r>
    </w:p>
    <w:p>
      <w:pPr>
        <w:rPr>
          <w:color w:val="auto"/>
        </w:rPr>
      </w:pPr>
      <w:r>
        <w:rPr>
          <w:rFonts w:hint="eastAsia"/>
          <w:color w:val="auto"/>
        </w:rPr>
        <w:t>（2）过程控制</w:t>
      </w:r>
    </w:p>
    <w:p>
      <w:pPr>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猪场采用</w:t>
      </w:r>
      <w:r>
        <w:rPr>
          <w:rFonts w:hint="eastAsia" w:cs="Times New Roman"/>
          <w:color w:val="auto"/>
          <w:szCs w:val="24"/>
          <w:lang w:eastAsia="zh-CN" w:bidi="ar"/>
        </w:rPr>
        <w:t>“</w:t>
      </w:r>
      <w:r>
        <w:rPr>
          <w:rFonts w:hint="default" w:ascii="Times New Roman" w:hAnsi="Times New Roman" w:cs="Times New Roman"/>
          <w:color w:val="auto"/>
          <w:szCs w:val="24"/>
          <w:lang w:bidi="ar"/>
        </w:rPr>
        <w:t>漏缝板</w:t>
      </w:r>
      <w:r>
        <w:rPr>
          <w:rFonts w:hint="eastAsia" w:cs="Times New Roman"/>
          <w:color w:val="auto"/>
          <w:szCs w:val="24"/>
          <w:lang w:eastAsia="zh-CN" w:bidi="ar"/>
        </w:rPr>
        <w:t>”</w:t>
      </w:r>
      <w:r>
        <w:rPr>
          <w:rFonts w:hint="default" w:ascii="Times New Roman" w:hAnsi="Times New Roman" w:cs="Times New Roman"/>
          <w:color w:val="auto"/>
          <w:szCs w:val="24"/>
          <w:lang w:bidi="ar"/>
        </w:rPr>
        <w:t>工艺，</w:t>
      </w:r>
      <w:r>
        <w:rPr>
          <w:rFonts w:hint="eastAsia"/>
          <w:color w:val="auto"/>
          <w:lang w:val="en-US" w:eastAsia="zh-CN"/>
        </w:rPr>
        <w:t>猪粪日产日清，猪舍采用机械通风和水量调温，保持圈舍内良好的通风条件和温度</w:t>
      </w:r>
      <w:r>
        <w:rPr>
          <w:rFonts w:hint="default" w:ascii="Times New Roman" w:hAnsi="Times New Roman" w:cs="Times New Roman"/>
          <w:color w:val="auto"/>
          <w:szCs w:val="24"/>
          <w:lang w:bidi="ar"/>
        </w:rPr>
        <w:t>。产生的粪渣等固废及时运至贮存或处理场所，以减少污染。</w:t>
      </w:r>
    </w:p>
    <w:p>
      <w:pPr>
        <w:ind w:firstLine="480"/>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加强养殖场生产管理，并对工作人员强化知识培训，提高饲养人员操作技能。场区布置按功能区进行相应划分，各构功能区之间设绿化隔离带，利用绿色植物的吸收作用，以减少恶臭气体的逸散，减轻恶臭等对周围环境的影响。</w:t>
      </w:r>
    </w:p>
    <w:p>
      <w:pPr>
        <w:ind w:firstLine="480"/>
        <w:rPr>
          <w:rFonts w:hint="eastAsia"/>
          <w:color w:val="auto"/>
        </w:rPr>
      </w:pPr>
      <w:r>
        <w:rPr>
          <w:rFonts w:hint="eastAsia"/>
          <w:color w:val="auto"/>
        </w:rPr>
        <w:t>（3）末端治理</w:t>
      </w:r>
    </w:p>
    <w:p>
      <w:pPr>
        <w:ind w:firstLine="480"/>
        <w:rPr>
          <w:color w:val="auto"/>
        </w:rPr>
      </w:pPr>
      <w:r>
        <w:rPr>
          <w:color w:val="auto"/>
        </w:rPr>
        <w:t>1</w:t>
      </w:r>
      <w:r>
        <w:rPr>
          <w:rFonts w:hint="eastAsia"/>
          <w:color w:val="auto"/>
        </w:rPr>
        <w:t>）工程性终端处理措施</w:t>
      </w:r>
    </w:p>
    <w:p>
      <w:pPr>
        <w:ind w:firstLine="480"/>
        <w:rPr>
          <w:rFonts w:hint="eastAsia"/>
          <w:color w:val="auto"/>
        </w:rPr>
      </w:pPr>
      <w:r>
        <w:rPr>
          <w:rFonts w:hint="eastAsia"/>
          <w:color w:val="auto"/>
          <w:lang w:val="en-US" w:eastAsia="zh-CN"/>
        </w:rPr>
        <w:t>对养殖区、干粪堆场、污水处理区喷洒除臭剂（</w:t>
      </w:r>
      <w:r>
        <w:rPr>
          <w:rFonts w:hint="eastAsia"/>
          <w:color w:val="auto"/>
        </w:rPr>
        <w:t>万洁芬</w:t>
      </w:r>
      <w:r>
        <w:rPr>
          <w:rFonts w:hint="eastAsia"/>
          <w:color w:val="auto"/>
          <w:lang w:val="en-US" w:eastAsia="zh-CN"/>
        </w:rPr>
        <w:t>等）、种植绿化等措施，减少恶臭气体的排放；夏季在产生臭气污染源处投放吸附剂（沸石、锯末、膨润土、蛭石），除臭剂等减少恶臭污染</w:t>
      </w:r>
      <w:r>
        <w:rPr>
          <w:rFonts w:hint="eastAsia"/>
          <w:color w:val="auto"/>
        </w:rPr>
        <w:t>。</w:t>
      </w:r>
    </w:p>
    <w:p>
      <w:pPr>
        <w:autoSpaceDE w:val="0"/>
        <w:autoSpaceDN w:val="0"/>
        <w:adjustRightInd w:val="0"/>
        <w:ind w:firstLine="480"/>
        <w:jc w:val="left"/>
        <w:rPr>
          <w:bCs/>
          <w:color w:val="auto"/>
        </w:rPr>
      </w:pPr>
      <w:r>
        <w:rPr>
          <w:bCs/>
          <w:color w:val="auto"/>
          <w:kern w:val="0"/>
        </w:rPr>
        <w:t>采用上述措施治理后，可有效减轻项目无组织恶臭污染影响。根据本项目恶臭产生源强进行预测，预测结果显示，场界排放臭气浓度能够满足《恶臭污染物排放标准》（GB14554-93）表1中二级标准的要求，同时在场界外设置</w:t>
      </w:r>
      <w:r>
        <w:rPr>
          <w:rFonts w:hint="eastAsia"/>
          <w:bCs/>
          <w:color w:val="auto"/>
          <w:kern w:val="0"/>
          <w:lang w:val="en-US" w:eastAsia="zh-CN"/>
        </w:rPr>
        <w:t>1</w:t>
      </w:r>
      <w:r>
        <w:rPr>
          <w:bCs/>
          <w:color w:val="auto"/>
          <w:kern w:val="0"/>
        </w:rPr>
        <w:t>00m卫生防护距离，在防护距离内不得新建学校、医院、居民区等环境敏感点。</w:t>
      </w:r>
    </w:p>
    <w:p>
      <w:pPr>
        <w:ind w:firstLine="482"/>
        <w:rPr>
          <w:rFonts w:hint="eastAsia"/>
          <w:b/>
          <w:color w:val="auto"/>
        </w:rPr>
      </w:pPr>
      <w:r>
        <w:rPr>
          <w:rFonts w:hint="eastAsia"/>
          <w:b/>
          <w:color w:val="auto"/>
        </w:rPr>
        <w:t>2、恶臭污染防治措施经济可行性</w:t>
      </w:r>
    </w:p>
    <w:p>
      <w:pPr>
        <w:ind w:firstLine="480"/>
        <w:rPr>
          <w:color w:val="auto"/>
        </w:rPr>
      </w:pPr>
      <w:r>
        <w:rPr>
          <w:rFonts w:hint="eastAsia"/>
          <w:color w:val="auto"/>
        </w:rPr>
        <w:t>项目恶臭治理购置EM菌剂、除臭剂等措施，运营期运行费用估算如下：</w:t>
      </w:r>
    </w:p>
    <w:p>
      <w:pPr>
        <w:pStyle w:val="166"/>
        <w:spacing w:before="120" w:beforeLines="0"/>
        <w:ind w:firstLine="480"/>
        <w:rPr>
          <w:b w:val="0"/>
          <w:bCs/>
          <w:color w:val="auto"/>
          <w:sz w:val="9"/>
          <w:szCs w:val="9"/>
        </w:rPr>
      </w:pPr>
      <w:r>
        <w:rPr>
          <w:rFonts w:hint="eastAsia"/>
          <w:color w:val="auto"/>
        </w:rPr>
        <w:t>表</w:t>
      </w:r>
      <w:r>
        <w:rPr>
          <w:color w:val="auto"/>
        </w:rPr>
        <w:t>7.2-</w:t>
      </w:r>
      <w:r>
        <w:rPr>
          <w:rFonts w:hint="eastAsia"/>
          <w:color w:val="auto"/>
          <w:lang w:val="en-US" w:eastAsia="zh-CN"/>
        </w:rPr>
        <w:t xml:space="preserve">2 </w:t>
      </w:r>
      <w:r>
        <w:rPr>
          <w:rFonts w:hint="eastAsia"/>
          <w:color w:val="auto"/>
        </w:rPr>
        <w:t>恶臭气体污染防治年运行费用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771"/>
        <w:gridCol w:w="2283"/>
        <w:gridCol w:w="3984"/>
        <w:gridCol w:w="1749"/>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71" w:type="dxa"/>
            <w:noWrap w:val="0"/>
            <w:vAlign w:val="center"/>
          </w:tcPr>
          <w:p>
            <w:pPr>
              <w:pStyle w:val="332"/>
              <w:kinsoku w:val="0"/>
              <w:overflowPunct w:val="0"/>
              <w:jc w:val="center"/>
              <w:rPr>
                <w:b/>
                <w:color w:val="auto"/>
                <w:sz w:val="20"/>
                <w:szCs w:val="20"/>
              </w:rPr>
            </w:pPr>
            <w:r>
              <w:rPr>
                <w:rFonts w:hint="eastAsia"/>
                <w:b/>
                <w:color w:val="auto"/>
                <w:sz w:val="20"/>
                <w:szCs w:val="20"/>
              </w:rPr>
              <w:t>序号</w:t>
            </w:r>
          </w:p>
        </w:tc>
        <w:tc>
          <w:tcPr>
            <w:tcW w:w="2283" w:type="dxa"/>
            <w:noWrap w:val="0"/>
            <w:vAlign w:val="center"/>
          </w:tcPr>
          <w:p>
            <w:pPr>
              <w:pStyle w:val="332"/>
              <w:kinsoku w:val="0"/>
              <w:overflowPunct w:val="0"/>
              <w:jc w:val="center"/>
              <w:rPr>
                <w:b/>
                <w:color w:val="auto"/>
                <w:sz w:val="20"/>
                <w:szCs w:val="20"/>
              </w:rPr>
            </w:pPr>
            <w:r>
              <w:rPr>
                <w:rFonts w:hint="eastAsia"/>
                <w:b/>
                <w:color w:val="auto"/>
                <w:sz w:val="20"/>
                <w:szCs w:val="20"/>
              </w:rPr>
              <w:t>费用名称</w:t>
            </w:r>
          </w:p>
        </w:tc>
        <w:tc>
          <w:tcPr>
            <w:tcW w:w="3984" w:type="dxa"/>
            <w:noWrap w:val="0"/>
            <w:vAlign w:val="center"/>
          </w:tcPr>
          <w:p>
            <w:pPr>
              <w:pStyle w:val="332"/>
              <w:kinsoku w:val="0"/>
              <w:overflowPunct w:val="0"/>
              <w:jc w:val="center"/>
              <w:rPr>
                <w:b/>
                <w:color w:val="auto"/>
                <w:sz w:val="20"/>
                <w:szCs w:val="20"/>
              </w:rPr>
            </w:pPr>
            <w:r>
              <w:rPr>
                <w:rFonts w:hint="eastAsia"/>
                <w:b/>
                <w:color w:val="auto"/>
                <w:sz w:val="20"/>
                <w:szCs w:val="20"/>
              </w:rPr>
              <w:t>说明</w:t>
            </w:r>
          </w:p>
        </w:tc>
        <w:tc>
          <w:tcPr>
            <w:tcW w:w="1749" w:type="dxa"/>
            <w:noWrap w:val="0"/>
            <w:vAlign w:val="center"/>
          </w:tcPr>
          <w:p>
            <w:pPr>
              <w:pStyle w:val="332"/>
              <w:kinsoku w:val="0"/>
              <w:overflowPunct w:val="0"/>
              <w:jc w:val="center"/>
              <w:rPr>
                <w:b/>
                <w:color w:val="auto"/>
                <w:sz w:val="20"/>
                <w:szCs w:val="20"/>
              </w:rPr>
            </w:pPr>
            <w:r>
              <w:rPr>
                <w:rFonts w:hint="eastAsia"/>
                <w:b/>
                <w:color w:val="auto"/>
                <w:sz w:val="20"/>
                <w:szCs w:val="20"/>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71" w:type="dxa"/>
            <w:noWrap w:val="0"/>
            <w:vAlign w:val="center"/>
          </w:tcPr>
          <w:p>
            <w:pPr>
              <w:pStyle w:val="332"/>
              <w:kinsoku w:val="0"/>
              <w:overflowPunct w:val="0"/>
              <w:jc w:val="center"/>
              <w:rPr>
                <w:color w:val="auto"/>
                <w:sz w:val="20"/>
                <w:szCs w:val="20"/>
              </w:rPr>
            </w:pPr>
            <w:r>
              <w:rPr>
                <w:color w:val="auto"/>
                <w:sz w:val="20"/>
                <w:szCs w:val="20"/>
              </w:rPr>
              <w:t>1</w:t>
            </w:r>
          </w:p>
        </w:tc>
        <w:tc>
          <w:tcPr>
            <w:tcW w:w="2283" w:type="dxa"/>
            <w:noWrap w:val="0"/>
            <w:vAlign w:val="center"/>
          </w:tcPr>
          <w:p>
            <w:pPr>
              <w:pStyle w:val="332"/>
              <w:kinsoku w:val="0"/>
              <w:overflowPunct w:val="0"/>
              <w:jc w:val="center"/>
              <w:rPr>
                <w:color w:val="auto"/>
                <w:sz w:val="20"/>
                <w:szCs w:val="20"/>
              </w:rPr>
            </w:pPr>
            <w:r>
              <w:rPr>
                <w:rFonts w:hint="eastAsia"/>
                <w:color w:val="auto"/>
                <w:sz w:val="20"/>
                <w:szCs w:val="20"/>
              </w:rPr>
              <w:t>电费</w:t>
            </w:r>
          </w:p>
        </w:tc>
        <w:tc>
          <w:tcPr>
            <w:tcW w:w="3984" w:type="dxa"/>
            <w:noWrap w:val="0"/>
            <w:vAlign w:val="center"/>
          </w:tcPr>
          <w:p>
            <w:pPr>
              <w:pStyle w:val="332"/>
              <w:kinsoku w:val="0"/>
              <w:overflowPunct w:val="0"/>
              <w:jc w:val="center"/>
              <w:rPr>
                <w:color w:val="auto"/>
                <w:sz w:val="20"/>
                <w:szCs w:val="20"/>
              </w:rPr>
            </w:pPr>
            <w:r>
              <w:rPr>
                <w:color w:val="auto"/>
                <w:sz w:val="20"/>
                <w:szCs w:val="20"/>
              </w:rPr>
              <w:t>15000</w:t>
            </w:r>
            <w:r>
              <w:rPr>
                <w:rFonts w:hint="eastAsia"/>
                <w:color w:val="auto"/>
                <w:sz w:val="20"/>
                <w:szCs w:val="20"/>
              </w:rPr>
              <w:t>度</w:t>
            </w:r>
            <w:r>
              <w:rPr>
                <w:color w:val="auto"/>
                <w:sz w:val="20"/>
                <w:szCs w:val="20"/>
              </w:rPr>
              <w:t>/a</w:t>
            </w:r>
          </w:p>
        </w:tc>
        <w:tc>
          <w:tcPr>
            <w:tcW w:w="1749" w:type="dxa"/>
            <w:noWrap w:val="0"/>
            <w:vAlign w:val="center"/>
          </w:tcPr>
          <w:p>
            <w:pPr>
              <w:pStyle w:val="332"/>
              <w:kinsoku w:val="0"/>
              <w:overflowPunct w:val="0"/>
              <w:jc w:val="center"/>
              <w:rPr>
                <w:color w:val="auto"/>
                <w:sz w:val="20"/>
                <w:szCs w:val="20"/>
              </w:rPr>
            </w:pPr>
            <w:r>
              <w:rPr>
                <w:color w:val="auto"/>
                <w:sz w:val="20"/>
                <w:szCs w:val="20"/>
              </w:rPr>
              <w:t>0.62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71" w:type="dxa"/>
            <w:noWrap w:val="0"/>
            <w:vAlign w:val="center"/>
          </w:tcPr>
          <w:p>
            <w:pPr>
              <w:pStyle w:val="332"/>
              <w:kinsoku w:val="0"/>
              <w:overflowPunct w:val="0"/>
              <w:jc w:val="center"/>
              <w:rPr>
                <w:color w:val="auto"/>
                <w:sz w:val="20"/>
                <w:szCs w:val="20"/>
              </w:rPr>
            </w:pPr>
            <w:r>
              <w:rPr>
                <w:color w:val="auto"/>
                <w:sz w:val="20"/>
                <w:szCs w:val="20"/>
              </w:rPr>
              <w:t>2</w:t>
            </w:r>
          </w:p>
        </w:tc>
        <w:tc>
          <w:tcPr>
            <w:tcW w:w="2283" w:type="dxa"/>
            <w:noWrap w:val="0"/>
            <w:vAlign w:val="center"/>
          </w:tcPr>
          <w:p>
            <w:pPr>
              <w:pStyle w:val="332"/>
              <w:kinsoku w:val="0"/>
              <w:overflowPunct w:val="0"/>
              <w:jc w:val="center"/>
              <w:rPr>
                <w:color w:val="auto"/>
                <w:sz w:val="20"/>
                <w:szCs w:val="20"/>
              </w:rPr>
            </w:pPr>
            <w:r>
              <w:rPr>
                <w:color w:val="auto"/>
                <w:sz w:val="20"/>
                <w:szCs w:val="20"/>
              </w:rPr>
              <w:t>EM</w:t>
            </w:r>
            <w:r>
              <w:rPr>
                <w:rFonts w:hint="eastAsia"/>
                <w:color w:val="auto"/>
                <w:sz w:val="20"/>
                <w:szCs w:val="20"/>
              </w:rPr>
              <w:t>菌剂</w:t>
            </w:r>
          </w:p>
        </w:tc>
        <w:tc>
          <w:tcPr>
            <w:tcW w:w="3984" w:type="dxa"/>
            <w:noWrap w:val="0"/>
            <w:vAlign w:val="center"/>
          </w:tcPr>
          <w:p>
            <w:pPr>
              <w:pStyle w:val="332"/>
              <w:kinsoku w:val="0"/>
              <w:overflowPunct w:val="0"/>
              <w:jc w:val="center"/>
              <w:rPr>
                <w:color w:val="auto"/>
                <w:sz w:val="20"/>
                <w:szCs w:val="20"/>
              </w:rPr>
            </w:pPr>
            <w:r>
              <w:rPr>
                <w:rFonts w:hint="eastAsia"/>
                <w:color w:val="auto"/>
                <w:sz w:val="20"/>
                <w:szCs w:val="20"/>
              </w:rPr>
              <w:t>年耗用量</w:t>
            </w:r>
            <w:r>
              <w:rPr>
                <w:rFonts w:hint="eastAsia"/>
                <w:color w:val="auto"/>
                <w:sz w:val="20"/>
                <w:szCs w:val="20"/>
                <w:lang w:val="en-US" w:eastAsia="zh-CN"/>
              </w:rPr>
              <w:t>1.5</w:t>
            </w:r>
            <w:r>
              <w:rPr>
                <w:color w:val="auto"/>
                <w:sz w:val="20"/>
                <w:szCs w:val="20"/>
              </w:rPr>
              <w:t>t</w:t>
            </w:r>
            <w:r>
              <w:rPr>
                <w:rFonts w:hint="eastAsia"/>
                <w:color w:val="auto"/>
                <w:sz w:val="20"/>
                <w:szCs w:val="20"/>
              </w:rPr>
              <w:t>，</w:t>
            </w:r>
            <w:r>
              <w:rPr>
                <w:color w:val="auto"/>
                <w:sz w:val="20"/>
                <w:szCs w:val="20"/>
              </w:rPr>
              <w:t>30000</w:t>
            </w:r>
            <w:r>
              <w:rPr>
                <w:rFonts w:hint="eastAsia"/>
                <w:color w:val="auto"/>
                <w:sz w:val="20"/>
                <w:szCs w:val="20"/>
              </w:rPr>
              <w:t>元</w:t>
            </w:r>
            <w:r>
              <w:rPr>
                <w:color w:val="auto"/>
                <w:sz w:val="20"/>
                <w:szCs w:val="20"/>
              </w:rPr>
              <w:t>/t</w:t>
            </w:r>
          </w:p>
        </w:tc>
        <w:tc>
          <w:tcPr>
            <w:tcW w:w="1749" w:type="dxa"/>
            <w:noWrap w:val="0"/>
            <w:vAlign w:val="center"/>
          </w:tcPr>
          <w:p>
            <w:pPr>
              <w:pStyle w:val="332"/>
              <w:kinsoku w:val="0"/>
              <w:overflowPunct w:val="0"/>
              <w:jc w:val="center"/>
              <w:rPr>
                <w:rFonts w:hint="default" w:eastAsia="宋体"/>
                <w:color w:val="auto"/>
                <w:sz w:val="20"/>
                <w:szCs w:val="20"/>
                <w:lang w:val="en-US" w:eastAsia="zh-CN"/>
              </w:rPr>
            </w:pPr>
            <w:r>
              <w:rPr>
                <w:rFonts w:hint="eastAsia"/>
                <w:color w:val="auto"/>
                <w:sz w:val="20"/>
                <w:szCs w:val="20"/>
                <w:lang w:val="en-US" w:eastAsia="zh-CN"/>
              </w:rPr>
              <w:t>4.5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71" w:type="dxa"/>
            <w:noWrap w:val="0"/>
            <w:vAlign w:val="center"/>
          </w:tcPr>
          <w:p>
            <w:pPr>
              <w:pStyle w:val="332"/>
              <w:kinsoku w:val="0"/>
              <w:overflowPunct w:val="0"/>
              <w:jc w:val="center"/>
              <w:rPr>
                <w:color w:val="auto"/>
                <w:sz w:val="20"/>
                <w:szCs w:val="20"/>
              </w:rPr>
            </w:pPr>
            <w:r>
              <w:rPr>
                <w:color w:val="auto"/>
                <w:sz w:val="20"/>
                <w:szCs w:val="20"/>
              </w:rPr>
              <w:t>3</w:t>
            </w:r>
          </w:p>
        </w:tc>
        <w:tc>
          <w:tcPr>
            <w:tcW w:w="2283" w:type="dxa"/>
            <w:noWrap w:val="0"/>
            <w:vAlign w:val="center"/>
          </w:tcPr>
          <w:p>
            <w:pPr>
              <w:pStyle w:val="332"/>
              <w:kinsoku w:val="0"/>
              <w:overflowPunct w:val="0"/>
              <w:jc w:val="center"/>
              <w:rPr>
                <w:color w:val="auto"/>
                <w:sz w:val="20"/>
                <w:szCs w:val="20"/>
              </w:rPr>
            </w:pPr>
            <w:r>
              <w:rPr>
                <w:rFonts w:hint="eastAsia"/>
                <w:color w:val="auto"/>
                <w:sz w:val="20"/>
                <w:szCs w:val="20"/>
              </w:rPr>
              <w:t>除臭剂</w:t>
            </w:r>
          </w:p>
        </w:tc>
        <w:tc>
          <w:tcPr>
            <w:tcW w:w="3984" w:type="dxa"/>
            <w:noWrap w:val="0"/>
            <w:vAlign w:val="center"/>
          </w:tcPr>
          <w:p>
            <w:pPr>
              <w:pStyle w:val="332"/>
              <w:kinsoku w:val="0"/>
              <w:overflowPunct w:val="0"/>
              <w:jc w:val="center"/>
              <w:rPr>
                <w:color w:val="auto"/>
                <w:sz w:val="20"/>
                <w:szCs w:val="20"/>
              </w:rPr>
            </w:pPr>
            <w:r>
              <w:rPr>
                <w:rFonts w:hint="eastAsia"/>
                <w:color w:val="auto"/>
                <w:sz w:val="20"/>
                <w:szCs w:val="20"/>
              </w:rPr>
              <w:t>年耗用量</w:t>
            </w:r>
            <w:r>
              <w:rPr>
                <w:color w:val="auto"/>
                <w:sz w:val="20"/>
                <w:szCs w:val="20"/>
              </w:rPr>
              <w:t>1.5t</w:t>
            </w:r>
            <w:r>
              <w:rPr>
                <w:rFonts w:hint="eastAsia"/>
                <w:color w:val="auto"/>
                <w:sz w:val="20"/>
                <w:szCs w:val="20"/>
              </w:rPr>
              <w:t>，</w:t>
            </w:r>
            <w:r>
              <w:rPr>
                <w:color w:val="auto"/>
                <w:sz w:val="20"/>
                <w:szCs w:val="20"/>
              </w:rPr>
              <w:t>5000</w:t>
            </w:r>
            <w:r>
              <w:rPr>
                <w:rFonts w:hint="eastAsia"/>
                <w:color w:val="auto"/>
                <w:sz w:val="20"/>
                <w:szCs w:val="20"/>
              </w:rPr>
              <w:t>元</w:t>
            </w:r>
            <w:r>
              <w:rPr>
                <w:color w:val="auto"/>
                <w:sz w:val="20"/>
                <w:szCs w:val="20"/>
              </w:rPr>
              <w:t>/t</w:t>
            </w:r>
          </w:p>
        </w:tc>
        <w:tc>
          <w:tcPr>
            <w:tcW w:w="1749" w:type="dxa"/>
            <w:noWrap w:val="0"/>
            <w:vAlign w:val="center"/>
          </w:tcPr>
          <w:p>
            <w:pPr>
              <w:pStyle w:val="332"/>
              <w:kinsoku w:val="0"/>
              <w:overflowPunct w:val="0"/>
              <w:jc w:val="center"/>
              <w:rPr>
                <w:color w:val="auto"/>
                <w:sz w:val="20"/>
                <w:szCs w:val="20"/>
              </w:rPr>
            </w:pPr>
            <w:r>
              <w:rPr>
                <w:color w:val="auto"/>
                <w:sz w:val="20"/>
                <w:szCs w:val="20"/>
              </w:rPr>
              <w:t>7.5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wBefore w:w="0" w:type="dxa"/>
          <w:wAfter w:w="0" w:type="dxa"/>
          <w:trHeight w:val="340" w:hRule="atLeast"/>
          <w:jc w:val="center"/>
        </w:trPr>
        <w:tc>
          <w:tcPr>
            <w:tcW w:w="771" w:type="dxa"/>
            <w:noWrap w:val="0"/>
            <w:vAlign w:val="center"/>
          </w:tcPr>
          <w:p>
            <w:pPr>
              <w:pStyle w:val="332"/>
              <w:kinsoku w:val="0"/>
              <w:overflowPunct w:val="0"/>
              <w:jc w:val="center"/>
              <w:rPr>
                <w:color w:val="auto"/>
                <w:sz w:val="20"/>
                <w:szCs w:val="20"/>
              </w:rPr>
            </w:pPr>
            <w:r>
              <w:rPr>
                <w:color w:val="auto"/>
                <w:sz w:val="20"/>
                <w:szCs w:val="20"/>
              </w:rPr>
              <w:t>4</w:t>
            </w:r>
          </w:p>
        </w:tc>
        <w:tc>
          <w:tcPr>
            <w:tcW w:w="2283" w:type="dxa"/>
            <w:noWrap w:val="0"/>
            <w:vAlign w:val="center"/>
          </w:tcPr>
          <w:p>
            <w:pPr>
              <w:pStyle w:val="332"/>
              <w:kinsoku w:val="0"/>
              <w:overflowPunct w:val="0"/>
              <w:jc w:val="center"/>
              <w:rPr>
                <w:color w:val="auto"/>
                <w:sz w:val="20"/>
                <w:szCs w:val="20"/>
              </w:rPr>
            </w:pPr>
            <w:r>
              <w:rPr>
                <w:rFonts w:hint="eastAsia"/>
                <w:color w:val="auto"/>
                <w:sz w:val="20"/>
                <w:szCs w:val="20"/>
              </w:rPr>
              <w:t>设备折旧及维修费用</w:t>
            </w:r>
          </w:p>
        </w:tc>
        <w:tc>
          <w:tcPr>
            <w:tcW w:w="3984" w:type="dxa"/>
            <w:noWrap w:val="0"/>
            <w:vAlign w:val="center"/>
          </w:tcPr>
          <w:p>
            <w:pPr>
              <w:pStyle w:val="332"/>
              <w:kinsoku w:val="0"/>
              <w:overflowPunct w:val="0"/>
              <w:jc w:val="center"/>
              <w:rPr>
                <w:color w:val="auto"/>
                <w:sz w:val="20"/>
                <w:szCs w:val="20"/>
              </w:rPr>
            </w:pPr>
            <w:r>
              <w:rPr>
                <w:rFonts w:hint="eastAsia"/>
                <w:color w:val="auto"/>
                <w:sz w:val="20"/>
                <w:szCs w:val="20"/>
              </w:rPr>
              <w:t>按</w:t>
            </w:r>
            <w:r>
              <w:rPr>
                <w:color w:val="auto"/>
                <w:sz w:val="20"/>
                <w:szCs w:val="20"/>
              </w:rPr>
              <w:t>10</w:t>
            </w:r>
            <w:r>
              <w:rPr>
                <w:rFonts w:hint="eastAsia"/>
                <w:color w:val="auto"/>
                <w:sz w:val="20"/>
                <w:szCs w:val="20"/>
              </w:rPr>
              <w:t>年寿命计</w:t>
            </w:r>
          </w:p>
        </w:tc>
        <w:tc>
          <w:tcPr>
            <w:tcW w:w="1749" w:type="dxa"/>
            <w:noWrap w:val="0"/>
            <w:vAlign w:val="center"/>
          </w:tcPr>
          <w:p>
            <w:pPr>
              <w:pStyle w:val="332"/>
              <w:kinsoku w:val="0"/>
              <w:overflowPunct w:val="0"/>
              <w:jc w:val="center"/>
              <w:rPr>
                <w:color w:val="auto"/>
                <w:sz w:val="20"/>
                <w:szCs w:val="20"/>
              </w:rPr>
            </w:pPr>
            <w:r>
              <w:rPr>
                <w:color w:val="auto"/>
                <w:sz w:val="20"/>
                <w:szCs w:val="20"/>
              </w:rPr>
              <w:t>0.5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71" w:type="dxa"/>
            <w:noWrap w:val="0"/>
            <w:vAlign w:val="center"/>
          </w:tcPr>
          <w:p>
            <w:pPr>
              <w:pStyle w:val="332"/>
              <w:kinsoku w:val="0"/>
              <w:overflowPunct w:val="0"/>
              <w:jc w:val="center"/>
              <w:rPr>
                <w:color w:val="auto"/>
                <w:sz w:val="20"/>
                <w:szCs w:val="20"/>
              </w:rPr>
            </w:pPr>
            <w:r>
              <w:rPr>
                <w:color w:val="auto"/>
                <w:sz w:val="20"/>
                <w:szCs w:val="20"/>
              </w:rPr>
              <w:t>5</w:t>
            </w:r>
          </w:p>
        </w:tc>
        <w:tc>
          <w:tcPr>
            <w:tcW w:w="2283" w:type="dxa"/>
            <w:noWrap w:val="0"/>
            <w:vAlign w:val="center"/>
          </w:tcPr>
          <w:p>
            <w:pPr>
              <w:pStyle w:val="332"/>
              <w:kinsoku w:val="0"/>
              <w:overflowPunct w:val="0"/>
              <w:jc w:val="center"/>
              <w:rPr>
                <w:color w:val="auto"/>
                <w:sz w:val="20"/>
                <w:szCs w:val="20"/>
              </w:rPr>
            </w:pPr>
            <w:r>
              <w:rPr>
                <w:rFonts w:hint="eastAsia"/>
                <w:color w:val="auto"/>
                <w:sz w:val="20"/>
                <w:szCs w:val="20"/>
              </w:rPr>
              <w:t>人员</w:t>
            </w:r>
          </w:p>
        </w:tc>
        <w:tc>
          <w:tcPr>
            <w:tcW w:w="3984" w:type="dxa"/>
            <w:noWrap w:val="0"/>
            <w:vAlign w:val="center"/>
          </w:tcPr>
          <w:p>
            <w:pPr>
              <w:pStyle w:val="332"/>
              <w:kinsoku w:val="0"/>
              <w:overflowPunct w:val="0"/>
              <w:jc w:val="center"/>
              <w:rPr>
                <w:color w:val="auto"/>
                <w:sz w:val="20"/>
                <w:szCs w:val="20"/>
              </w:rPr>
            </w:pPr>
            <w:r>
              <w:rPr>
                <w:color w:val="auto"/>
                <w:sz w:val="20"/>
                <w:szCs w:val="20"/>
              </w:rPr>
              <w:t>2</w:t>
            </w:r>
            <w:r>
              <w:rPr>
                <w:rFonts w:hint="eastAsia"/>
                <w:color w:val="auto"/>
                <w:sz w:val="20"/>
                <w:szCs w:val="20"/>
              </w:rPr>
              <w:t>人</w:t>
            </w:r>
          </w:p>
        </w:tc>
        <w:tc>
          <w:tcPr>
            <w:tcW w:w="1749" w:type="dxa"/>
            <w:noWrap w:val="0"/>
            <w:vAlign w:val="center"/>
          </w:tcPr>
          <w:p>
            <w:pPr>
              <w:pStyle w:val="332"/>
              <w:kinsoku w:val="0"/>
              <w:overflowPunct w:val="0"/>
              <w:jc w:val="center"/>
              <w:rPr>
                <w:color w:val="auto"/>
                <w:sz w:val="20"/>
                <w:szCs w:val="20"/>
              </w:rPr>
            </w:pPr>
            <w:r>
              <w:rPr>
                <w:color w:val="auto"/>
                <w:sz w:val="20"/>
                <w:szCs w:val="20"/>
              </w:rPr>
              <w:t>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7038" w:type="dxa"/>
            <w:gridSpan w:val="3"/>
            <w:noWrap w:val="0"/>
            <w:vAlign w:val="center"/>
          </w:tcPr>
          <w:p>
            <w:pPr>
              <w:pStyle w:val="332"/>
              <w:kinsoku w:val="0"/>
              <w:overflowPunct w:val="0"/>
              <w:jc w:val="center"/>
              <w:rPr>
                <w:color w:val="auto"/>
                <w:sz w:val="20"/>
                <w:szCs w:val="20"/>
              </w:rPr>
            </w:pPr>
            <w:r>
              <w:rPr>
                <w:rFonts w:hint="eastAsia"/>
                <w:color w:val="auto"/>
                <w:sz w:val="20"/>
                <w:szCs w:val="20"/>
              </w:rPr>
              <w:t>合计</w:t>
            </w:r>
          </w:p>
        </w:tc>
        <w:tc>
          <w:tcPr>
            <w:tcW w:w="1749" w:type="dxa"/>
            <w:noWrap w:val="0"/>
            <w:vAlign w:val="center"/>
          </w:tcPr>
          <w:p>
            <w:pPr>
              <w:pStyle w:val="332"/>
              <w:kinsoku w:val="0"/>
              <w:overflowPunct w:val="0"/>
              <w:jc w:val="center"/>
              <w:rPr>
                <w:rFonts w:hint="default"/>
                <w:color w:val="auto"/>
                <w:sz w:val="20"/>
                <w:szCs w:val="20"/>
              </w:rPr>
            </w:pPr>
            <w:r>
              <w:rPr>
                <w:rFonts w:hint="default"/>
                <w:color w:val="auto"/>
                <w:sz w:val="20"/>
                <w:szCs w:val="20"/>
              </w:rPr>
              <w:fldChar w:fldCharType="begin"/>
            </w:r>
            <w:r>
              <w:rPr>
                <w:rFonts w:hint="default"/>
                <w:color w:val="auto"/>
                <w:sz w:val="20"/>
                <w:szCs w:val="20"/>
              </w:rPr>
              <w:instrText xml:space="preserve"> = SUM（ABOVE） \* MERGEFORMAT </w:instrText>
            </w:r>
            <w:r>
              <w:rPr>
                <w:rFonts w:hint="default"/>
                <w:color w:val="auto"/>
                <w:sz w:val="20"/>
                <w:szCs w:val="20"/>
              </w:rPr>
              <w:fldChar w:fldCharType="separate"/>
            </w:r>
            <w:r>
              <w:rPr>
                <w:rFonts w:hint="default"/>
                <w:color w:val="auto"/>
                <w:sz w:val="20"/>
                <w:szCs w:val="20"/>
              </w:rPr>
              <w:t>16.12</w:t>
            </w:r>
            <w:r>
              <w:rPr>
                <w:rFonts w:hint="default"/>
                <w:color w:val="auto"/>
                <w:sz w:val="20"/>
                <w:szCs w:val="20"/>
              </w:rPr>
              <w:fldChar w:fldCharType="end"/>
            </w:r>
          </w:p>
        </w:tc>
      </w:tr>
    </w:tbl>
    <w:p>
      <w:pPr>
        <w:spacing w:before="120" w:beforeLines="50"/>
        <w:ind w:firstLine="480"/>
        <w:rPr>
          <w:color w:val="auto"/>
        </w:rPr>
      </w:pPr>
      <w:r>
        <w:rPr>
          <w:rFonts w:hint="eastAsia"/>
          <w:color w:val="auto"/>
        </w:rPr>
        <w:t>综上所述，项目恶臭污染防治措施技术程度，有效可行，投资费用较低，运行费用适中，技术经济可行。</w:t>
      </w:r>
    </w:p>
    <w:p>
      <w:pPr>
        <w:pStyle w:val="9"/>
        <w:spacing w:before="120" w:beforeLines="50"/>
        <w:rPr>
          <w:rFonts w:hint="eastAsia"/>
          <w:color w:val="auto"/>
        </w:rPr>
      </w:pPr>
      <w:r>
        <w:rPr>
          <w:rFonts w:hint="eastAsia"/>
          <w:color w:val="auto"/>
        </w:rPr>
        <w:t>食堂油烟治理措施分析</w:t>
      </w:r>
    </w:p>
    <w:p>
      <w:pPr>
        <w:ind w:firstLine="482"/>
        <w:rPr>
          <w:rFonts w:hint="eastAsia"/>
          <w:b/>
          <w:color w:val="auto"/>
        </w:rPr>
      </w:pPr>
      <w:r>
        <w:rPr>
          <w:rFonts w:hint="eastAsia"/>
          <w:b/>
          <w:color w:val="auto"/>
        </w:rPr>
        <w:t>1、食堂油烟治理措施技术可行性分析</w:t>
      </w:r>
    </w:p>
    <w:p>
      <w:pPr>
        <w:pStyle w:val="265"/>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本项目场区内在生活区设有小型食堂，食堂以项目产生的沼气为燃料，沼气是一种清洁能源，其燃烧产生的大气污染物经自然扩散后远低于排放标准。项目食堂产生的餐饮油烟经集气罩收集后，采用效率为</w:t>
      </w:r>
      <w:r>
        <w:rPr>
          <w:rFonts w:hint="eastAsia" w:cs="Times New Roman"/>
          <w:color w:val="auto"/>
          <w:szCs w:val="24"/>
          <w:lang w:val="en-US" w:eastAsia="zh-CN" w:bidi="ar"/>
        </w:rPr>
        <w:t>60</w:t>
      </w:r>
      <w:r>
        <w:rPr>
          <w:rFonts w:hint="default" w:ascii="Times New Roman" w:hAnsi="Times New Roman" w:cs="Times New Roman"/>
          <w:color w:val="auto"/>
          <w:szCs w:val="24"/>
          <w:lang w:bidi="ar"/>
        </w:rPr>
        <w:t>%以上的油烟净化装置去除餐饮油烟，其工作原理为：在风机的作用下、油烟气混合污染物通过油烟净化器，利用直流电高压电场产生电晕放电现象，对流经净化器的油烟进行电离分解，形成微小荷电的油粒以及烟、尘、水粒子，在经过异极性的平板集尘器时被吸收，最后沉积到净化器的底部储油箱内并经导管排出，同时高压电场中产生的活性因子臭氧（O</w:t>
      </w:r>
      <w:r>
        <w:rPr>
          <w:rFonts w:hint="default" w:ascii="Times New Roman" w:hAnsi="Times New Roman" w:cs="Times New Roman"/>
          <w:color w:val="auto"/>
          <w:szCs w:val="24"/>
          <w:vertAlign w:val="subscript"/>
          <w:lang w:bidi="ar"/>
        </w:rPr>
        <w:t>3</w:t>
      </w:r>
      <w:r>
        <w:rPr>
          <w:rFonts w:hint="default" w:ascii="Times New Roman" w:hAnsi="Times New Roman" w:cs="Times New Roman"/>
          <w:color w:val="auto"/>
          <w:szCs w:val="24"/>
          <w:lang w:bidi="ar"/>
        </w:rPr>
        <w:t>）</w:t>
      </w:r>
      <w:r>
        <w:rPr>
          <w:rFonts w:hint="eastAsia" w:ascii="Times New Roman" w:hAnsi="Times New Roman" w:cs="Times New Roman"/>
          <w:color w:val="auto"/>
          <w:szCs w:val="24"/>
          <w:lang w:eastAsia="zh-CN" w:bidi="ar"/>
        </w:rPr>
        <w:t>，</w:t>
      </w:r>
      <w:r>
        <w:rPr>
          <w:rFonts w:hint="default" w:ascii="Times New Roman" w:hAnsi="Times New Roman" w:cs="Times New Roman"/>
          <w:color w:val="auto"/>
          <w:szCs w:val="24"/>
          <w:lang w:bidi="ar"/>
        </w:rPr>
        <w:t>对烟气中的有毒成份和异味进行分解和除味。油烟废气经油烟净化装置处理后，满足《饮食业油烟排放标准（试行）》</w:t>
      </w:r>
      <w:r>
        <w:rPr>
          <w:rFonts w:hint="eastAsia" w:cs="Times New Roman"/>
          <w:color w:val="auto"/>
          <w:szCs w:val="24"/>
          <w:lang w:eastAsia="zh-CN" w:bidi="ar"/>
        </w:rPr>
        <w:t>（</w:t>
      </w:r>
      <w:r>
        <w:rPr>
          <w:rFonts w:hint="default" w:ascii="Times New Roman" w:hAnsi="Times New Roman" w:cs="Times New Roman"/>
          <w:color w:val="auto"/>
          <w:szCs w:val="24"/>
          <w:lang w:bidi="ar"/>
        </w:rPr>
        <w:t>GB18483-2001</w:t>
      </w:r>
      <w:r>
        <w:rPr>
          <w:rFonts w:hint="eastAsia" w:cs="Times New Roman"/>
          <w:color w:val="auto"/>
          <w:szCs w:val="24"/>
          <w:lang w:eastAsia="zh-CN" w:bidi="ar"/>
        </w:rPr>
        <w:t>）</w:t>
      </w:r>
      <w:r>
        <w:rPr>
          <w:rFonts w:hint="default" w:ascii="Times New Roman" w:hAnsi="Times New Roman" w:cs="Times New Roman"/>
          <w:color w:val="auto"/>
          <w:szCs w:val="24"/>
          <w:lang w:bidi="ar"/>
        </w:rPr>
        <w:t>小型规模最高2.0mg/m</w:t>
      </w:r>
      <w:r>
        <w:rPr>
          <w:rFonts w:hint="default" w:ascii="Times New Roman" w:hAnsi="Times New Roman" w:cs="Times New Roman"/>
          <w:color w:val="auto"/>
          <w:szCs w:val="24"/>
          <w:vertAlign w:val="superscript"/>
          <w:lang w:bidi="ar"/>
        </w:rPr>
        <w:t>3</w:t>
      </w:r>
      <w:r>
        <w:rPr>
          <w:rFonts w:hint="default" w:ascii="Times New Roman" w:hAnsi="Times New Roman" w:cs="Times New Roman"/>
          <w:color w:val="auto"/>
          <w:szCs w:val="24"/>
          <w:lang w:bidi="ar"/>
        </w:rPr>
        <w:t>排放浓度和最低60%净化去除效率要求，然后通过内置排油烟道将产生的油烟引至所在食堂屋顶高空排放。</w:t>
      </w:r>
    </w:p>
    <w:p>
      <w:pPr>
        <w:ind w:firstLine="482"/>
        <w:rPr>
          <w:rFonts w:hint="eastAsia"/>
          <w:b/>
          <w:color w:val="auto"/>
        </w:rPr>
      </w:pPr>
      <w:r>
        <w:rPr>
          <w:rFonts w:hint="eastAsia"/>
          <w:b/>
          <w:color w:val="auto"/>
        </w:rPr>
        <w:t>2、食堂油烟治理措施经济可行性分析</w:t>
      </w:r>
    </w:p>
    <w:p>
      <w:pPr>
        <w:ind w:firstLine="480"/>
        <w:rPr>
          <w:rFonts w:hint="eastAsia"/>
          <w:color w:val="auto"/>
        </w:rPr>
      </w:pPr>
      <w:r>
        <w:rPr>
          <w:rFonts w:hint="eastAsia"/>
          <w:color w:val="auto"/>
        </w:rPr>
        <w:t>本项目食堂油烟净化器购置费用为1万元，年运行费用为0.</w:t>
      </w:r>
      <w:r>
        <w:rPr>
          <w:rFonts w:hint="eastAsia"/>
          <w:color w:val="auto"/>
          <w:lang w:val="en-US" w:eastAsia="zh-CN"/>
        </w:rPr>
        <w:t>2314</w:t>
      </w:r>
      <w:r>
        <w:rPr>
          <w:rFonts w:hint="eastAsia"/>
          <w:color w:val="auto"/>
        </w:rPr>
        <w:t>万元，运行费用见表7</w:t>
      </w:r>
      <w:r>
        <w:rPr>
          <w:color w:val="auto"/>
        </w:rPr>
        <w:t>.2-</w:t>
      </w:r>
      <w:r>
        <w:rPr>
          <w:rFonts w:hint="eastAsia"/>
          <w:color w:val="auto"/>
          <w:lang w:val="en-US" w:eastAsia="zh-CN"/>
        </w:rPr>
        <w:t>3</w:t>
      </w:r>
      <w:r>
        <w:rPr>
          <w:rFonts w:hint="eastAsia"/>
          <w:color w:val="auto"/>
        </w:rPr>
        <w:t>：</w:t>
      </w:r>
    </w:p>
    <w:p>
      <w:pPr>
        <w:pStyle w:val="166"/>
        <w:spacing w:before="120" w:beforeLines="0"/>
        <w:ind w:firstLine="480"/>
        <w:rPr>
          <w:b w:val="0"/>
          <w:bCs/>
          <w:color w:val="auto"/>
          <w:sz w:val="11"/>
          <w:szCs w:val="11"/>
        </w:rPr>
      </w:pPr>
      <w:r>
        <w:rPr>
          <w:rFonts w:hint="eastAsia"/>
          <w:color w:val="auto"/>
        </w:rPr>
        <w:t>表</w:t>
      </w:r>
      <w:r>
        <w:rPr>
          <w:color w:val="auto"/>
        </w:rPr>
        <w:t>7.2-</w:t>
      </w:r>
      <w:r>
        <w:rPr>
          <w:rFonts w:hint="eastAsia"/>
          <w:color w:val="auto"/>
          <w:lang w:val="en-US" w:eastAsia="zh-CN"/>
        </w:rPr>
        <w:t xml:space="preserve">3 </w:t>
      </w:r>
      <w:r>
        <w:rPr>
          <w:rFonts w:hint="eastAsia"/>
          <w:color w:val="auto"/>
        </w:rPr>
        <w:t>食堂油烟污染防治年运行费用</w:t>
      </w:r>
    </w:p>
    <w:tbl>
      <w:tblPr>
        <w:tblStyle w:val="51"/>
        <w:tblW w:w="0" w:type="auto"/>
        <w:tblInd w:w="0" w:type="dxa"/>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23"/>
        <w:gridCol w:w="2323"/>
        <w:gridCol w:w="3912"/>
        <w:gridCol w:w="1729"/>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823" w:type="dxa"/>
            <w:noWrap w:val="0"/>
            <w:vAlign w:val="center"/>
          </w:tcPr>
          <w:p>
            <w:pPr>
              <w:pStyle w:val="332"/>
              <w:kinsoku w:val="0"/>
              <w:overflowPunct w:val="0"/>
              <w:jc w:val="center"/>
              <w:rPr>
                <w:b/>
                <w:color w:val="auto"/>
                <w:sz w:val="20"/>
                <w:szCs w:val="20"/>
              </w:rPr>
            </w:pPr>
            <w:r>
              <w:rPr>
                <w:rFonts w:hint="eastAsia"/>
                <w:b/>
                <w:color w:val="auto"/>
                <w:sz w:val="20"/>
                <w:szCs w:val="20"/>
              </w:rPr>
              <w:t>序号</w:t>
            </w:r>
          </w:p>
        </w:tc>
        <w:tc>
          <w:tcPr>
            <w:tcW w:w="2323" w:type="dxa"/>
            <w:noWrap w:val="0"/>
            <w:vAlign w:val="center"/>
          </w:tcPr>
          <w:p>
            <w:pPr>
              <w:pStyle w:val="332"/>
              <w:kinsoku w:val="0"/>
              <w:overflowPunct w:val="0"/>
              <w:jc w:val="center"/>
              <w:rPr>
                <w:b/>
                <w:color w:val="auto"/>
                <w:sz w:val="20"/>
                <w:szCs w:val="20"/>
              </w:rPr>
            </w:pPr>
            <w:r>
              <w:rPr>
                <w:rFonts w:hint="eastAsia"/>
                <w:b/>
                <w:color w:val="auto"/>
                <w:sz w:val="20"/>
                <w:szCs w:val="20"/>
              </w:rPr>
              <w:t>费用名称</w:t>
            </w:r>
          </w:p>
        </w:tc>
        <w:tc>
          <w:tcPr>
            <w:tcW w:w="3912" w:type="dxa"/>
            <w:noWrap w:val="0"/>
            <w:vAlign w:val="center"/>
          </w:tcPr>
          <w:p>
            <w:pPr>
              <w:pStyle w:val="332"/>
              <w:kinsoku w:val="0"/>
              <w:overflowPunct w:val="0"/>
              <w:jc w:val="center"/>
              <w:rPr>
                <w:b/>
                <w:color w:val="auto"/>
                <w:sz w:val="20"/>
                <w:szCs w:val="20"/>
              </w:rPr>
            </w:pPr>
            <w:r>
              <w:rPr>
                <w:rFonts w:hint="eastAsia"/>
                <w:b/>
                <w:color w:val="auto"/>
                <w:sz w:val="20"/>
                <w:szCs w:val="20"/>
              </w:rPr>
              <w:t>说明</w:t>
            </w:r>
          </w:p>
        </w:tc>
        <w:tc>
          <w:tcPr>
            <w:tcW w:w="1729" w:type="dxa"/>
            <w:noWrap w:val="0"/>
            <w:vAlign w:val="center"/>
          </w:tcPr>
          <w:p>
            <w:pPr>
              <w:pStyle w:val="332"/>
              <w:kinsoku w:val="0"/>
              <w:overflowPunct w:val="0"/>
              <w:jc w:val="center"/>
              <w:rPr>
                <w:b/>
                <w:color w:val="auto"/>
                <w:sz w:val="20"/>
                <w:szCs w:val="20"/>
              </w:rPr>
            </w:pPr>
            <w:r>
              <w:rPr>
                <w:rFonts w:hint="eastAsia"/>
                <w:b/>
                <w:color w:val="auto"/>
                <w:sz w:val="20"/>
                <w:szCs w:val="20"/>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823" w:type="dxa"/>
            <w:noWrap w:val="0"/>
            <w:vAlign w:val="center"/>
          </w:tcPr>
          <w:p>
            <w:pPr>
              <w:pStyle w:val="332"/>
              <w:kinsoku w:val="0"/>
              <w:overflowPunct w:val="0"/>
              <w:jc w:val="center"/>
              <w:rPr>
                <w:color w:val="auto"/>
                <w:sz w:val="20"/>
                <w:szCs w:val="20"/>
              </w:rPr>
            </w:pPr>
            <w:r>
              <w:rPr>
                <w:color w:val="auto"/>
                <w:sz w:val="20"/>
                <w:szCs w:val="20"/>
              </w:rPr>
              <w:t>1</w:t>
            </w:r>
          </w:p>
        </w:tc>
        <w:tc>
          <w:tcPr>
            <w:tcW w:w="2323" w:type="dxa"/>
            <w:noWrap w:val="0"/>
            <w:vAlign w:val="center"/>
          </w:tcPr>
          <w:p>
            <w:pPr>
              <w:pStyle w:val="332"/>
              <w:kinsoku w:val="0"/>
              <w:overflowPunct w:val="0"/>
              <w:jc w:val="center"/>
              <w:rPr>
                <w:color w:val="auto"/>
                <w:sz w:val="20"/>
                <w:szCs w:val="20"/>
              </w:rPr>
            </w:pPr>
            <w:r>
              <w:rPr>
                <w:rFonts w:hint="eastAsia"/>
                <w:color w:val="auto"/>
                <w:sz w:val="20"/>
                <w:szCs w:val="20"/>
              </w:rPr>
              <w:t>电费</w:t>
            </w:r>
          </w:p>
        </w:tc>
        <w:tc>
          <w:tcPr>
            <w:tcW w:w="3912" w:type="dxa"/>
            <w:noWrap w:val="0"/>
            <w:vAlign w:val="center"/>
          </w:tcPr>
          <w:p>
            <w:pPr>
              <w:pStyle w:val="332"/>
              <w:kinsoku w:val="0"/>
              <w:overflowPunct w:val="0"/>
              <w:jc w:val="center"/>
              <w:rPr>
                <w:color w:val="auto"/>
                <w:sz w:val="20"/>
                <w:szCs w:val="20"/>
              </w:rPr>
            </w:pPr>
            <w:r>
              <w:rPr>
                <w:rFonts w:hint="eastAsia"/>
                <w:color w:val="auto"/>
                <w:sz w:val="20"/>
                <w:szCs w:val="20"/>
                <w:lang w:val="en-US" w:eastAsia="zh-CN"/>
              </w:rPr>
              <w:t>1</w:t>
            </w:r>
            <w:r>
              <w:rPr>
                <w:rFonts w:hint="eastAsia"/>
                <w:color w:val="auto"/>
                <w:sz w:val="20"/>
                <w:szCs w:val="20"/>
              </w:rPr>
              <w:t>度</w:t>
            </w:r>
            <w:r>
              <w:rPr>
                <w:color w:val="auto"/>
                <w:sz w:val="20"/>
                <w:szCs w:val="20"/>
              </w:rPr>
              <w:t>/h</w:t>
            </w:r>
            <w:r>
              <w:rPr>
                <w:rFonts w:hint="eastAsia"/>
                <w:color w:val="auto"/>
                <w:sz w:val="20"/>
                <w:szCs w:val="20"/>
              </w:rPr>
              <w:t>，2190度</w:t>
            </w:r>
            <w:r>
              <w:rPr>
                <w:color w:val="auto"/>
                <w:sz w:val="20"/>
                <w:szCs w:val="20"/>
              </w:rPr>
              <w:t>/a</w:t>
            </w:r>
            <w:r>
              <w:rPr>
                <w:rFonts w:hint="eastAsia"/>
                <w:color w:val="auto"/>
                <w:sz w:val="20"/>
                <w:szCs w:val="20"/>
              </w:rPr>
              <w:t>，电的单价</w:t>
            </w:r>
            <w:r>
              <w:rPr>
                <w:color w:val="auto"/>
                <w:sz w:val="20"/>
                <w:szCs w:val="20"/>
              </w:rPr>
              <w:t>0.6</w:t>
            </w:r>
            <w:r>
              <w:rPr>
                <w:rFonts w:hint="eastAsia"/>
                <w:color w:val="auto"/>
                <w:sz w:val="20"/>
                <w:szCs w:val="20"/>
              </w:rPr>
              <w:t>元</w:t>
            </w:r>
            <w:r>
              <w:rPr>
                <w:color w:val="auto"/>
                <w:sz w:val="20"/>
                <w:szCs w:val="20"/>
              </w:rPr>
              <w:t>/</w:t>
            </w:r>
            <w:r>
              <w:rPr>
                <w:rFonts w:hint="eastAsia"/>
                <w:color w:val="auto"/>
                <w:sz w:val="20"/>
                <w:szCs w:val="20"/>
              </w:rPr>
              <w:t>度</w:t>
            </w:r>
          </w:p>
        </w:tc>
        <w:tc>
          <w:tcPr>
            <w:tcW w:w="1729" w:type="dxa"/>
            <w:noWrap w:val="0"/>
            <w:vAlign w:val="center"/>
          </w:tcPr>
          <w:p>
            <w:pPr>
              <w:pStyle w:val="332"/>
              <w:kinsoku w:val="0"/>
              <w:overflowPunct w:val="0"/>
              <w:jc w:val="center"/>
              <w:rPr>
                <w:rFonts w:hint="default" w:eastAsia="宋体"/>
                <w:color w:val="auto"/>
                <w:sz w:val="20"/>
                <w:szCs w:val="20"/>
                <w:lang w:val="en-US" w:eastAsia="zh-CN"/>
              </w:rPr>
            </w:pPr>
            <w:r>
              <w:rPr>
                <w:color w:val="auto"/>
                <w:sz w:val="20"/>
                <w:szCs w:val="20"/>
              </w:rPr>
              <w:t>0.</w:t>
            </w:r>
            <w:r>
              <w:rPr>
                <w:rFonts w:hint="eastAsia"/>
                <w:color w:val="auto"/>
                <w:sz w:val="20"/>
                <w:szCs w:val="20"/>
                <w:lang w:val="en-US" w:eastAsia="zh-CN"/>
              </w:rPr>
              <w:t>1314</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823" w:type="dxa"/>
            <w:noWrap w:val="0"/>
            <w:vAlign w:val="center"/>
          </w:tcPr>
          <w:p>
            <w:pPr>
              <w:pStyle w:val="332"/>
              <w:kinsoku w:val="0"/>
              <w:overflowPunct w:val="0"/>
              <w:jc w:val="center"/>
              <w:rPr>
                <w:color w:val="auto"/>
                <w:sz w:val="20"/>
                <w:szCs w:val="20"/>
              </w:rPr>
            </w:pPr>
            <w:r>
              <w:rPr>
                <w:color w:val="auto"/>
                <w:sz w:val="20"/>
                <w:szCs w:val="20"/>
              </w:rPr>
              <w:t>2</w:t>
            </w:r>
          </w:p>
        </w:tc>
        <w:tc>
          <w:tcPr>
            <w:tcW w:w="2323" w:type="dxa"/>
            <w:noWrap w:val="0"/>
            <w:vAlign w:val="center"/>
          </w:tcPr>
          <w:p>
            <w:pPr>
              <w:pStyle w:val="332"/>
              <w:kinsoku w:val="0"/>
              <w:overflowPunct w:val="0"/>
              <w:jc w:val="center"/>
              <w:rPr>
                <w:color w:val="auto"/>
                <w:sz w:val="20"/>
                <w:szCs w:val="20"/>
              </w:rPr>
            </w:pPr>
            <w:r>
              <w:rPr>
                <w:rFonts w:hint="eastAsia"/>
                <w:color w:val="auto"/>
                <w:sz w:val="20"/>
                <w:szCs w:val="20"/>
              </w:rPr>
              <w:t>设备折旧及维修费用</w:t>
            </w:r>
          </w:p>
        </w:tc>
        <w:tc>
          <w:tcPr>
            <w:tcW w:w="3912" w:type="dxa"/>
            <w:noWrap w:val="0"/>
            <w:vAlign w:val="center"/>
          </w:tcPr>
          <w:p>
            <w:pPr>
              <w:pStyle w:val="332"/>
              <w:kinsoku w:val="0"/>
              <w:overflowPunct w:val="0"/>
              <w:jc w:val="center"/>
              <w:rPr>
                <w:color w:val="auto"/>
                <w:sz w:val="20"/>
                <w:szCs w:val="20"/>
              </w:rPr>
            </w:pPr>
            <w:r>
              <w:rPr>
                <w:rFonts w:hint="eastAsia"/>
                <w:color w:val="auto"/>
                <w:sz w:val="20"/>
                <w:szCs w:val="20"/>
              </w:rPr>
              <w:t>按</w:t>
            </w:r>
            <w:r>
              <w:rPr>
                <w:color w:val="auto"/>
                <w:sz w:val="20"/>
                <w:szCs w:val="20"/>
              </w:rPr>
              <w:t>10</w:t>
            </w:r>
            <w:r>
              <w:rPr>
                <w:rFonts w:hint="eastAsia"/>
                <w:color w:val="auto"/>
                <w:sz w:val="20"/>
                <w:szCs w:val="20"/>
              </w:rPr>
              <w:t>年寿命计</w:t>
            </w:r>
          </w:p>
        </w:tc>
        <w:tc>
          <w:tcPr>
            <w:tcW w:w="1729" w:type="dxa"/>
            <w:noWrap w:val="0"/>
            <w:vAlign w:val="center"/>
          </w:tcPr>
          <w:p>
            <w:pPr>
              <w:pStyle w:val="332"/>
              <w:kinsoku w:val="0"/>
              <w:overflowPunct w:val="0"/>
              <w:jc w:val="center"/>
              <w:rPr>
                <w:color w:val="auto"/>
                <w:sz w:val="20"/>
                <w:szCs w:val="20"/>
              </w:rPr>
            </w:pPr>
            <w:r>
              <w:rPr>
                <w:color w:val="auto"/>
                <w:sz w:val="20"/>
                <w:szCs w:val="20"/>
              </w:rPr>
              <w:t>0.1</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trPr>
        <w:tc>
          <w:tcPr>
            <w:tcW w:w="3146" w:type="dxa"/>
            <w:gridSpan w:val="2"/>
            <w:noWrap w:val="0"/>
            <w:vAlign w:val="center"/>
          </w:tcPr>
          <w:p>
            <w:pPr>
              <w:pStyle w:val="332"/>
              <w:kinsoku w:val="0"/>
              <w:overflowPunct w:val="0"/>
              <w:jc w:val="center"/>
              <w:rPr>
                <w:color w:val="auto"/>
                <w:sz w:val="20"/>
                <w:szCs w:val="20"/>
              </w:rPr>
            </w:pPr>
            <w:r>
              <w:rPr>
                <w:rFonts w:hint="eastAsia"/>
                <w:color w:val="auto"/>
                <w:sz w:val="20"/>
                <w:szCs w:val="20"/>
              </w:rPr>
              <w:t>合计</w:t>
            </w:r>
          </w:p>
        </w:tc>
        <w:tc>
          <w:tcPr>
            <w:tcW w:w="3912" w:type="dxa"/>
            <w:noWrap w:val="0"/>
            <w:vAlign w:val="center"/>
          </w:tcPr>
          <w:p>
            <w:pPr>
              <w:spacing w:line="240" w:lineRule="auto"/>
              <w:ind w:firstLine="0" w:firstLineChars="0"/>
              <w:jc w:val="center"/>
              <w:rPr>
                <w:rFonts w:hint="eastAsia"/>
                <w:color w:val="auto"/>
                <w:kern w:val="0"/>
                <w:sz w:val="20"/>
                <w:szCs w:val="20"/>
              </w:rPr>
            </w:pPr>
            <w:r>
              <w:rPr>
                <w:rFonts w:hint="eastAsia"/>
                <w:color w:val="auto"/>
                <w:kern w:val="0"/>
                <w:sz w:val="20"/>
                <w:szCs w:val="20"/>
              </w:rPr>
              <w:t>/</w:t>
            </w:r>
          </w:p>
        </w:tc>
        <w:tc>
          <w:tcPr>
            <w:tcW w:w="1729" w:type="dxa"/>
            <w:noWrap w:val="0"/>
            <w:vAlign w:val="center"/>
          </w:tcPr>
          <w:p>
            <w:pPr>
              <w:pStyle w:val="332"/>
              <w:kinsoku w:val="0"/>
              <w:overflowPunct w:val="0"/>
              <w:jc w:val="center"/>
              <w:rPr>
                <w:rFonts w:hint="default" w:eastAsia="宋体"/>
                <w:color w:val="auto"/>
                <w:sz w:val="20"/>
                <w:szCs w:val="20"/>
                <w:lang w:val="en-US" w:eastAsia="zh-CN"/>
              </w:rPr>
            </w:pPr>
            <w:r>
              <w:rPr>
                <w:color w:val="auto"/>
                <w:sz w:val="20"/>
                <w:szCs w:val="20"/>
              </w:rPr>
              <w:t>0.</w:t>
            </w:r>
            <w:r>
              <w:rPr>
                <w:rFonts w:hint="eastAsia"/>
                <w:color w:val="auto"/>
                <w:sz w:val="20"/>
                <w:szCs w:val="20"/>
                <w:lang w:val="en-US" w:eastAsia="zh-CN"/>
              </w:rPr>
              <w:t>2314</w:t>
            </w:r>
          </w:p>
        </w:tc>
      </w:tr>
    </w:tbl>
    <w:p>
      <w:pPr>
        <w:spacing w:before="120" w:beforeLines="50"/>
        <w:ind w:firstLine="480"/>
        <w:rPr>
          <w:color w:val="auto"/>
        </w:rPr>
      </w:pPr>
      <w:r>
        <w:rPr>
          <w:rFonts w:hint="eastAsia"/>
          <w:color w:val="auto"/>
        </w:rPr>
        <w:t xml:space="preserve">综上所述，项目废气污染防治措施技术有效可行，投资费用较低，运行费用较低，技术经济可行。 </w:t>
      </w:r>
    </w:p>
    <w:p>
      <w:pPr>
        <w:pStyle w:val="9"/>
        <w:spacing w:before="120" w:beforeLines="50"/>
        <w:rPr>
          <w:rFonts w:hint="eastAsia"/>
          <w:color w:val="auto"/>
        </w:rPr>
      </w:pPr>
      <w:r>
        <w:rPr>
          <w:rFonts w:hint="eastAsia"/>
          <w:color w:val="auto"/>
        </w:rPr>
        <w:t>沼气燃烧废气</w:t>
      </w:r>
    </w:p>
    <w:p>
      <w:pPr>
        <w:ind w:firstLine="482"/>
        <w:rPr>
          <w:rFonts w:hint="eastAsia"/>
          <w:b/>
          <w:color w:val="auto"/>
        </w:rPr>
      </w:pPr>
      <w:r>
        <w:rPr>
          <w:rFonts w:hint="eastAsia"/>
          <w:b/>
          <w:color w:val="auto"/>
        </w:rPr>
        <w:t>1、沼气干法脱硫可行性分析</w:t>
      </w:r>
    </w:p>
    <w:p>
      <w:pPr>
        <w:ind w:firstLine="480"/>
        <w:rPr>
          <w:color w:val="auto"/>
        </w:rPr>
      </w:pPr>
      <w:r>
        <w:rPr>
          <w:rFonts w:hint="eastAsia"/>
          <w:color w:val="auto"/>
        </w:rPr>
        <w:t>本项目沼气脱硫采用干法脱硫，干法脱硫是在圆柱状脱硫塔内装填一定高度的脱硫剂，沼气自下而上通过脱硫剂，H</w:t>
      </w:r>
      <w:r>
        <w:rPr>
          <w:rFonts w:hint="eastAsia"/>
          <w:color w:val="auto"/>
          <w:vertAlign w:val="subscript"/>
        </w:rPr>
        <w:t>2</w:t>
      </w:r>
      <w:r>
        <w:rPr>
          <w:rFonts w:hint="eastAsia"/>
          <w:color w:val="auto"/>
        </w:rPr>
        <w:t>S被去除，实现脱硫过程。一般干法脱硫常用的脱硫剂为氧化铁，其粒状为圆柱状。氧化铁干法脱硫的化学反应分为两步：</w:t>
      </w:r>
    </w:p>
    <w:p>
      <w:pPr>
        <w:ind w:firstLine="480"/>
        <w:rPr>
          <w:color w:val="auto"/>
        </w:rPr>
      </w:pPr>
      <w:r>
        <w:rPr>
          <w:rFonts w:hint="eastAsia"/>
          <w:color w:val="auto"/>
        </w:rPr>
        <w:t>第一步：</w:t>
      </w:r>
      <w:r>
        <w:rPr>
          <w:color w:val="auto"/>
        </w:rPr>
        <w:t>Fe</w:t>
      </w:r>
      <w:r>
        <w:rPr>
          <w:color w:val="auto"/>
          <w:vertAlign w:val="subscript"/>
        </w:rPr>
        <w:t>2</w:t>
      </w:r>
      <w:r>
        <w:rPr>
          <w:color w:val="auto"/>
        </w:rPr>
        <w:t>O</w:t>
      </w:r>
      <w:r>
        <w:rPr>
          <w:color w:val="auto"/>
          <w:vertAlign w:val="subscript"/>
        </w:rPr>
        <w:t>3</w:t>
      </w:r>
      <w:r>
        <w:rPr>
          <w:color w:val="auto"/>
        </w:rPr>
        <w:t>·H</w:t>
      </w:r>
      <w:r>
        <w:rPr>
          <w:color w:val="auto"/>
          <w:vertAlign w:val="subscript"/>
        </w:rPr>
        <w:t>2</w:t>
      </w:r>
      <w:r>
        <w:rPr>
          <w:color w:val="auto"/>
        </w:rPr>
        <w:t>O+3H</w:t>
      </w:r>
      <w:r>
        <w:rPr>
          <w:color w:val="auto"/>
          <w:vertAlign w:val="subscript"/>
        </w:rPr>
        <w:t>2</w:t>
      </w:r>
      <w:r>
        <w:rPr>
          <w:color w:val="auto"/>
        </w:rPr>
        <w:t>S =Fe</w:t>
      </w:r>
      <w:r>
        <w:rPr>
          <w:color w:val="auto"/>
          <w:vertAlign w:val="subscript"/>
        </w:rPr>
        <w:t>2</w:t>
      </w:r>
      <w:r>
        <w:rPr>
          <w:color w:val="auto"/>
        </w:rPr>
        <w:t>S</w:t>
      </w:r>
      <w:r>
        <w:rPr>
          <w:color w:val="auto"/>
          <w:vertAlign w:val="subscript"/>
        </w:rPr>
        <w:t>3</w:t>
      </w:r>
      <w:r>
        <w:rPr>
          <w:color w:val="auto"/>
        </w:rPr>
        <w:t>+4H</w:t>
      </w:r>
      <w:r>
        <w:rPr>
          <w:color w:val="auto"/>
          <w:vertAlign w:val="subscript"/>
        </w:rPr>
        <w:t>2</w:t>
      </w:r>
      <w:r>
        <w:rPr>
          <w:color w:val="auto"/>
        </w:rPr>
        <w:t>O</w:t>
      </w:r>
      <w:r>
        <w:rPr>
          <w:rFonts w:hint="eastAsia"/>
          <w:color w:val="auto"/>
        </w:rPr>
        <w:t>（脱硫）</w:t>
      </w:r>
    </w:p>
    <w:p>
      <w:pPr>
        <w:ind w:firstLine="480"/>
        <w:rPr>
          <w:color w:val="auto"/>
        </w:rPr>
      </w:pPr>
      <w:r>
        <w:rPr>
          <w:rFonts w:hint="eastAsia"/>
          <w:color w:val="auto"/>
        </w:rPr>
        <w:t>第二步：</w:t>
      </w:r>
      <w:r>
        <w:rPr>
          <w:color w:val="auto"/>
        </w:rPr>
        <w:t>Fe</w:t>
      </w:r>
      <w:r>
        <w:rPr>
          <w:color w:val="auto"/>
          <w:vertAlign w:val="subscript"/>
        </w:rPr>
        <w:t>2</w:t>
      </w:r>
      <w:r>
        <w:rPr>
          <w:color w:val="auto"/>
        </w:rPr>
        <w:t>S</w:t>
      </w:r>
      <w:r>
        <w:rPr>
          <w:color w:val="auto"/>
          <w:vertAlign w:val="subscript"/>
        </w:rPr>
        <w:t>3</w:t>
      </w:r>
      <w:r>
        <w:rPr>
          <w:color w:val="auto"/>
        </w:rPr>
        <w:t>+3/2O</w:t>
      </w:r>
      <w:r>
        <w:rPr>
          <w:color w:val="auto"/>
          <w:vertAlign w:val="subscript"/>
        </w:rPr>
        <w:t>2</w:t>
      </w:r>
      <w:r>
        <w:rPr>
          <w:color w:val="auto"/>
        </w:rPr>
        <w:t>+3H</w:t>
      </w:r>
      <w:r>
        <w:rPr>
          <w:color w:val="auto"/>
          <w:vertAlign w:val="subscript"/>
        </w:rPr>
        <w:t>2</w:t>
      </w:r>
      <w:r>
        <w:rPr>
          <w:color w:val="auto"/>
        </w:rPr>
        <w:t>O=Fe</w:t>
      </w:r>
      <w:r>
        <w:rPr>
          <w:color w:val="auto"/>
          <w:vertAlign w:val="subscript"/>
        </w:rPr>
        <w:t>2</w:t>
      </w:r>
      <w:r>
        <w:rPr>
          <w:color w:val="auto"/>
        </w:rPr>
        <w:t>O</w:t>
      </w:r>
      <w:r>
        <w:rPr>
          <w:color w:val="auto"/>
          <w:vertAlign w:val="subscript"/>
        </w:rPr>
        <w:t>3</w:t>
      </w:r>
      <w:r>
        <w:rPr>
          <w:color w:val="auto"/>
        </w:rPr>
        <w:t>·H</w:t>
      </w:r>
      <w:r>
        <w:rPr>
          <w:color w:val="auto"/>
          <w:vertAlign w:val="subscript"/>
        </w:rPr>
        <w:t>2</w:t>
      </w:r>
      <w:r>
        <w:rPr>
          <w:color w:val="auto"/>
        </w:rPr>
        <w:t>O+2H</w:t>
      </w:r>
      <w:r>
        <w:rPr>
          <w:color w:val="auto"/>
          <w:vertAlign w:val="subscript"/>
        </w:rPr>
        <w:t>2</w:t>
      </w:r>
      <w:r>
        <w:rPr>
          <w:color w:val="auto"/>
        </w:rPr>
        <w:t>O+3S</w:t>
      </w:r>
      <w:r>
        <w:rPr>
          <w:rFonts w:hint="eastAsia"/>
          <w:color w:val="auto"/>
        </w:rPr>
        <w:t>（再生）</w:t>
      </w:r>
    </w:p>
    <w:p>
      <w:pPr>
        <w:ind w:firstLine="480"/>
        <w:rPr>
          <w:rFonts w:hint="eastAsia"/>
          <w:color w:val="auto"/>
        </w:rPr>
      </w:pPr>
      <w:r>
        <w:rPr>
          <w:rFonts w:hint="eastAsia"/>
          <w:color w:val="auto"/>
        </w:rPr>
        <w:t>含有硫化氢的沼气首先与底部入口处荷载相对高的脱硫剂反应，反应器上部是负载低的脱硫剂层，通过设计良好的沼气空速和线速，干式脱硫能到达良好的精脱硫效果。</w:t>
      </w:r>
    </w:p>
    <w:p>
      <w:pPr>
        <w:ind w:firstLine="480"/>
        <w:rPr>
          <w:rFonts w:hint="eastAsia"/>
          <w:color w:val="auto"/>
        </w:rPr>
      </w:pPr>
      <w:r>
        <w:rPr>
          <w:rFonts w:hint="eastAsia"/>
          <w:color w:val="auto"/>
        </w:rPr>
        <w:t>在沼气进入干式脱硫塔之前，应设置有冷凝水罐或沼气颗粒过滤器。该装置可以消除沼气中夹杂的颗粒杂质，并使得沼气在进入脱硫前含有一定湿度。</w:t>
      </w:r>
    </w:p>
    <w:p>
      <w:pPr>
        <w:ind w:firstLine="480"/>
        <w:rPr>
          <w:rFonts w:hint="eastAsia"/>
          <w:color w:val="auto"/>
        </w:rPr>
      </w:pPr>
      <w:r>
        <w:rPr>
          <w:rFonts w:hint="eastAsia"/>
          <w:color w:val="auto"/>
        </w:rPr>
        <w:t>当观察到脱硫剂变色，或系统压力损失过大时，应交替使用另一个脱硫塔。当前的脱硫塔在沼气放空后，进行自然通风，对脱硫剂进行再生。当再生效果不佳时，应从塔体底部将废弃的脱硫剂排除，在底部排放废弃填料的同时，相同体积的新鲜脱硫填料加入反应器中。</w:t>
      </w:r>
    </w:p>
    <w:p>
      <w:pPr>
        <w:ind w:firstLine="482"/>
        <w:rPr>
          <w:rFonts w:hint="eastAsia"/>
          <w:b/>
          <w:color w:val="auto"/>
        </w:rPr>
      </w:pPr>
      <w:r>
        <w:rPr>
          <w:rFonts w:hint="eastAsia"/>
          <w:b/>
          <w:color w:val="auto"/>
        </w:rPr>
        <w:t>2、脱硫效率</w:t>
      </w:r>
    </w:p>
    <w:p>
      <w:pPr>
        <w:ind w:firstLine="480"/>
        <w:rPr>
          <w:rFonts w:hint="eastAsia"/>
          <w:color w:val="auto"/>
        </w:rPr>
      </w:pPr>
      <w:r>
        <w:rPr>
          <w:rFonts w:hint="eastAsia"/>
          <w:color w:val="auto"/>
        </w:rPr>
        <w:t>有机物发酵时，由于微生物对蛋白质的分解会产生一定量的H</w:t>
      </w:r>
      <w:r>
        <w:rPr>
          <w:rFonts w:hint="eastAsia"/>
          <w:color w:val="auto"/>
          <w:vertAlign w:val="subscript"/>
        </w:rPr>
        <w:t>2</w:t>
      </w:r>
      <w:r>
        <w:rPr>
          <w:rFonts w:hint="eastAsia"/>
          <w:color w:val="auto"/>
        </w:rPr>
        <w:t>S气体进入沼气，其浓度范围一般在1~12g/m</w:t>
      </w:r>
      <w:r>
        <w:rPr>
          <w:rFonts w:hint="eastAsia"/>
          <w:color w:val="auto"/>
          <w:vertAlign w:val="superscript"/>
        </w:rPr>
        <w:t>3</w:t>
      </w:r>
      <w:r>
        <w:rPr>
          <w:rFonts w:hint="eastAsia"/>
          <w:color w:val="auto"/>
        </w:rPr>
        <w:t>，本项目采用干法脱硫工艺，类比国内同类工程可知，沼气干法脱硫工艺其脱硫效率达到99%以上，工艺结构简单、技术成熟可靠，造价低，经脱硫处理后，沼气中H</w:t>
      </w:r>
      <w:r>
        <w:rPr>
          <w:rFonts w:hint="eastAsia"/>
          <w:color w:val="auto"/>
          <w:vertAlign w:val="subscript"/>
        </w:rPr>
        <w:t>2</w:t>
      </w:r>
      <w:r>
        <w:rPr>
          <w:rFonts w:hint="eastAsia"/>
          <w:color w:val="auto"/>
        </w:rPr>
        <w:t>S浓度小于20mg/m</w:t>
      </w:r>
      <w:r>
        <w:rPr>
          <w:rFonts w:hint="eastAsia"/>
          <w:color w:val="auto"/>
          <w:vertAlign w:val="superscript"/>
        </w:rPr>
        <w:t>3</w:t>
      </w:r>
      <w:r>
        <w:rPr>
          <w:rFonts w:hint="eastAsia"/>
          <w:color w:val="auto"/>
        </w:rPr>
        <w:t>，满足《规模化畜禽养殖场沼气工程设计规范》（NY/T1222-2006）的规定。</w:t>
      </w:r>
    </w:p>
    <w:p>
      <w:pPr>
        <w:ind w:firstLine="482"/>
        <w:rPr>
          <w:rFonts w:hint="eastAsia"/>
          <w:b/>
          <w:color w:val="auto"/>
        </w:rPr>
      </w:pPr>
      <w:r>
        <w:rPr>
          <w:rFonts w:hint="eastAsia"/>
          <w:b/>
          <w:color w:val="auto"/>
        </w:rPr>
        <w:t>3、沼气利用</w:t>
      </w:r>
    </w:p>
    <w:p>
      <w:pPr>
        <w:ind w:firstLine="480"/>
        <w:rPr>
          <w:color w:val="auto"/>
        </w:rPr>
      </w:pPr>
      <w:r>
        <w:rPr>
          <w:rFonts w:hint="eastAsia"/>
          <w:color w:val="auto"/>
        </w:rPr>
        <w:t>建设单位针对沼气资源的综合利用，考察了部分同类企业的沼气利用模式，主要的沼气利用去向是生活用能。根据建设单位提供方案，本项目沼气主要用于沼气食堂燃料，沼气经过脱硫装置脱硫，其目的是净化沼气，之后进入储气柜，净化后的沼气用于食堂燃气。本项目黑膜沼气池沼气产生量7792.4m</w:t>
      </w:r>
      <w:r>
        <w:rPr>
          <w:rFonts w:hint="eastAsia"/>
          <w:color w:val="auto"/>
          <w:vertAlign w:val="superscript"/>
        </w:rPr>
        <w:t>3</w:t>
      </w:r>
      <w:r>
        <w:rPr>
          <w:rFonts w:hint="eastAsia"/>
          <w:color w:val="auto"/>
        </w:rPr>
        <w:t>/a，除了食堂燃料利用1277.5m</w:t>
      </w:r>
      <w:r>
        <w:rPr>
          <w:rFonts w:hint="eastAsia"/>
          <w:color w:val="auto"/>
          <w:vertAlign w:val="superscript"/>
        </w:rPr>
        <w:t>3</w:t>
      </w:r>
      <w:r>
        <w:rPr>
          <w:rFonts w:hint="eastAsia"/>
          <w:color w:val="auto"/>
        </w:rPr>
        <w:t>/a，其余6514.9m</w:t>
      </w:r>
      <w:r>
        <w:rPr>
          <w:rFonts w:hint="eastAsia"/>
          <w:color w:val="auto"/>
          <w:vertAlign w:val="superscript"/>
        </w:rPr>
        <w:t>3</w:t>
      </w:r>
      <w:r>
        <w:rPr>
          <w:rFonts w:hint="eastAsia"/>
          <w:color w:val="auto"/>
        </w:rPr>
        <w:t>/a全部火炬燃烧。</w:t>
      </w:r>
    </w:p>
    <w:p>
      <w:pPr>
        <w:ind w:firstLine="480"/>
        <w:rPr>
          <w:color w:val="auto"/>
        </w:rPr>
      </w:pPr>
      <w:r>
        <w:rPr>
          <w:rFonts w:hint="eastAsia"/>
          <w:color w:val="auto"/>
        </w:rPr>
        <w:t>综合以上分析，本项目沼气脱硫工艺合理可行，沼气通过火炬燃烧的烟气能够达标排放。</w:t>
      </w:r>
    </w:p>
    <w:p>
      <w:pPr>
        <w:pStyle w:val="9"/>
        <w:spacing w:before="120" w:beforeLines="50"/>
        <w:rPr>
          <w:rFonts w:hint="eastAsia"/>
          <w:color w:val="auto"/>
        </w:rPr>
      </w:pPr>
      <w:r>
        <w:rPr>
          <w:rFonts w:hint="eastAsia"/>
          <w:color w:val="auto"/>
        </w:rPr>
        <w:t>柴油发电机废气</w:t>
      </w:r>
    </w:p>
    <w:p>
      <w:pPr>
        <w:ind w:firstLine="480"/>
        <w:rPr>
          <w:color w:val="auto"/>
        </w:rPr>
      </w:pPr>
      <w:r>
        <w:rPr>
          <w:color w:val="auto"/>
        </w:rPr>
        <w:t>本项目配备1台</w:t>
      </w:r>
      <w:r>
        <w:rPr>
          <w:rFonts w:hint="eastAsia"/>
          <w:color w:val="auto"/>
          <w:lang w:val="en-US" w:eastAsia="zh-CN"/>
        </w:rPr>
        <w:t>3</w:t>
      </w:r>
      <w:r>
        <w:rPr>
          <w:color w:val="auto"/>
        </w:rPr>
        <w:t>00kW的备用柴油发电机作为厂区的应急电源，当出现突发性停电，可自行发电供给养殖场使用。柴油发电机在使用过程中会产生废气，其主要成分为CO、HC、NOx。发电机房采用机械送、排风的形式，发电机房内保持着良好的通风性，柴油发电机产生的废气先由自身携带的废气净化装置处理，处理后经抽排风系统抽至排风口处排放。由于柴油发电机产生的废气量很小，采用上述措施后完全能够做到达标排放。</w:t>
      </w:r>
    </w:p>
    <w:p>
      <w:pPr>
        <w:ind w:firstLine="480"/>
        <w:rPr>
          <w:color w:val="auto"/>
        </w:rPr>
      </w:pPr>
      <w:r>
        <w:rPr>
          <w:color w:val="auto"/>
        </w:rPr>
        <w:t>备用发电机只有在停电时使用，备用发电机使用的频率很小，废气的排放间断性强，加上废气通过自由扩散后，浓度很小，对周围环境影响很小。同时，</w:t>
      </w:r>
      <w:r>
        <w:rPr>
          <w:b/>
          <w:color w:val="auto"/>
        </w:rPr>
        <w:t>环评建议项目使用0#号柴油，</w:t>
      </w:r>
      <w:r>
        <w:rPr>
          <w:color w:val="auto"/>
        </w:rPr>
        <w:t>0#柴油属于清洁能源，其燃烧产生的废气污染物较少，可进一步降低对外环境的不良影响。</w:t>
      </w:r>
    </w:p>
    <w:p>
      <w:pPr>
        <w:ind w:firstLine="482"/>
        <w:rPr>
          <w:b/>
          <w:color w:val="auto"/>
        </w:rPr>
      </w:pPr>
      <w:r>
        <w:rPr>
          <w:b/>
          <w:color w:val="auto"/>
        </w:rPr>
        <w:t>综上所述，项目运营期拟采取的废气治理措施技术成熟可靠，不会对周围大气环境造成</w:t>
      </w:r>
      <w:r>
        <w:rPr>
          <w:rFonts w:hint="eastAsia"/>
          <w:b/>
          <w:color w:val="auto"/>
        </w:rPr>
        <w:t>明显</w:t>
      </w:r>
      <w:r>
        <w:rPr>
          <w:b/>
          <w:color w:val="auto"/>
        </w:rPr>
        <w:t>不利影响。</w:t>
      </w:r>
    </w:p>
    <w:p>
      <w:pPr>
        <w:pStyle w:val="8"/>
        <w:tabs>
          <w:tab w:val="clear" w:pos="0"/>
        </w:tabs>
        <w:rPr>
          <w:rFonts w:eastAsia="黑体"/>
          <w:color w:val="auto"/>
          <w:sz w:val="28"/>
          <w:szCs w:val="28"/>
        </w:rPr>
      </w:pPr>
      <w:r>
        <w:rPr>
          <w:rFonts w:eastAsia="黑体"/>
          <w:color w:val="auto"/>
          <w:sz w:val="28"/>
          <w:szCs w:val="28"/>
        </w:rPr>
        <w:t>噪声防治措施论证分析</w:t>
      </w:r>
    </w:p>
    <w:p>
      <w:pPr>
        <w:ind w:firstLine="480"/>
        <w:rPr>
          <w:color w:val="auto"/>
        </w:rPr>
      </w:pPr>
      <w:r>
        <w:rPr>
          <w:color w:val="auto"/>
        </w:rPr>
        <w:t>项目</w:t>
      </w:r>
      <w:r>
        <w:rPr>
          <w:rFonts w:hint="eastAsia"/>
          <w:color w:val="auto"/>
        </w:rPr>
        <w:t>噪声源主要为</w:t>
      </w:r>
      <w:r>
        <w:rPr>
          <w:color w:val="auto"/>
        </w:rPr>
        <w:t xml:space="preserve">水泵、风机、发电机、沼气火炬、污水处理设施等设备运行噪声以及猪叫声和出入场区的车辆噪声等，噪声值在 </w:t>
      </w:r>
      <w:r>
        <w:rPr>
          <w:rFonts w:hint="eastAsia"/>
          <w:color w:val="auto"/>
          <w:lang w:eastAsia="zh-CN"/>
        </w:rPr>
        <w:t>65~90</w:t>
      </w:r>
      <w:r>
        <w:rPr>
          <w:color w:val="auto"/>
        </w:rPr>
        <w:t>dB（A）之间。本项目拟采取的噪声治理措施如下：</w:t>
      </w:r>
    </w:p>
    <w:p>
      <w:pPr>
        <w:numPr>
          <w:ilvl w:val="0"/>
          <w:numId w:val="9"/>
        </w:numPr>
        <w:ind w:left="0" w:leftChars="0" w:firstLine="480" w:firstLineChars="200"/>
        <w:rPr>
          <w:color w:val="auto"/>
        </w:rPr>
      </w:pPr>
      <w:r>
        <w:rPr>
          <w:color w:val="auto"/>
        </w:rPr>
        <w:t>应急柴油发电机，采用低噪声设备、对发电机组采取减振措施、发电机房采取隔声、吸声等降噪措施，出风口设置消声器。</w:t>
      </w:r>
    </w:p>
    <w:p>
      <w:pPr>
        <w:numPr>
          <w:ilvl w:val="0"/>
          <w:numId w:val="9"/>
        </w:numPr>
        <w:ind w:left="0" w:leftChars="0" w:firstLine="480" w:firstLineChars="200"/>
        <w:rPr>
          <w:color w:val="auto"/>
        </w:rPr>
      </w:pPr>
      <w:r>
        <w:rPr>
          <w:color w:val="auto"/>
        </w:rPr>
        <w:t>通风设备采用低噪声型，且其吊装设备采用减振吊装、落地式安装设备采用弹簧减振器或橡胶减振垫，进出口设软接头，风机进出口风管处安装消声设备，四周设置隔声墙。</w:t>
      </w:r>
    </w:p>
    <w:p>
      <w:pPr>
        <w:numPr>
          <w:ilvl w:val="0"/>
          <w:numId w:val="9"/>
        </w:numPr>
        <w:ind w:left="0" w:leftChars="0" w:firstLine="480" w:firstLineChars="200"/>
        <w:rPr>
          <w:color w:val="auto"/>
        </w:rPr>
      </w:pPr>
      <w:r>
        <w:rPr>
          <w:color w:val="auto"/>
        </w:rPr>
        <w:t>沼气火炬等尽量采购自带消声器的低噪声设备；由于沼气火炬配套风机设置在室内，其工作需要通风进气、排气，应在通风系统出口设置消声器。</w:t>
      </w:r>
    </w:p>
    <w:p>
      <w:pPr>
        <w:numPr>
          <w:ilvl w:val="0"/>
          <w:numId w:val="9"/>
        </w:numPr>
        <w:ind w:left="0" w:leftChars="0" w:firstLine="480" w:firstLineChars="200"/>
        <w:rPr>
          <w:color w:val="auto"/>
        </w:rPr>
      </w:pPr>
      <w:r>
        <w:rPr>
          <w:color w:val="auto"/>
        </w:rPr>
        <w:t>污水处理设施污泥泵、鼓风机均安装在室内或地下，基座安装减振垫，采用墙体隔声，噪声影响较小。在运营过程中应加强设备的维护和管理，保持设备处于良好运转状态，避免设备运转不正常产生的高噪声。</w:t>
      </w:r>
    </w:p>
    <w:p>
      <w:pPr>
        <w:numPr>
          <w:ilvl w:val="0"/>
          <w:numId w:val="9"/>
        </w:numPr>
        <w:ind w:left="0" w:leftChars="0" w:firstLine="480" w:firstLineChars="200"/>
        <w:rPr>
          <w:color w:val="auto"/>
        </w:rPr>
      </w:pPr>
      <w:r>
        <w:rPr>
          <w:rFonts w:hint="eastAsia"/>
          <w:color w:val="auto"/>
        </w:rPr>
        <w:t>猪叫声属于偶发噪声源，养殖场通过合理安排饲养时间、注意管理。尽可能满足猪只饮食需要，避免因饥饿或口渴发出叫声；同时应减少外界噪声对猪舍的干扰，避免因惊吓而产生不安，使猪只保持安定平和的气氛，以缓解猪只的不安情绪，将猪只运进和运出的时间安排在昼间，尽可能的减少猪叫声对周围居民的影响；</w:t>
      </w:r>
    </w:p>
    <w:p>
      <w:pPr>
        <w:numPr>
          <w:ilvl w:val="0"/>
          <w:numId w:val="9"/>
        </w:numPr>
        <w:ind w:left="0" w:leftChars="0" w:firstLine="480" w:firstLineChars="200"/>
        <w:rPr>
          <w:color w:val="auto"/>
        </w:rPr>
      </w:pPr>
      <w:r>
        <w:rPr>
          <w:color w:val="auto"/>
        </w:rPr>
        <w:t>场内对车辆采取限速、禁鸣的要求，可以有效降低车辆运输带来的噪声；另外，运输车辆沿途必须按规范操作，尽量少鸣笛，以免对周围村民生活造成影响或因鸣笛使猪只受到惊吓而鸣叫，从而产生扰民。</w:t>
      </w:r>
    </w:p>
    <w:p>
      <w:pPr>
        <w:ind w:firstLine="480"/>
        <w:rPr>
          <w:color w:val="auto"/>
        </w:rPr>
      </w:pPr>
      <w:r>
        <w:rPr>
          <w:color w:val="auto"/>
        </w:rPr>
        <w:t>厂区四周种植乔木及灌木，加强场区内绿化，充分利用建筑物、绿化带阻隔声波传播；在绿化隔声的同时，吸收一定的臭气。</w:t>
      </w:r>
    </w:p>
    <w:p>
      <w:pPr>
        <w:spacing w:before="120" w:beforeLines="50"/>
        <w:ind w:firstLine="480"/>
        <w:rPr>
          <w:color w:val="auto"/>
        </w:rPr>
      </w:pPr>
      <w:r>
        <w:rPr>
          <w:color w:val="auto"/>
        </w:rPr>
        <w:t>采取上述措施后</w:t>
      </w:r>
      <w:r>
        <w:rPr>
          <w:bCs/>
          <w:color w:val="auto"/>
        </w:rPr>
        <w:t>可有效降低噪声值10~15dB(A)，</w:t>
      </w:r>
      <w:r>
        <w:rPr>
          <w:rFonts w:hint="eastAsia"/>
          <w:color w:val="auto"/>
        </w:rPr>
        <w:t>采取的降噪措施经济技术可行，</w:t>
      </w:r>
      <w:r>
        <w:rPr>
          <w:bCs/>
          <w:color w:val="auto"/>
        </w:rPr>
        <w:t>再加上厂界距离衰减和隔声屏障，项目运营过程中产生的噪声能够满足《工业企业厂界环境噪声排放标准》（GB12348-2008）中的2类标准</w:t>
      </w:r>
      <w:r>
        <w:rPr>
          <w:color w:val="auto"/>
        </w:rPr>
        <w:t>要求。</w:t>
      </w:r>
    </w:p>
    <w:p>
      <w:pPr>
        <w:ind w:firstLine="482"/>
        <w:rPr>
          <w:b/>
          <w:color w:val="auto"/>
        </w:rPr>
      </w:pPr>
      <w:r>
        <w:rPr>
          <w:b/>
          <w:color w:val="auto"/>
        </w:rPr>
        <w:t>综上所述，本项目拟采取的噪声控制措施有效，经济技术可行。</w:t>
      </w:r>
    </w:p>
    <w:p>
      <w:pPr>
        <w:pStyle w:val="8"/>
        <w:tabs>
          <w:tab w:val="clear" w:pos="0"/>
        </w:tabs>
        <w:rPr>
          <w:rFonts w:eastAsia="黑体"/>
          <w:color w:val="auto"/>
          <w:sz w:val="28"/>
          <w:szCs w:val="28"/>
        </w:rPr>
      </w:pPr>
      <w:r>
        <w:rPr>
          <w:rFonts w:eastAsia="黑体"/>
          <w:color w:val="auto"/>
          <w:sz w:val="28"/>
          <w:szCs w:val="28"/>
        </w:rPr>
        <w:t>固废处置措施论证分析</w:t>
      </w:r>
    </w:p>
    <w:p>
      <w:pPr>
        <w:pStyle w:val="9"/>
        <w:spacing w:before="120" w:beforeLines="50"/>
        <w:rPr>
          <w:rFonts w:hint="eastAsia"/>
          <w:color w:val="auto"/>
        </w:rPr>
      </w:pPr>
      <w:r>
        <w:rPr>
          <w:rFonts w:hint="eastAsia"/>
          <w:color w:val="auto"/>
        </w:rPr>
        <w:t>固体废物污染防治措施可行性分析</w:t>
      </w:r>
    </w:p>
    <w:p>
      <w:pPr>
        <w:ind w:firstLine="480"/>
        <w:rPr>
          <w:rFonts w:hint="eastAsia"/>
          <w:color w:val="auto"/>
          <w:lang w:val="zh-CN"/>
        </w:rPr>
      </w:pPr>
      <w:r>
        <w:rPr>
          <w:rFonts w:hint="eastAsia"/>
          <w:color w:val="auto"/>
          <w:lang w:val="zh-CN"/>
        </w:rPr>
        <w:t>本项目</w:t>
      </w:r>
      <w:r>
        <w:rPr>
          <w:color w:val="auto"/>
          <w:lang w:val="zh-CN"/>
        </w:rPr>
        <w:t>生产运营过程中产生的固体废物主要为猪粪、污水处理设施污泥及沼渣、病死猪、畜禽医疗废物、生活垃圾、废脱硫剂和废包装材料等。</w:t>
      </w:r>
    </w:p>
    <w:p>
      <w:pPr>
        <w:ind w:firstLine="480"/>
        <w:rPr>
          <w:rFonts w:hint="eastAsia"/>
          <w:color w:val="auto"/>
          <w:lang w:val="zh-CN"/>
        </w:rPr>
      </w:pPr>
      <w:r>
        <w:rPr>
          <w:rFonts w:hint="eastAsia"/>
          <w:color w:val="auto"/>
          <w:lang w:val="zh-CN"/>
        </w:rPr>
        <w:t>（1）猪粪、沼渣防治措施技术可行性</w:t>
      </w:r>
    </w:p>
    <w:p>
      <w:pPr>
        <w:ind w:firstLine="480"/>
        <w:rPr>
          <w:rFonts w:hint="eastAsia"/>
          <w:color w:val="auto"/>
          <w:lang w:val="zh-CN"/>
        </w:rPr>
      </w:pPr>
      <w:r>
        <w:rPr>
          <w:rFonts w:hint="eastAsia"/>
          <w:color w:val="auto"/>
          <w:lang w:val="zh-CN"/>
        </w:rPr>
        <w:t>生产过程中产生</w:t>
      </w:r>
      <w:r>
        <w:rPr>
          <w:rFonts w:hint="eastAsia"/>
          <w:color w:val="auto"/>
          <w:lang w:val="en-US" w:eastAsia="zh-CN"/>
        </w:rPr>
        <w:t>的</w:t>
      </w:r>
      <w:r>
        <w:rPr>
          <w:rFonts w:hint="eastAsia"/>
          <w:color w:val="auto"/>
          <w:lang w:val="zh-CN"/>
        </w:rPr>
        <w:t>猪粪及沼渣在厂区猪粪堆场暂存，定期送至</w:t>
      </w:r>
      <w:r>
        <w:rPr>
          <w:rFonts w:ascii="宋体" w:hAnsi="宋体" w:eastAsia="宋体" w:cs="宋体"/>
          <w:color w:val="auto"/>
          <w:sz w:val="24"/>
          <w:szCs w:val="24"/>
        </w:rPr>
        <w:t>绵阳市沃土生物科技有限公司</w:t>
      </w:r>
      <w:r>
        <w:rPr>
          <w:rFonts w:hint="eastAsia"/>
          <w:color w:val="auto"/>
          <w:lang w:val="zh-CN"/>
        </w:rPr>
        <w:t>进行</w:t>
      </w:r>
      <w:r>
        <w:rPr>
          <w:rFonts w:hint="eastAsia"/>
          <w:color w:val="auto"/>
          <w:lang w:val="en-US" w:eastAsia="zh-CN"/>
        </w:rPr>
        <w:t>处理。该工艺处理猪粪采取的措施可行。</w:t>
      </w:r>
    </w:p>
    <w:p>
      <w:pPr>
        <w:ind w:firstLine="480"/>
        <w:rPr>
          <w:rFonts w:hint="eastAsia"/>
          <w:color w:val="auto"/>
          <w:lang w:val="zh-CN"/>
        </w:rPr>
      </w:pPr>
      <w:r>
        <w:rPr>
          <w:rFonts w:hint="eastAsia"/>
          <w:color w:val="auto"/>
          <w:lang w:val="zh-CN"/>
        </w:rPr>
        <w:t>（</w:t>
      </w:r>
      <w:r>
        <w:rPr>
          <w:color w:val="auto"/>
          <w:lang w:val="zh-CN"/>
        </w:rPr>
        <w:t>2</w:t>
      </w:r>
      <w:r>
        <w:rPr>
          <w:rFonts w:hint="eastAsia"/>
          <w:color w:val="auto"/>
          <w:lang w:val="zh-CN"/>
        </w:rPr>
        <w:t>）病死猪防治措施技术可行性</w:t>
      </w:r>
    </w:p>
    <w:p>
      <w:pPr>
        <w:ind w:firstLine="480"/>
        <w:rPr>
          <w:rFonts w:hint="eastAsia"/>
          <w:color w:val="auto"/>
          <w:lang w:val="zh-CN"/>
        </w:rPr>
      </w:pPr>
      <w:r>
        <w:rPr>
          <w:rFonts w:hint="eastAsia"/>
          <w:color w:val="auto"/>
          <w:lang w:val="zh-CN"/>
        </w:rPr>
        <w:t>本项目会不定期产生病死猪，产生的病死猪必须妥善处置，防止二次污染，并杜绝传播疾病。根据《畜禽养殖业污染防治技术规范》（HJ/T81-2001）的规定：病死畜禽尸体要及时处理，严禁随意丢弃，严禁出售或作为饲料再利用。本项目病死猪交由三台县盛德祥生物科技有限公司统一处置。</w:t>
      </w:r>
    </w:p>
    <w:p>
      <w:pPr>
        <w:ind w:firstLine="480"/>
        <w:rPr>
          <w:rFonts w:hint="eastAsia"/>
          <w:color w:val="auto"/>
          <w:lang w:val="zh-CN"/>
        </w:rPr>
      </w:pPr>
      <w:r>
        <w:rPr>
          <w:rFonts w:hint="eastAsia"/>
          <w:color w:val="auto"/>
          <w:lang w:val="zh-CN"/>
        </w:rPr>
        <w:t>绵阳市病死畜禽无害化处理中心由山东永盛祥生物科技有限公司下属子公司三台县盛德祥生物科技有限公司承建，山东永盛祥生物科技有限公司是专门从事病死畜</w:t>
      </w:r>
    </w:p>
    <w:p>
      <w:pPr>
        <w:ind w:left="0" w:leftChars="0" w:firstLine="0" w:firstLineChars="0"/>
        <w:rPr>
          <w:rFonts w:hint="eastAsia"/>
          <w:color w:val="auto"/>
          <w:lang w:val="zh-CN"/>
        </w:rPr>
      </w:pPr>
      <w:r>
        <w:rPr>
          <w:rFonts w:hint="eastAsia"/>
          <w:color w:val="auto"/>
          <w:lang w:val="zh-CN"/>
        </w:rPr>
        <w:t>禽无害化处理的公司，是国内最早从事病死畜禽无害化处理的公司，设备借鉴欧洲国</w:t>
      </w:r>
    </w:p>
    <w:p>
      <w:pPr>
        <w:ind w:left="0" w:leftChars="0" w:firstLine="0" w:firstLineChars="0"/>
        <w:rPr>
          <w:rFonts w:hint="eastAsia"/>
          <w:color w:val="auto"/>
          <w:lang w:val="zh-CN"/>
        </w:rPr>
      </w:pPr>
      <w:r>
        <w:rPr>
          <w:rFonts w:hint="eastAsia"/>
          <w:color w:val="auto"/>
          <w:lang w:val="zh-CN"/>
        </w:rPr>
        <w:t>家先进技术，并经自身改进、研发，拥有独立知识产权。三台县盛德祥生物科技有限公司成立于 2017 年 7 月，在绵阳市三台县石安镇柳泉村 5 组和洪坪村 2 组建立了绵阳市病死畜禽无害化处理中心，公司以《畜牧法》、《动物防疫法》、《四川省动物防疫条例》等法律法规为建设和运营指导，确保病死畜禽无害化处理工作顺利进行。绵阳市病死畜禽无害化处理中心项目占地 10.45 亩，总投资 3500 万元，总建筑面积 8000 平方米，可解决三台县、绵阳市及附近区县管辖区域内的养殖场、养殖小区、养殖散户等病死畜禽的无害化处理，该项目于 2017 年 7 月 26 日取得三台县环境保护局关于《绵阳市病死畜禽无害化处理中心环境影响报告表》的批复（三环保【2017】282 号）。项目于 2018 年 4 月开工建设，目前该项目已建成并运营，该项目设计年处理量 1.5 万吨，目前公司实际年处理量为 8000 吨。</w:t>
      </w:r>
    </w:p>
    <w:p>
      <w:pPr>
        <w:ind w:firstLine="480"/>
        <w:rPr>
          <w:rFonts w:hint="eastAsia"/>
          <w:color w:val="auto"/>
          <w:lang w:val="zh-CN"/>
        </w:rPr>
      </w:pPr>
      <w:r>
        <w:rPr>
          <w:rFonts w:hint="eastAsia"/>
          <w:color w:val="auto"/>
          <w:lang w:val="zh-CN"/>
        </w:rPr>
        <w:t>结合本项目实际情况，病死猪及胎盘统一交由绵阳市病死畜禽无害化处理中心进</w:t>
      </w:r>
    </w:p>
    <w:p>
      <w:pPr>
        <w:ind w:left="0" w:leftChars="0" w:firstLine="0" w:firstLineChars="0"/>
        <w:rPr>
          <w:rFonts w:hint="eastAsia"/>
          <w:color w:val="auto"/>
          <w:lang w:val="zh-CN"/>
        </w:rPr>
      </w:pPr>
      <w:r>
        <w:rPr>
          <w:rFonts w:hint="eastAsia"/>
          <w:color w:val="auto"/>
          <w:lang w:val="zh-CN"/>
        </w:rPr>
        <w:t>行无害化处理，因此本项目病死猪的处置措施可行。</w:t>
      </w:r>
    </w:p>
    <w:p>
      <w:pPr>
        <w:ind w:firstLine="480"/>
        <w:rPr>
          <w:color w:val="auto"/>
          <w:lang w:val="zh-CN"/>
        </w:rPr>
      </w:pPr>
      <w:r>
        <w:rPr>
          <w:color w:val="auto"/>
          <w:lang w:val="zh-CN"/>
        </w:rPr>
        <w:t>（3）畜禽医疗废物防治措施技术可行性</w:t>
      </w:r>
    </w:p>
    <w:p>
      <w:pPr>
        <w:ind w:firstLine="480"/>
        <w:rPr>
          <w:color w:val="auto"/>
          <w:lang w:val="zh-CN"/>
        </w:rPr>
      </w:pPr>
      <w:r>
        <w:rPr>
          <w:color w:val="auto"/>
          <w:lang w:val="zh-CN"/>
        </w:rPr>
        <w:t>猪只防疫、消毒会产生废疫苗瓶、废消毒剂瓶、针头等医疗废物，场区内应临时贮存（危废暂存间），产生量约0.</w:t>
      </w:r>
      <w:r>
        <w:rPr>
          <w:rFonts w:hint="eastAsia"/>
          <w:color w:val="auto"/>
          <w:lang w:val="en-US" w:eastAsia="zh-CN"/>
        </w:rPr>
        <w:t>2</w:t>
      </w:r>
      <w:r>
        <w:rPr>
          <w:color w:val="auto"/>
          <w:lang w:val="zh-CN"/>
        </w:rPr>
        <w:t>t/a，定期交由</w:t>
      </w:r>
      <w:r>
        <w:rPr>
          <w:color w:val="auto"/>
        </w:rPr>
        <w:t>具有相应资质类别的危险废物处置单位处置</w:t>
      </w:r>
      <w:r>
        <w:rPr>
          <w:color w:val="auto"/>
          <w:lang w:val="zh-CN"/>
        </w:rPr>
        <w:t>。</w:t>
      </w:r>
      <w:r>
        <w:rPr>
          <w:rFonts w:hint="eastAsia"/>
          <w:color w:val="auto"/>
          <w:lang w:val="zh-CN"/>
        </w:rPr>
        <w:t xml:space="preserve"> </w:t>
      </w:r>
    </w:p>
    <w:p>
      <w:pPr>
        <w:ind w:firstLine="480"/>
        <w:rPr>
          <w:color w:val="auto"/>
          <w:lang w:val="zh-CN"/>
        </w:rPr>
      </w:pPr>
      <w:r>
        <w:rPr>
          <w:color w:val="auto"/>
          <w:lang w:val="zh-CN"/>
        </w:rPr>
        <w:t xml:space="preserve">厂区设置单独的危废暂存间，危废暂存间的设置应按照《危险废物贮存污染控制标准》（GB18597-2001）3.3中贮存设施的标准，执行重点防渗（等效黏土防渗层 </w:t>
      </w:r>
      <w:r>
        <w:rPr>
          <w:rFonts w:hint="eastAsia"/>
          <w:color w:val="auto"/>
        </w:rPr>
        <w:t>K</w:t>
      </w:r>
      <w:r>
        <w:rPr>
          <w:color w:val="auto"/>
          <w:lang w:val="zh-CN"/>
        </w:rPr>
        <w:t>≤10</w:t>
      </w:r>
      <w:r>
        <w:rPr>
          <w:color w:val="auto"/>
          <w:vertAlign w:val="superscript"/>
          <w:lang w:val="zh-CN"/>
        </w:rPr>
        <w:t>-</w:t>
      </w:r>
      <w:r>
        <w:rPr>
          <w:rFonts w:hint="eastAsia"/>
          <w:color w:val="auto"/>
          <w:vertAlign w:val="superscript"/>
        </w:rPr>
        <w:t>10</w:t>
      </w:r>
      <w:r>
        <w:rPr>
          <w:color w:val="auto"/>
          <w:lang w:val="zh-CN"/>
        </w:rPr>
        <w:t>cm/s）。</w:t>
      </w:r>
      <w:r>
        <w:rPr>
          <w:rFonts w:hint="eastAsia"/>
          <w:color w:val="auto"/>
          <w:lang w:val="zh-CN"/>
        </w:rPr>
        <w:t>用于医疗废物的临时存储，委托有资质的单位转运处理。</w:t>
      </w:r>
    </w:p>
    <w:p>
      <w:pPr>
        <w:ind w:firstLine="480"/>
        <w:rPr>
          <w:color w:val="auto"/>
          <w:lang w:val="zh-CN"/>
        </w:rPr>
      </w:pPr>
      <w:r>
        <w:rPr>
          <w:color w:val="auto"/>
          <w:lang w:val="zh-CN"/>
        </w:rPr>
        <w:t>该工艺处理医疗废物，措施可行。</w:t>
      </w:r>
    </w:p>
    <w:p>
      <w:pPr>
        <w:ind w:firstLine="480"/>
        <w:rPr>
          <w:color w:val="auto"/>
          <w:lang w:val="zh-CN"/>
        </w:rPr>
      </w:pPr>
      <w:r>
        <w:rPr>
          <w:color w:val="auto"/>
          <w:lang w:val="zh-CN"/>
        </w:rPr>
        <w:t>（4）生活垃圾防治措施技术可行性</w:t>
      </w:r>
    </w:p>
    <w:p>
      <w:pPr>
        <w:ind w:firstLine="480"/>
        <w:rPr>
          <w:color w:val="auto"/>
          <w:lang w:val="zh-CN"/>
        </w:rPr>
      </w:pPr>
      <w:r>
        <w:rPr>
          <w:rFonts w:hint="eastAsia"/>
          <w:color w:val="auto"/>
          <w:lang w:val="zh-CN"/>
        </w:rPr>
        <w:t>生活垃圾的产生量为</w:t>
      </w:r>
      <w:r>
        <w:rPr>
          <w:rFonts w:hint="default" w:ascii="Times New Roman" w:hAnsi="Times New Roman" w:cs="Times New Roman"/>
          <w:color w:val="auto"/>
        </w:rPr>
        <w:t>1.2775</w:t>
      </w:r>
      <w:r>
        <w:rPr>
          <w:rFonts w:hint="eastAsia"/>
          <w:color w:val="auto"/>
          <w:lang w:val="zh-CN"/>
        </w:rPr>
        <w:t>t/a，</w:t>
      </w:r>
      <w:r>
        <w:rPr>
          <w:color w:val="auto"/>
        </w:rPr>
        <w:t>生活垃圾袋装收集后暂存于生活垃圾暂存间，由环卫部门统一清运处置</w:t>
      </w:r>
      <w:r>
        <w:rPr>
          <w:rFonts w:hint="eastAsia"/>
          <w:color w:val="auto"/>
          <w:lang w:val="zh-CN"/>
        </w:rPr>
        <w:t>，对外环境影响较小。</w:t>
      </w:r>
    </w:p>
    <w:p>
      <w:pPr>
        <w:ind w:firstLine="480"/>
        <w:rPr>
          <w:color w:val="auto"/>
          <w:lang w:val="zh-CN"/>
        </w:rPr>
      </w:pPr>
      <w:r>
        <w:rPr>
          <w:rFonts w:hint="eastAsia"/>
          <w:color w:val="auto"/>
          <w:lang w:val="zh-CN"/>
        </w:rPr>
        <w:t xml:space="preserve">项目生活垃圾收集处置措施可行。 </w:t>
      </w:r>
    </w:p>
    <w:p>
      <w:pPr>
        <w:ind w:firstLine="480"/>
        <w:rPr>
          <w:rFonts w:hint="eastAsia"/>
          <w:color w:val="auto"/>
          <w:lang w:val="zh-CN"/>
        </w:rPr>
      </w:pPr>
      <w:r>
        <w:rPr>
          <w:rFonts w:hint="eastAsia"/>
          <w:color w:val="auto"/>
          <w:lang w:val="zh-CN"/>
        </w:rPr>
        <w:t>（</w:t>
      </w:r>
      <w:r>
        <w:rPr>
          <w:color w:val="auto"/>
          <w:lang w:val="zh-CN"/>
        </w:rPr>
        <w:t>5</w:t>
      </w:r>
      <w:r>
        <w:rPr>
          <w:rFonts w:hint="eastAsia"/>
          <w:color w:val="auto"/>
          <w:lang w:val="zh-CN"/>
        </w:rPr>
        <w:t>）废脱硫剂防治措施技术可行性</w:t>
      </w:r>
    </w:p>
    <w:p>
      <w:pPr>
        <w:ind w:firstLine="480"/>
        <w:rPr>
          <w:rFonts w:hint="eastAsia"/>
          <w:color w:val="auto"/>
          <w:lang w:val="zh-CN"/>
        </w:rPr>
      </w:pPr>
      <w:r>
        <w:rPr>
          <w:rFonts w:hint="eastAsia"/>
          <w:color w:val="auto"/>
          <w:lang w:val="zh-CN"/>
        </w:rPr>
        <w:t>沼气中所含水及硫化氢拟采用干式脱硫塔处理，吸附剂为Fe</w:t>
      </w:r>
      <w:r>
        <w:rPr>
          <w:rFonts w:hint="eastAsia"/>
          <w:color w:val="auto"/>
          <w:vertAlign w:val="subscript"/>
          <w:lang w:val="zh-CN"/>
        </w:rPr>
        <w:t>2</w:t>
      </w:r>
      <w:r>
        <w:rPr>
          <w:rFonts w:hint="eastAsia"/>
          <w:color w:val="auto"/>
          <w:lang w:val="zh-CN"/>
        </w:rPr>
        <w:t>O</w:t>
      </w:r>
      <w:r>
        <w:rPr>
          <w:rFonts w:hint="eastAsia"/>
          <w:color w:val="auto"/>
          <w:vertAlign w:val="subscript"/>
          <w:lang w:val="zh-CN"/>
        </w:rPr>
        <w:t>3</w:t>
      </w:r>
      <w:r>
        <w:rPr>
          <w:rFonts w:hint="eastAsia"/>
          <w:color w:val="auto"/>
          <w:lang w:val="zh-CN"/>
        </w:rPr>
        <w:t>，干式脱硫塔处理过程中产生的废脱硫剂由原厂家回收再利用，不会产生二次污染物，措施可行。</w:t>
      </w:r>
    </w:p>
    <w:p>
      <w:pPr>
        <w:ind w:firstLine="480"/>
        <w:rPr>
          <w:rFonts w:hint="eastAsia"/>
          <w:color w:val="auto"/>
          <w:lang w:val="zh-CN"/>
        </w:rPr>
      </w:pPr>
      <w:r>
        <w:rPr>
          <w:rFonts w:hint="eastAsia"/>
          <w:color w:val="auto"/>
          <w:lang w:val="zh-CN"/>
        </w:rPr>
        <w:t>（</w:t>
      </w:r>
      <w:r>
        <w:rPr>
          <w:color w:val="auto"/>
          <w:lang w:val="zh-CN"/>
        </w:rPr>
        <w:t>6</w:t>
      </w:r>
      <w:r>
        <w:rPr>
          <w:rFonts w:hint="eastAsia"/>
          <w:color w:val="auto"/>
          <w:lang w:val="zh-CN"/>
        </w:rPr>
        <w:t>）项目运行过程中产生的废饲料包装袋、废纸箱等各种原辅材料的废包装材料</w:t>
      </w:r>
      <w:r>
        <w:rPr>
          <w:rFonts w:hint="eastAsia"/>
          <w:color w:val="auto"/>
        </w:rPr>
        <w:t>收集后定期外售废品回收站，不会对环境产生影响。措施经济可行。</w:t>
      </w:r>
    </w:p>
    <w:p>
      <w:pPr>
        <w:ind w:firstLine="482"/>
        <w:rPr>
          <w:color w:val="auto"/>
          <w:lang w:val="zh-CN"/>
        </w:rPr>
      </w:pPr>
      <w:r>
        <w:rPr>
          <w:b/>
          <w:color w:val="auto"/>
        </w:rPr>
        <w:t>综上所述，本项目固体废物根据不同的性质、种类采取了不同的处置方式，处置去向明确，可有效防止固体废物的逸散和对环境的二次污染，不会对周围环境造成影响。因此，项目固废处置措施技术、经济合理可行。</w:t>
      </w:r>
    </w:p>
    <w:p>
      <w:pPr>
        <w:pStyle w:val="9"/>
        <w:spacing w:before="120" w:beforeLines="50"/>
        <w:rPr>
          <w:rFonts w:hint="eastAsia"/>
          <w:color w:val="auto"/>
        </w:rPr>
      </w:pPr>
      <w:r>
        <w:rPr>
          <w:rFonts w:hint="eastAsia"/>
          <w:color w:val="auto"/>
        </w:rPr>
        <w:t>固废暂存场所设置合理性分析</w:t>
      </w:r>
    </w:p>
    <w:p>
      <w:pPr>
        <w:ind w:firstLine="480"/>
        <w:rPr>
          <w:rFonts w:hint="eastAsia"/>
          <w:color w:val="auto"/>
          <w:lang w:val="zh-CN"/>
        </w:rPr>
      </w:pPr>
      <w:r>
        <w:rPr>
          <w:rFonts w:hint="eastAsia"/>
          <w:color w:val="auto"/>
          <w:lang w:val="zh-CN"/>
        </w:rPr>
        <w:t>建设项目建设一座</w:t>
      </w:r>
      <w:r>
        <w:rPr>
          <w:color w:val="auto"/>
          <w:lang w:val="zh-CN"/>
        </w:rPr>
        <w:t>5</w:t>
      </w:r>
      <w:r>
        <w:rPr>
          <w:rFonts w:hint="eastAsia"/>
          <w:color w:val="auto"/>
          <w:lang w:val="zh-CN"/>
        </w:rPr>
        <w:t>m</w:t>
      </w:r>
      <w:r>
        <w:rPr>
          <w:rFonts w:hint="eastAsia"/>
          <w:color w:val="auto"/>
          <w:vertAlign w:val="superscript"/>
          <w:lang w:val="zh-CN"/>
        </w:rPr>
        <w:t>2</w:t>
      </w:r>
      <w:r>
        <w:rPr>
          <w:rFonts w:hint="eastAsia"/>
          <w:color w:val="auto"/>
          <w:lang w:val="zh-CN"/>
        </w:rPr>
        <w:t>的危废仓库、1座</w:t>
      </w:r>
      <w:r>
        <w:rPr>
          <w:rFonts w:hint="eastAsia"/>
          <w:color w:val="auto"/>
          <w:lang w:val="en-US" w:eastAsia="zh-CN"/>
        </w:rPr>
        <w:t>5</w:t>
      </w:r>
      <w:r>
        <w:rPr>
          <w:rFonts w:hint="eastAsia"/>
          <w:color w:val="auto"/>
          <w:lang w:val="zh-CN"/>
        </w:rPr>
        <w:t>0m</w:t>
      </w:r>
      <w:r>
        <w:rPr>
          <w:rFonts w:hint="eastAsia"/>
          <w:color w:val="auto"/>
          <w:vertAlign w:val="superscript"/>
          <w:lang w:val="zh-CN"/>
        </w:rPr>
        <w:t>2</w:t>
      </w:r>
      <w:r>
        <w:rPr>
          <w:rFonts w:hint="eastAsia"/>
          <w:color w:val="auto"/>
          <w:lang w:val="zh-CN"/>
        </w:rPr>
        <w:t>的一般固废暂存间。一般工业固废垃圾平均转运周期为一个月，危险废物每天清运。本项目一般固废暂存间仅暂存废气包装、废脱硫剂，猪粪运至固粪处置间，病死猪运至病死猪无害化处置间，均不在一般固废仓库暂存；危废仓库仅用于暂存医疗废物。因此，一般固废仓库和危废仓库建筑规模可以满足本项目暂存需要。</w:t>
      </w:r>
    </w:p>
    <w:p>
      <w:pPr>
        <w:ind w:firstLine="480"/>
        <w:rPr>
          <w:rFonts w:hint="eastAsia"/>
          <w:color w:val="auto"/>
          <w:lang w:val="zh-CN"/>
        </w:rPr>
      </w:pPr>
      <w:r>
        <w:rPr>
          <w:rFonts w:hint="eastAsia"/>
          <w:color w:val="auto"/>
          <w:lang w:val="zh-CN"/>
        </w:rPr>
        <w:t>（1）根据《中华人民共和国固体废物污染环境防治法》要求，评价建议对一般固体废物设置规范的临时堆存场地，用以暂存废脱硫剂和生活垃圾，按照《一般工业固体废物贮存、处置场污染控制标准》（GB18599-2001）中相应规定，必须采取防扬撒、防流失、防渗漏等三防措施，进行地面硬化，设顶棚和围挡，避免雨水进入，地基加高10cm，达到三防要求。</w:t>
      </w:r>
    </w:p>
    <w:p>
      <w:pPr>
        <w:ind w:firstLine="480"/>
        <w:rPr>
          <w:rFonts w:hint="eastAsia"/>
          <w:color w:val="auto"/>
          <w:lang w:val="zh-CN"/>
        </w:rPr>
      </w:pPr>
      <w:r>
        <w:rPr>
          <w:rFonts w:hint="eastAsia"/>
          <w:color w:val="auto"/>
          <w:lang w:val="zh-CN"/>
        </w:rPr>
        <w:t>（2）危废暂存间须满足《危险废物贮存污染控制标准》（GB18597-2001）及其2013年修改单中标准要求：危废暂存间地面设置混凝土基础做防渗处理；危废的贮存场所设置明显标志；贮存场所内禁止混放不相溶危险废物；危废的转移执行国家环保总局第5号令《危险废物转移联单管理办法》。</w:t>
      </w:r>
    </w:p>
    <w:p>
      <w:pPr>
        <w:ind w:firstLine="480"/>
        <w:rPr>
          <w:color w:val="auto"/>
          <w:lang w:val="zh-CN"/>
        </w:rPr>
      </w:pPr>
      <w:r>
        <w:rPr>
          <w:rFonts w:hint="eastAsia"/>
          <w:color w:val="auto"/>
          <w:lang w:val="zh-CN"/>
        </w:rPr>
        <w:t>（3）危废仓库基础防渗层为至少1m厚粘土层（渗透系数≤10</w:t>
      </w:r>
      <w:r>
        <w:rPr>
          <w:rFonts w:hint="eastAsia"/>
          <w:color w:val="auto"/>
          <w:vertAlign w:val="superscript"/>
          <w:lang w:val="zh-CN"/>
        </w:rPr>
        <w:t>-7</w:t>
      </w:r>
      <w:r>
        <w:rPr>
          <w:rFonts w:hint="eastAsia"/>
          <w:color w:val="auto"/>
          <w:lang w:val="zh-CN"/>
        </w:rPr>
        <w:t>cm/s），或2mm厚高密度聚乙烯，或至少2mm厚的其他人工材料，渗透系数≤10</w:t>
      </w:r>
      <w:r>
        <w:rPr>
          <w:rFonts w:hint="eastAsia"/>
          <w:color w:val="auto"/>
          <w:vertAlign w:val="superscript"/>
          <w:lang w:val="zh-CN"/>
        </w:rPr>
        <w:t>-10</w:t>
      </w:r>
      <w:r>
        <w:rPr>
          <w:rFonts w:hint="eastAsia"/>
          <w:color w:val="auto"/>
          <w:lang w:val="zh-CN"/>
        </w:rPr>
        <w:t>cm/s。</w:t>
      </w:r>
    </w:p>
    <w:p>
      <w:pPr>
        <w:pStyle w:val="9"/>
        <w:spacing w:before="120" w:beforeLines="50"/>
        <w:rPr>
          <w:rFonts w:hint="eastAsia"/>
          <w:color w:val="auto"/>
          <w:lang w:val="zh-CN"/>
        </w:rPr>
      </w:pPr>
      <w:r>
        <w:rPr>
          <w:rFonts w:hint="eastAsia"/>
          <w:color w:val="auto"/>
        </w:rPr>
        <w:t>危险废物管理措施</w:t>
      </w:r>
    </w:p>
    <w:p>
      <w:pPr>
        <w:ind w:firstLine="480"/>
        <w:rPr>
          <w:rFonts w:hint="eastAsia"/>
          <w:color w:val="auto"/>
          <w:lang w:val="zh-CN"/>
        </w:rPr>
      </w:pPr>
      <w:r>
        <w:rPr>
          <w:rFonts w:hint="eastAsia"/>
          <w:color w:val="auto"/>
          <w:lang w:val="zh-CN"/>
        </w:rPr>
        <w:t>（1）危险废物的收集、贮存、转移、利用、处置活动必须遵守国家和地方的有关规定。</w:t>
      </w:r>
    </w:p>
    <w:p>
      <w:pPr>
        <w:ind w:firstLine="480"/>
        <w:rPr>
          <w:rFonts w:hint="eastAsia"/>
          <w:color w:val="auto"/>
          <w:lang w:val="zh-CN"/>
        </w:rPr>
      </w:pPr>
      <w:r>
        <w:rPr>
          <w:rFonts w:hint="eastAsia"/>
          <w:color w:val="auto"/>
          <w:lang w:val="zh-CN"/>
        </w:rPr>
        <w:t>（2）禁止向环境倾倒、堆置危险废物。</w:t>
      </w:r>
    </w:p>
    <w:p>
      <w:pPr>
        <w:ind w:firstLine="480"/>
        <w:rPr>
          <w:rFonts w:hint="eastAsia"/>
          <w:color w:val="auto"/>
          <w:lang w:val="zh-CN"/>
        </w:rPr>
      </w:pPr>
      <w:r>
        <w:rPr>
          <w:rFonts w:hint="eastAsia"/>
          <w:color w:val="auto"/>
          <w:lang w:val="zh-CN"/>
        </w:rPr>
        <w:t>（3）禁止将危险废物混入非危险废物中收集、贮存、转移、处置。</w:t>
      </w:r>
    </w:p>
    <w:p>
      <w:pPr>
        <w:ind w:firstLine="480"/>
        <w:rPr>
          <w:rFonts w:hint="eastAsia"/>
          <w:color w:val="auto"/>
          <w:lang w:val="zh-CN"/>
        </w:rPr>
      </w:pPr>
      <w:r>
        <w:rPr>
          <w:rFonts w:hint="eastAsia"/>
          <w:color w:val="auto"/>
          <w:lang w:val="zh-CN"/>
        </w:rPr>
        <w:t>（4）危险废物的收集、贮存、转移应当使用符合标准的容器和包装物。</w:t>
      </w:r>
    </w:p>
    <w:p>
      <w:pPr>
        <w:ind w:firstLine="480"/>
        <w:rPr>
          <w:rFonts w:hint="eastAsia"/>
          <w:color w:val="auto"/>
          <w:lang w:val="zh-CN"/>
        </w:rPr>
      </w:pPr>
      <w:r>
        <w:rPr>
          <w:rFonts w:hint="eastAsia"/>
          <w:color w:val="auto"/>
          <w:lang w:val="zh-CN"/>
        </w:rPr>
        <w:t>（5）危险废物的容器和包装物以及收集、贮存、转移、处置危险废物的设施、场所，必须设置危险废物识别标志。</w:t>
      </w:r>
    </w:p>
    <w:p>
      <w:pPr>
        <w:ind w:firstLine="480"/>
        <w:rPr>
          <w:rFonts w:hint="eastAsia"/>
          <w:color w:val="auto"/>
          <w:lang w:val="zh-CN"/>
        </w:rPr>
      </w:pPr>
      <w:r>
        <w:rPr>
          <w:rFonts w:hint="eastAsia"/>
          <w:color w:val="auto"/>
          <w:lang w:val="zh-CN"/>
        </w:rPr>
        <w:t>（6）医疗废物暂时贮存的时间不得超过2天。</w:t>
      </w:r>
    </w:p>
    <w:p>
      <w:pPr>
        <w:ind w:firstLine="480"/>
        <w:rPr>
          <w:rFonts w:hint="eastAsia"/>
          <w:color w:val="auto"/>
          <w:lang w:val="zh-CN"/>
        </w:rPr>
      </w:pPr>
      <w:r>
        <w:rPr>
          <w:rFonts w:hint="eastAsia"/>
          <w:color w:val="auto"/>
          <w:lang w:val="zh-CN"/>
        </w:rPr>
        <w:t>（7）在搬迁、转产、终止之前，必须对已经产生尚没有处置的危险废物和危险废物贮存、处置设施场所按照有关规定进行安全处置；对产生的危险废物对周围环境的影响进行综合评估并消除可能产生的污染，将评估报告报质量安全部</w:t>
      </w:r>
      <w:r>
        <w:rPr>
          <w:rFonts w:hint="eastAsia"/>
          <w:color w:val="auto"/>
        </w:rPr>
        <w:t>门</w:t>
      </w:r>
      <w:r>
        <w:rPr>
          <w:rFonts w:hint="eastAsia"/>
          <w:color w:val="auto"/>
          <w:lang w:val="zh-CN"/>
        </w:rPr>
        <w:t>备案。</w:t>
      </w:r>
    </w:p>
    <w:p>
      <w:pPr>
        <w:ind w:firstLine="480"/>
        <w:rPr>
          <w:rFonts w:hint="eastAsia"/>
          <w:color w:val="auto"/>
          <w:lang w:val="zh-CN"/>
        </w:rPr>
      </w:pPr>
      <w:r>
        <w:rPr>
          <w:rFonts w:hint="eastAsia"/>
          <w:color w:val="auto"/>
          <w:lang w:val="zh-CN"/>
        </w:rPr>
        <w:t>（8）应当制定危险废物污染事故防范措施和应急预案。如果发生危险废物污染事故或者其他突发性事件，应当按照应急预案消除或者减轻对环境的污染危害，及时通知可能受到危害的单位和个人，并及时向事故发生地环境保护行政主管部门报告，接受调查处理。</w:t>
      </w: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b/>
          <w:bCs/>
          <w:color w:val="auto"/>
          <w:sz w:val="28"/>
          <w:szCs w:val="21"/>
          <w:lang w:val="en-US" w:eastAsia="zh-CN"/>
        </w:rPr>
      </w:pPr>
      <w:r>
        <w:rPr>
          <w:rFonts w:hint="eastAsia" w:ascii="黑体" w:hAnsi="黑体" w:eastAsia="黑体" w:cs="黑体"/>
          <w:b/>
          <w:bCs/>
          <w:color w:val="auto"/>
          <w:sz w:val="28"/>
          <w:szCs w:val="21"/>
          <w:lang w:val="en-US" w:eastAsia="zh-CN"/>
        </w:rPr>
        <w:t>7.2.6土壤防治措施分析</w:t>
      </w:r>
    </w:p>
    <w:p>
      <w:pPr>
        <w:pStyle w:val="265"/>
        <w:rPr>
          <w:rFonts w:hint="eastAsia"/>
          <w:color w:val="auto"/>
          <w:sz w:val="24"/>
        </w:rPr>
      </w:pPr>
      <w:r>
        <w:rPr>
          <w:rFonts w:hint="eastAsia"/>
          <w:color w:val="auto"/>
          <w:sz w:val="24"/>
        </w:rPr>
        <w:t>项目对土壤的潜在污染可能来自于项目危废暂存间、原料（</w:t>
      </w:r>
      <w:r>
        <w:rPr>
          <w:rFonts w:hint="eastAsia"/>
          <w:color w:val="auto"/>
          <w:sz w:val="24"/>
          <w:lang w:val="en-US" w:eastAsia="zh-CN"/>
        </w:rPr>
        <w:t>柴油</w:t>
      </w:r>
      <w:r>
        <w:rPr>
          <w:rFonts w:hint="eastAsia"/>
          <w:color w:val="auto"/>
          <w:sz w:val="24"/>
        </w:rPr>
        <w:t>等）暂存间、</w:t>
      </w:r>
      <w:r>
        <w:rPr>
          <w:rFonts w:hint="eastAsia"/>
          <w:color w:val="auto"/>
          <w:sz w:val="24"/>
          <w:lang w:val="en-US" w:eastAsia="zh-CN"/>
        </w:rPr>
        <w:t>污水池</w:t>
      </w:r>
      <w:r>
        <w:rPr>
          <w:rFonts w:hint="eastAsia"/>
          <w:color w:val="auto"/>
          <w:sz w:val="24"/>
        </w:rPr>
        <w:t>等发生物料泄漏，染物主要包括 pH、COD、氨氮、石油类等，影响方式为漫流和泄漏。</w:t>
      </w:r>
    </w:p>
    <w:p>
      <w:pPr>
        <w:pStyle w:val="265"/>
        <w:rPr>
          <w:rFonts w:hint="eastAsia"/>
          <w:color w:val="auto"/>
          <w:sz w:val="24"/>
        </w:rPr>
      </w:pPr>
      <w:r>
        <w:rPr>
          <w:rFonts w:hint="eastAsia"/>
          <w:color w:val="auto"/>
          <w:sz w:val="24"/>
        </w:rPr>
        <w:t>项目对危废暂存间等进行了防渗处理，对原料库、危废暂存间设置了围堰和收集设施，防止事故情况下液体原料漫流。</w:t>
      </w:r>
    </w:p>
    <w:p>
      <w:pPr>
        <w:pStyle w:val="265"/>
        <w:rPr>
          <w:rFonts w:hint="default"/>
          <w:color w:val="auto"/>
          <w:lang w:val="en-US" w:eastAsia="zh-CN"/>
        </w:rPr>
      </w:pPr>
      <w:r>
        <w:rPr>
          <w:rFonts w:hint="eastAsia"/>
          <w:color w:val="auto"/>
          <w:sz w:val="24"/>
        </w:rPr>
        <w:t>因此，项目在做好地坪防渗和事故收集的情况下，对土壤污染较小，可不改变区域土壤环境功能等级，土壤污染防治措施可行。</w:t>
      </w:r>
    </w:p>
    <w:p>
      <w:pPr>
        <w:pStyle w:val="8"/>
        <w:numPr>
          <w:ilvl w:val="0"/>
          <w:numId w:val="0"/>
        </w:numPr>
        <w:tabs>
          <w:tab w:val="clear" w:pos="0"/>
        </w:tabs>
        <w:ind w:leftChars="0"/>
        <w:rPr>
          <w:rFonts w:hint="eastAsia" w:eastAsia="黑体"/>
          <w:color w:val="auto"/>
          <w:sz w:val="28"/>
          <w:szCs w:val="28"/>
        </w:rPr>
      </w:pPr>
      <w:r>
        <w:rPr>
          <w:rFonts w:hint="eastAsia"/>
          <w:color w:val="auto"/>
          <w:sz w:val="28"/>
          <w:szCs w:val="28"/>
          <w:lang w:val="en-US" w:eastAsia="zh-CN"/>
        </w:rPr>
        <w:t>7.2.7</w:t>
      </w:r>
      <w:r>
        <w:rPr>
          <w:rFonts w:hint="eastAsia" w:eastAsia="黑体"/>
          <w:color w:val="auto"/>
          <w:sz w:val="28"/>
          <w:szCs w:val="28"/>
        </w:rPr>
        <w:t>交通运输污染防治措施论证</w:t>
      </w:r>
    </w:p>
    <w:p>
      <w:pPr>
        <w:ind w:firstLine="480"/>
        <w:rPr>
          <w:rFonts w:hint="eastAsia"/>
          <w:color w:val="auto"/>
          <w:lang w:val="zh-CN"/>
        </w:rPr>
      </w:pPr>
      <w:r>
        <w:rPr>
          <w:rFonts w:hint="eastAsia"/>
          <w:color w:val="auto"/>
        </w:rPr>
        <w:t>本项目</w:t>
      </w:r>
      <w:r>
        <w:rPr>
          <w:rFonts w:hint="eastAsia"/>
          <w:color w:val="auto"/>
          <w:lang w:val="zh-CN"/>
        </w:rPr>
        <w:t>主要考虑运猪车</w:t>
      </w:r>
      <w:r>
        <w:rPr>
          <w:rFonts w:hint="eastAsia"/>
          <w:color w:val="auto"/>
        </w:rPr>
        <w:t>的</w:t>
      </w:r>
      <w:r>
        <w:rPr>
          <w:rFonts w:hint="eastAsia"/>
          <w:color w:val="auto"/>
          <w:lang w:val="zh-CN"/>
        </w:rPr>
        <w:t>噪声和臭气影响。</w:t>
      </w:r>
    </w:p>
    <w:p>
      <w:pPr>
        <w:ind w:firstLine="480"/>
        <w:rPr>
          <w:rFonts w:hint="eastAsia"/>
          <w:color w:val="auto"/>
          <w:lang w:val="zh-CN"/>
        </w:rPr>
      </w:pPr>
      <w:r>
        <w:rPr>
          <w:rFonts w:hint="eastAsia"/>
          <w:color w:val="auto"/>
          <w:lang w:val="zh-CN"/>
        </w:rPr>
        <w:t>（1）交通运输噪声污染防治措施</w:t>
      </w:r>
    </w:p>
    <w:p>
      <w:pPr>
        <w:ind w:firstLine="480"/>
        <w:rPr>
          <w:rFonts w:hint="eastAsia"/>
          <w:color w:val="auto"/>
          <w:lang w:val="zh-CN"/>
        </w:rPr>
      </w:pPr>
      <w:r>
        <w:rPr>
          <w:rFonts w:hint="eastAsia"/>
          <w:color w:val="auto"/>
          <w:lang w:val="zh-CN"/>
        </w:rPr>
        <w:t>为了减轻因运输猪只车辆的增加而引起的交通噪声，建议优化运输路线，使运输路线尽量选择距离居民敏感点较远、地域比较开阔的地段。</w:t>
      </w:r>
    </w:p>
    <w:p>
      <w:pPr>
        <w:ind w:firstLine="480"/>
        <w:rPr>
          <w:rFonts w:hint="eastAsia"/>
          <w:color w:val="auto"/>
          <w:lang w:val="zh-CN"/>
        </w:rPr>
      </w:pPr>
      <w:r>
        <w:rPr>
          <w:rFonts w:hint="eastAsia"/>
          <w:color w:val="auto"/>
          <w:lang w:val="zh-CN"/>
        </w:rPr>
        <w:t>（2）运输沿线恶臭污染防治措施</w:t>
      </w:r>
    </w:p>
    <w:p>
      <w:pPr>
        <w:ind w:firstLine="480"/>
        <w:rPr>
          <w:rFonts w:hint="eastAsia"/>
          <w:color w:val="auto"/>
          <w:lang w:val="zh-CN"/>
        </w:rPr>
      </w:pPr>
      <w:r>
        <w:rPr>
          <w:rFonts w:hint="eastAsia"/>
          <w:color w:val="auto"/>
          <w:lang w:val="zh-CN"/>
        </w:rPr>
        <w:t>1）猪运输车辆注意消毒，保持清洁。</w:t>
      </w:r>
    </w:p>
    <w:p>
      <w:pPr>
        <w:ind w:firstLine="480"/>
        <w:rPr>
          <w:color w:val="auto"/>
          <w:lang w:val="zh-CN"/>
        </w:rPr>
      </w:pPr>
      <w:r>
        <w:rPr>
          <w:color w:val="auto"/>
          <w:lang w:val="zh-CN"/>
        </w:rPr>
        <w:t>2</w:t>
      </w:r>
      <w:r>
        <w:rPr>
          <w:rFonts w:hint="eastAsia"/>
          <w:color w:val="auto"/>
          <w:lang w:val="zh-CN"/>
        </w:rPr>
        <w:t>）应尽量选择半封闭式的运输车辆，最大可能地防止恶臭对城区运输路线两边居民的影响。</w:t>
      </w:r>
    </w:p>
    <w:p>
      <w:pPr>
        <w:ind w:firstLine="480"/>
        <w:rPr>
          <w:rFonts w:hint="eastAsia"/>
          <w:color w:val="auto"/>
          <w:lang w:val="zh-CN"/>
        </w:rPr>
      </w:pPr>
      <w:r>
        <w:rPr>
          <w:color w:val="auto"/>
          <w:lang w:val="zh-CN"/>
        </w:rPr>
        <w:t>3</w:t>
      </w:r>
      <w:r>
        <w:rPr>
          <w:rFonts w:hint="eastAsia"/>
          <w:color w:val="auto"/>
          <w:lang w:val="zh-CN"/>
        </w:rPr>
        <w:t>）运输车辆必须按定额载重量运输，严禁超载行驶。</w:t>
      </w:r>
    </w:p>
    <w:p>
      <w:pPr>
        <w:ind w:firstLine="480"/>
        <w:rPr>
          <w:rFonts w:hint="eastAsia"/>
          <w:color w:val="auto"/>
          <w:lang w:val="zh-CN"/>
        </w:rPr>
      </w:pPr>
      <w:r>
        <w:rPr>
          <w:color w:val="auto"/>
          <w:lang w:val="zh-CN"/>
        </w:rPr>
        <w:t>4</w:t>
      </w:r>
      <w:r>
        <w:rPr>
          <w:rFonts w:hint="eastAsia"/>
          <w:color w:val="auto"/>
          <w:lang w:val="zh-CN"/>
        </w:rPr>
        <w:t>）运输车辆安装粪尿收集装置，避免粪尿撒漏外排。</w:t>
      </w:r>
    </w:p>
    <w:p>
      <w:pPr>
        <w:pStyle w:val="8"/>
        <w:numPr>
          <w:ilvl w:val="0"/>
          <w:numId w:val="0"/>
        </w:numPr>
        <w:tabs>
          <w:tab w:val="clear" w:pos="0"/>
        </w:tabs>
        <w:ind w:leftChars="0"/>
        <w:rPr>
          <w:rFonts w:hint="eastAsia" w:eastAsia="黑体"/>
          <w:color w:val="auto"/>
          <w:sz w:val="28"/>
          <w:szCs w:val="28"/>
        </w:rPr>
      </w:pPr>
      <w:r>
        <w:rPr>
          <w:rFonts w:hint="eastAsia"/>
          <w:color w:val="auto"/>
          <w:sz w:val="28"/>
          <w:szCs w:val="28"/>
          <w:lang w:val="en-US" w:eastAsia="zh-CN"/>
        </w:rPr>
        <w:t>7.2.8</w:t>
      </w:r>
      <w:r>
        <w:rPr>
          <w:rFonts w:hint="eastAsia" w:eastAsia="黑体"/>
          <w:color w:val="auto"/>
          <w:sz w:val="28"/>
          <w:szCs w:val="28"/>
        </w:rPr>
        <w:t>生态环境保护措施论证</w:t>
      </w:r>
    </w:p>
    <w:p>
      <w:pPr>
        <w:ind w:firstLine="480"/>
        <w:rPr>
          <w:rFonts w:hint="eastAsia"/>
          <w:color w:val="auto"/>
          <w:lang w:val="zh-CN"/>
        </w:rPr>
      </w:pPr>
      <w:r>
        <w:rPr>
          <w:rFonts w:hint="eastAsia"/>
          <w:color w:val="auto"/>
          <w:lang w:val="zh-CN"/>
        </w:rPr>
        <w:t>为进一步降低工程排污对环境的影响，充分发挥绿化带的作用和功能，结合本工程平面布置特点，评价提出以下要求和措施：</w:t>
      </w:r>
    </w:p>
    <w:p>
      <w:pPr>
        <w:ind w:firstLine="480"/>
        <w:rPr>
          <w:rFonts w:hint="eastAsia"/>
          <w:color w:val="auto"/>
          <w:lang w:val="zh-CN"/>
        </w:rPr>
      </w:pPr>
      <w:r>
        <w:rPr>
          <w:rFonts w:hint="eastAsia"/>
          <w:color w:val="auto"/>
          <w:lang w:val="zh-CN"/>
        </w:rPr>
        <w:t>（1）针对工程主要运输路线，要求企业对道路实施绿化，以高大树冠及乔木结合形成隔离带以遮荫、抑尘。</w:t>
      </w:r>
    </w:p>
    <w:p>
      <w:pPr>
        <w:ind w:firstLine="480"/>
        <w:rPr>
          <w:rFonts w:hint="eastAsia"/>
          <w:color w:val="auto"/>
          <w:lang w:val="zh-CN"/>
        </w:rPr>
      </w:pPr>
      <w:r>
        <w:rPr>
          <w:rFonts w:hint="eastAsia"/>
          <w:color w:val="auto"/>
          <w:lang w:val="zh-CN"/>
        </w:rPr>
        <w:t>（2）生活管理区应以绿化美化为主。绿化方式为灌、乔、草立体植物种植为主，并结合四季花卉植物形成良好景观。猪舍四周空闲地带以灌木绿篱、草皮种植结合代替裸地。</w:t>
      </w:r>
    </w:p>
    <w:p>
      <w:pPr>
        <w:ind w:firstLine="480"/>
        <w:rPr>
          <w:rFonts w:hint="eastAsia"/>
          <w:color w:val="auto"/>
          <w:lang w:val="zh-CN"/>
        </w:rPr>
      </w:pPr>
      <w:r>
        <w:rPr>
          <w:rFonts w:hint="eastAsia"/>
          <w:color w:val="auto"/>
          <w:lang w:val="zh-CN"/>
        </w:rPr>
        <w:t>（3）植物物种以适宜当地生长的土生物种。</w:t>
      </w:r>
    </w:p>
    <w:p>
      <w:pPr>
        <w:ind w:firstLine="480"/>
        <w:rPr>
          <w:rFonts w:hint="eastAsia"/>
          <w:color w:val="auto"/>
          <w:lang w:val="zh-CN"/>
        </w:rPr>
      </w:pPr>
      <w:r>
        <w:rPr>
          <w:rFonts w:hint="eastAsia"/>
          <w:color w:val="auto"/>
          <w:lang w:val="zh-CN"/>
        </w:rPr>
        <w:t>（4）采取严格的运营期污染控制方案，减小工程污染排放对生态的影响。</w:t>
      </w:r>
    </w:p>
    <w:p>
      <w:pPr>
        <w:ind w:firstLine="480"/>
        <w:rPr>
          <w:color w:val="auto"/>
          <w:lang w:val="zh-CN"/>
        </w:rPr>
      </w:pPr>
      <w:r>
        <w:rPr>
          <w:rFonts w:hint="eastAsia"/>
          <w:color w:val="auto"/>
          <w:lang w:val="zh-CN"/>
        </w:rPr>
        <w:t>（5）从区域生态状况和有关的政策要求出发，评价要求企业应树立“建设本地区生态模范企业”为目标，将环境保护与生态建设放在与经营利益同等重要的位置，进行绿化、美化及协调性的景观设计，为区域生态建设作出典范。</w:t>
      </w:r>
    </w:p>
    <w:p>
      <w:pPr>
        <w:pStyle w:val="7"/>
        <w:rPr>
          <w:rFonts w:eastAsia="黑体"/>
          <w:color w:val="auto"/>
          <w:sz w:val="32"/>
        </w:rPr>
      </w:pPr>
      <w:bookmarkStart w:id="223" w:name="_Toc29426"/>
      <w:r>
        <w:rPr>
          <w:rFonts w:eastAsia="黑体"/>
          <w:color w:val="auto"/>
          <w:sz w:val="32"/>
        </w:rPr>
        <w:t>环保措施及投资估算</w:t>
      </w:r>
      <w:bookmarkEnd w:id="223"/>
    </w:p>
    <w:p>
      <w:pPr>
        <w:ind w:firstLine="480"/>
        <w:rPr>
          <w:color w:val="auto"/>
        </w:rPr>
      </w:pPr>
      <w:r>
        <w:rPr>
          <w:color w:val="auto"/>
        </w:rPr>
        <w:t>本项目总投资为</w:t>
      </w:r>
      <w:r>
        <w:rPr>
          <w:rFonts w:hint="eastAsia"/>
          <w:color w:val="auto"/>
          <w:lang w:val="en-US" w:eastAsia="zh-CN"/>
        </w:rPr>
        <w:t>4600</w:t>
      </w:r>
      <w:r>
        <w:rPr>
          <w:color w:val="auto"/>
        </w:rPr>
        <w:t>万元，其中环保投资</w:t>
      </w:r>
      <w:r>
        <w:rPr>
          <w:rFonts w:hint="default"/>
          <w:color w:val="auto"/>
        </w:rPr>
        <w:fldChar w:fldCharType="begin"/>
      </w:r>
      <w:r>
        <w:rPr>
          <w:rFonts w:hint="default"/>
          <w:color w:val="auto"/>
        </w:rPr>
        <w:instrText xml:space="preserve"> = SUM（ABOVE） \* MERGEFORMAT </w:instrText>
      </w:r>
      <w:r>
        <w:rPr>
          <w:rFonts w:hint="default"/>
          <w:color w:val="auto"/>
        </w:rPr>
        <w:fldChar w:fldCharType="separate"/>
      </w:r>
      <w:r>
        <w:rPr>
          <w:rFonts w:hint="default"/>
          <w:color w:val="auto"/>
        </w:rPr>
        <w:t>446.2</w:t>
      </w:r>
      <w:r>
        <w:rPr>
          <w:rFonts w:hint="default"/>
          <w:color w:val="auto"/>
        </w:rPr>
        <w:fldChar w:fldCharType="end"/>
      </w:r>
      <w:r>
        <w:rPr>
          <w:color w:val="auto"/>
        </w:rPr>
        <w:t>万元，占工程总投资的</w:t>
      </w:r>
      <w:r>
        <w:rPr>
          <w:rFonts w:hint="eastAsia"/>
          <w:color w:val="auto"/>
          <w:lang w:val="en-US" w:eastAsia="zh-CN"/>
        </w:rPr>
        <w:t>9.7</w:t>
      </w:r>
      <w:r>
        <w:rPr>
          <w:color w:val="auto"/>
        </w:rPr>
        <w:t>%。从环保投资的分配来看，本项目环保投资着重于废</w:t>
      </w:r>
      <w:r>
        <w:rPr>
          <w:rFonts w:hint="eastAsia"/>
          <w:color w:val="auto"/>
        </w:rPr>
        <w:t>水</w:t>
      </w:r>
      <w:r>
        <w:rPr>
          <w:color w:val="auto"/>
        </w:rPr>
        <w:t>的治理</w:t>
      </w:r>
      <w:r>
        <w:rPr>
          <w:rFonts w:hint="eastAsia"/>
          <w:color w:val="auto"/>
        </w:rPr>
        <w:t>和固体</w:t>
      </w:r>
      <w:r>
        <w:rPr>
          <w:color w:val="auto"/>
        </w:rPr>
        <w:t>废物的处置，以实现废水的达标排放及</w:t>
      </w:r>
      <w:r>
        <w:rPr>
          <w:rFonts w:hint="eastAsia"/>
          <w:color w:val="auto"/>
        </w:rPr>
        <w:t>固体</w:t>
      </w:r>
      <w:r>
        <w:rPr>
          <w:color w:val="auto"/>
        </w:rPr>
        <w:t>废物的妥善处置，其环保投资及建设内容合理、可行。项目环保措施及投资估算一览表见表7.3-1。</w:t>
      </w:r>
    </w:p>
    <w:p>
      <w:pPr>
        <w:pStyle w:val="166"/>
        <w:spacing w:before="120" w:beforeLines="0"/>
        <w:ind w:firstLine="480"/>
        <w:rPr>
          <w:rFonts w:hint="eastAsia"/>
          <w:color w:val="auto"/>
        </w:rPr>
      </w:pPr>
      <w:r>
        <w:rPr>
          <w:color w:val="auto"/>
        </w:rPr>
        <w:t>表7.3-1</w:t>
      </w:r>
      <w:r>
        <w:rPr>
          <w:rFonts w:hint="eastAsia"/>
          <w:color w:val="auto"/>
          <w:lang w:val="en-US" w:eastAsia="zh-CN"/>
        </w:rPr>
        <w:t xml:space="preserve"> </w:t>
      </w:r>
      <w:r>
        <w:rPr>
          <w:color w:val="auto"/>
        </w:rPr>
        <w:t>项目环保措施及投资估算一览表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703"/>
        <w:gridCol w:w="880"/>
        <w:gridCol w:w="1361"/>
        <w:gridCol w:w="1700"/>
        <w:gridCol w:w="3124"/>
        <w:gridCol w:w="123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703" w:type="dxa"/>
            <w:noWrap w:val="0"/>
            <w:vAlign w:val="center"/>
          </w:tcPr>
          <w:p>
            <w:pPr>
              <w:pStyle w:val="274"/>
              <w:spacing w:line="240" w:lineRule="auto"/>
              <w:rPr>
                <w:b/>
                <w:color w:val="auto"/>
              </w:rPr>
            </w:pPr>
            <w:r>
              <w:rPr>
                <w:b/>
                <w:color w:val="auto"/>
              </w:rPr>
              <w:t>时段</w:t>
            </w:r>
          </w:p>
        </w:tc>
        <w:tc>
          <w:tcPr>
            <w:tcW w:w="2241" w:type="dxa"/>
            <w:gridSpan w:val="2"/>
            <w:noWrap w:val="0"/>
            <w:vAlign w:val="center"/>
          </w:tcPr>
          <w:p>
            <w:pPr>
              <w:pStyle w:val="274"/>
              <w:spacing w:line="240" w:lineRule="auto"/>
              <w:rPr>
                <w:b/>
                <w:color w:val="auto"/>
              </w:rPr>
            </w:pPr>
            <w:r>
              <w:rPr>
                <w:b/>
                <w:color w:val="auto"/>
              </w:rPr>
              <w:t>项目</w:t>
            </w:r>
          </w:p>
        </w:tc>
        <w:tc>
          <w:tcPr>
            <w:tcW w:w="4824" w:type="dxa"/>
            <w:gridSpan w:val="2"/>
            <w:noWrap w:val="0"/>
            <w:vAlign w:val="center"/>
          </w:tcPr>
          <w:p>
            <w:pPr>
              <w:pStyle w:val="274"/>
              <w:spacing w:line="240" w:lineRule="auto"/>
              <w:rPr>
                <w:b/>
                <w:color w:val="auto"/>
              </w:rPr>
            </w:pPr>
            <w:r>
              <w:rPr>
                <w:rFonts w:hint="eastAsia"/>
                <w:b/>
                <w:color w:val="auto"/>
              </w:rPr>
              <w:t>环保</w:t>
            </w:r>
            <w:r>
              <w:rPr>
                <w:b/>
                <w:color w:val="auto"/>
              </w:rPr>
              <w:t>措施</w:t>
            </w:r>
          </w:p>
        </w:tc>
        <w:tc>
          <w:tcPr>
            <w:tcW w:w="1235" w:type="dxa"/>
            <w:noWrap w:val="0"/>
            <w:vAlign w:val="center"/>
          </w:tcPr>
          <w:p>
            <w:pPr>
              <w:pStyle w:val="274"/>
              <w:spacing w:line="240" w:lineRule="auto"/>
              <w:rPr>
                <w:b/>
                <w:color w:val="auto"/>
              </w:rPr>
            </w:pPr>
            <w:r>
              <w:rPr>
                <w:b/>
                <w:color w:val="auto"/>
              </w:rPr>
              <w:t>投资估算</w:t>
            </w:r>
          </w:p>
          <w:p>
            <w:pPr>
              <w:pStyle w:val="274"/>
              <w:spacing w:line="240" w:lineRule="auto"/>
              <w:rPr>
                <w:b/>
                <w:color w:val="auto"/>
              </w:rPr>
            </w:pPr>
            <w:r>
              <w:rPr>
                <w:b/>
                <w:color w:val="auto"/>
              </w:rPr>
              <w:t>（万元）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restart"/>
            <w:noWrap w:val="0"/>
            <w:vAlign w:val="center"/>
          </w:tcPr>
          <w:p>
            <w:pPr>
              <w:pStyle w:val="274"/>
              <w:spacing w:line="240" w:lineRule="auto"/>
              <w:rPr>
                <w:color w:val="auto"/>
              </w:rPr>
            </w:pPr>
            <w:r>
              <w:rPr>
                <w:color w:val="auto"/>
              </w:rPr>
              <w:t>施工期</w:t>
            </w:r>
          </w:p>
        </w:tc>
        <w:tc>
          <w:tcPr>
            <w:tcW w:w="2241" w:type="dxa"/>
            <w:gridSpan w:val="2"/>
            <w:vMerge w:val="restart"/>
            <w:noWrap w:val="0"/>
            <w:vAlign w:val="center"/>
          </w:tcPr>
          <w:p>
            <w:pPr>
              <w:pStyle w:val="274"/>
              <w:spacing w:line="240" w:lineRule="auto"/>
              <w:rPr>
                <w:color w:val="auto"/>
              </w:rPr>
            </w:pPr>
            <w:r>
              <w:rPr>
                <w:color w:val="auto"/>
              </w:rPr>
              <w:t>废水治理</w:t>
            </w:r>
          </w:p>
        </w:tc>
        <w:tc>
          <w:tcPr>
            <w:tcW w:w="4824" w:type="dxa"/>
            <w:gridSpan w:val="2"/>
            <w:noWrap w:val="0"/>
            <w:vAlign w:val="center"/>
          </w:tcPr>
          <w:p>
            <w:pPr>
              <w:pStyle w:val="274"/>
              <w:spacing w:line="240" w:lineRule="auto"/>
              <w:jc w:val="both"/>
              <w:rPr>
                <w:color w:val="auto"/>
              </w:rPr>
            </w:pPr>
            <w:r>
              <w:rPr>
                <w:rFonts w:hint="eastAsia"/>
                <w:color w:val="auto"/>
              </w:rPr>
              <w:t>生活污水</w:t>
            </w:r>
            <w:r>
              <w:rPr>
                <w:rFonts w:hint="eastAsia"/>
                <w:color w:val="auto"/>
                <w:lang w:eastAsia="zh-CN"/>
              </w:rPr>
              <w:t>：</w:t>
            </w:r>
            <w:r>
              <w:rPr>
                <w:rFonts w:hint="eastAsia"/>
                <w:color w:val="auto"/>
              </w:rPr>
              <w:t>通过</w:t>
            </w:r>
            <w:r>
              <w:rPr>
                <w:rFonts w:hint="eastAsia"/>
                <w:color w:val="auto"/>
                <w:sz w:val="21"/>
                <w:szCs w:val="21"/>
                <w:lang w:val="en-US" w:eastAsia="zh-CN"/>
              </w:rPr>
              <w:t>厂区污水处理站</w:t>
            </w:r>
            <w:r>
              <w:rPr>
                <w:color w:val="auto"/>
                <w:sz w:val="21"/>
                <w:szCs w:val="21"/>
              </w:rPr>
              <w:t>收集处理后</w:t>
            </w:r>
            <w:r>
              <w:rPr>
                <w:rFonts w:hint="eastAsia"/>
                <w:color w:val="auto"/>
                <w:sz w:val="21"/>
                <w:szCs w:val="21"/>
                <w:lang w:eastAsia="zh-CN"/>
              </w:rPr>
              <w:t>回用于农田</w:t>
            </w:r>
            <w:r>
              <w:rPr>
                <w:rFonts w:hint="eastAsia"/>
                <w:color w:val="auto"/>
                <w:sz w:val="21"/>
                <w:szCs w:val="21"/>
                <w:lang w:val="en-US" w:eastAsia="zh-CN"/>
              </w:rPr>
              <w:t>施肥</w:t>
            </w:r>
            <w:r>
              <w:rPr>
                <w:rFonts w:hint="eastAsia"/>
                <w:color w:val="auto"/>
              </w:rPr>
              <w:t>，不外排</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0.2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continue"/>
            <w:noWrap w:val="0"/>
            <w:vAlign w:val="center"/>
          </w:tcPr>
          <w:p>
            <w:pPr>
              <w:pStyle w:val="274"/>
              <w:spacing w:line="240" w:lineRule="auto"/>
              <w:rPr>
                <w:color w:val="auto"/>
              </w:rPr>
            </w:pPr>
          </w:p>
        </w:tc>
        <w:tc>
          <w:tcPr>
            <w:tcW w:w="4824" w:type="dxa"/>
            <w:gridSpan w:val="2"/>
            <w:noWrap w:val="0"/>
            <w:vAlign w:val="center"/>
          </w:tcPr>
          <w:p>
            <w:pPr>
              <w:pStyle w:val="274"/>
              <w:spacing w:line="240" w:lineRule="auto"/>
              <w:jc w:val="both"/>
              <w:rPr>
                <w:rFonts w:hint="eastAsia"/>
                <w:color w:val="auto"/>
              </w:rPr>
            </w:pPr>
            <w:r>
              <w:rPr>
                <w:color w:val="auto"/>
              </w:rPr>
              <w:t>施工废水</w:t>
            </w:r>
            <w:r>
              <w:rPr>
                <w:rFonts w:hint="eastAsia"/>
                <w:color w:val="auto"/>
                <w:lang w:eastAsia="zh-CN"/>
              </w:rPr>
              <w:t>：</w:t>
            </w:r>
            <w:r>
              <w:rPr>
                <w:color w:val="auto"/>
              </w:rPr>
              <w:t>设置隔油池、沉淀池处理后回用，不外排</w:t>
            </w:r>
          </w:p>
        </w:tc>
        <w:tc>
          <w:tcPr>
            <w:tcW w:w="1235" w:type="dxa"/>
            <w:noWrap w:val="0"/>
            <w:vAlign w:val="center"/>
          </w:tcPr>
          <w:p>
            <w:pPr>
              <w:pStyle w:val="274"/>
              <w:spacing w:line="240" w:lineRule="auto"/>
              <w:rPr>
                <w:color w:val="auto"/>
              </w:rPr>
            </w:pPr>
            <w:r>
              <w:rPr>
                <w:color w:val="auto"/>
              </w:rPr>
              <w:t>1.8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restart"/>
            <w:noWrap w:val="0"/>
            <w:vAlign w:val="center"/>
          </w:tcPr>
          <w:p>
            <w:pPr>
              <w:pStyle w:val="274"/>
              <w:spacing w:line="240" w:lineRule="auto"/>
              <w:rPr>
                <w:color w:val="auto"/>
              </w:rPr>
            </w:pPr>
            <w:r>
              <w:rPr>
                <w:color w:val="auto"/>
              </w:rPr>
              <w:t>废气治理</w:t>
            </w:r>
          </w:p>
        </w:tc>
        <w:tc>
          <w:tcPr>
            <w:tcW w:w="4824" w:type="dxa"/>
            <w:gridSpan w:val="2"/>
            <w:noWrap w:val="0"/>
            <w:vAlign w:val="center"/>
          </w:tcPr>
          <w:p>
            <w:pPr>
              <w:pStyle w:val="274"/>
              <w:spacing w:line="240" w:lineRule="auto"/>
              <w:jc w:val="left"/>
              <w:rPr>
                <w:rFonts w:hint="eastAsia" w:eastAsia="宋体"/>
                <w:color w:val="auto"/>
                <w:lang w:eastAsia="zh-CN"/>
              </w:rPr>
            </w:pPr>
            <w:r>
              <w:rPr>
                <w:color w:val="auto"/>
                <w:sz w:val="21"/>
                <w:szCs w:val="21"/>
              </w:rPr>
              <w:t>扬尘</w:t>
            </w:r>
            <w:r>
              <w:rPr>
                <w:rFonts w:hint="eastAsia"/>
                <w:color w:val="auto"/>
                <w:sz w:val="21"/>
                <w:szCs w:val="21"/>
                <w:lang w:eastAsia="zh-CN"/>
              </w:rPr>
              <w:t>：</w:t>
            </w:r>
            <w:r>
              <w:rPr>
                <w:color w:val="auto"/>
              </w:rPr>
              <w:t>洒水降尘</w:t>
            </w:r>
            <w:r>
              <w:rPr>
                <w:rFonts w:hint="eastAsia"/>
                <w:color w:val="auto"/>
                <w:lang w:eastAsia="zh-CN"/>
              </w:rPr>
              <w:t>、</w:t>
            </w:r>
            <w:r>
              <w:rPr>
                <w:color w:val="auto"/>
                <w:sz w:val="21"/>
                <w:szCs w:val="21"/>
              </w:rPr>
              <w:t>设置围挡、加强管理</w:t>
            </w:r>
          </w:p>
        </w:tc>
        <w:tc>
          <w:tcPr>
            <w:tcW w:w="1235" w:type="dxa"/>
            <w:noWrap w:val="0"/>
            <w:vAlign w:val="center"/>
          </w:tcPr>
          <w:p>
            <w:pPr>
              <w:pStyle w:val="274"/>
              <w:spacing w:line="240" w:lineRule="auto"/>
              <w:rPr>
                <w:color w:val="auto"/>
              </w:rPr>
            </w:pPr>
            <w:r>
              <w:rPr>
                <w:color w:val="auto"/>
              </w:rPr>
              <w:t>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continue"/>
            <w:noWrap w:val="0"/>
            <w:vAlign w:val="center"/>
          </w:tcPr>
          <w:p>
            <w:pPr>
              <w:pStyle w:val="274"/>
              <w:spacing w:line="240" w:lineRule="auto"/>
              <w:rPr>
                <w:color w:val="auto"/>
              </w:rPr>
            </w:pPr>
          </w:p>
        </w:tc>
        <w:tc>
          <w:tcPr>
            <w:tcW w:w="4824" w:type="dxa"/>
            <w:gridSpan w:val="2"/>
            <w:noWrap w:val="0"/>
            <w:vAlign w:val="center"/>
          </w:tcPr>
          <w:p>
            <w:pPr>
              <w:pStyle w:val="274"/>
              <w:spacing w:line="240" w:lineRule="auto"/>
              <w:jc w:val="left"/>
              <w:rPr>
                <w:rFonts w:hint="eastAsia" w:eastAsia="宋体"/>
                <w:color w:val="auto"/>
                <w:lang w:eastAsia="zh-CN"/>
              </w:rPr>
            </w:pPr>
            <w:r>
              <w:rPr>
                <w:rFonts w:hint="eastAsia"/>
                <w:color w:val="auto"/>
                <w:sz w:val="21"/>
                <w:szCs w:val="21"/>
              </w:rPr>
              <w:t>机械废气</w:t>
            </w:r>
            <w:r>
              <w:rPr>
                <w:rFonts w:hint="eastAsia"/>
                <w:color w:val="auto"/>
                <w:sz w:val="21"/>
                <w:szCs w:val="21"/>
                <w:lang w:eastAsia="zh-CN"/>
              </w:rPr>
              <w:t>：</w:t>
            </w:r>
            <w:r>
              <w:rPr>
                <w:rFonts w:hint="eastAsia"/>
                <w:color w:val="auto"/>
                <w:sz w:val="21"/>
                <w:szCs w:val="21"/>
              </w:rPr>
              <w:t>施工场地开阔，扩散条件良好</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continue"/>
            <w:noWrap w:val="0"/>
            <w:vAlign w:val="center"/>
          </w:tcPr>
          <w:p>
            <w:pPr>
              <w:pStyle w:val="274"/>
              <w:spacing w:line="240" w:lineRule="auto"/>
              <w:rPr>
                <w:color w:val="auto"/>
              </w:rPr>
            </w:pPr>
          </w:p>
        </w:tc>
        <w:tc>
          <w:tcPr>
            <w:tcW w:w="4824" w:type="dxa"/>
            <w:gridSpan w:val="2"/>
            <w:noWrap w:val="0"/>
            <w:vAlign w:val="center"/>
          </w:tcPr>
          <w:p>
            <w:pPr>
              <w:pStyle w:val="274"/>
              <w:spacing w:line="240" w:lineRule="auto"/>
              <w:jc w:val="left"/>
              <w:rPr>
                <w:rFonts w:hint="eastAsia" w:eastAsia="宋体"/>
                <w:color w:val="auto"/>
                <w:lang w:eastAsia="zh-CN"/>
              </w:rPr>
            </w:pPr>
            <w:r>
              <w:rPr>
                <w:rFonts w:hint="eastAsia"/>
                <w:color w:val="auto"/>
                <w:sz w:val="21"/>
                <w:szCs w:val="21"/>
              </w:rPr>
              <w:t>装修废气</w:t>
            </w:r>
            <w:r>
              <w:rPr>
                <w:rFonts w:hint="eastAsia"/>
                <w:color w:val="auto"/>
                <w:sz w:val="21"/>
                <w:szCs w:val="21"/>
                <w:lang w:eastAsia="zh-CN"/>
              </w:rPr>
              <w:t>：</w:t>
            </w:r>
            <w:r>
              <w:rPr>
                <w:rFonts w:hint="eastAsia"/>
                <w:color w:val="auto"/>
                <w:sz w:val="21"/>
                <w:szCs w:val="21"/>
              </w:rPr>
              <w:t xml:space="preserve">选用环保型装修材料，加强通风换气 </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0.5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restart"/>
            <w:noWrap w:val="0"/>
            <w:vAlign w:val="center"/>
          </w:tcPr>
          <w:p>
            <w:pPr>
              <w:pStyle w:val="274"/>
              <w:spacing w:line="240" w:lineRule="auto"/>
              <w:rPr>
                <w:color w:val="auto"/>
              </w:rPr>
            </w:pPr>
            <w:r>
              <w:rPr>
                <w:color w:val="auto"/>
              </w:rPr>
              <w:t>固体废物</w:t>
            </w:r>
          </w:p>
        </w:tc>
        <w:tc>
          <w:tcPr>
            <w:tcW w:w="4824" w:type="dxa"/>
            <w:gridSpan w:val="2"/>
            <w:noWrap w:val="0"/>
            <w:vAlign w:val="center"/>
          </w:tcPr>
          <w:p>
            <w:pPr>
              <w:pStyle w:val="274"/>
              <w:spacing w:line="240" w:lineRule="auto"/>
              <w:jc w:val="both"/>
              <w:rPr>
                <w:color w:val="auto"/>
              </w:rPr>
            </w:pPr>
            <w:r>
              <w:rPr>
                <w:color w:val="auto"/>
                <w:sz w:val="21"/>
                <w:szCs w:val="21"/>
              </w:rPr>
              <w:t>生活垃圾</w:t>
            </w:r>
            <w:r>
              <w:rPr>
                <w:rFonts w:hint="eastAsia"/>
                <w:color w:val="auto"/>
                <w:sz w:val="21"/>
                <w:szCs w:val="21"/>
                <w:lang w:eastAsia="zh-CN"/>
              </w:rPr>
              <w:t>：</w:t>
            </w:r>
            <w:r>
              <w:rPr>
                <w:color w:val="auto"/>
                <w:sz w:val="21"/>
                <w:szCs w:val="21"/>
              </w:rPr>
              <w:t>交由环卫部门统一收集清运</w:t>
            </w:r>
          </w:p>
        </w:tc>
        <w:tc>
          <w:tcPr>
            <w:tcW w:w="1235" w:type="dxa"/>
            <w:noWrap w:val="0"/>
            <w:vAlign w:val="center"/>
          </w:tcPr>
          <w:p>
            <w:pPr>
              <w:pStyle w:val="274"/>
              <w:spacing w:line="240" w:lineRule="auto"/>
              <w:rPr>
                <w:rFonts w:hint="default" w:eastAsia="宋体"/>
                <w:color w:val="auto"/>
                <w:lang w:val="en-US" w:eastAsia="zh-CN"/>
              </w:rPr>
            </w:pPr>
            <w:r>
              <w:rPr>
                <w:color w:val="auto"/>
              </w:rPr>
              <w:t>1</w:t>
            </w:r>
            <w:r>
              <w:rPr>
                <w:rFonts w:hint="eastAsia"/>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continue"/>
            <w:noWrap w:val="0"/>
            <w:vAlign w:val="center"/>
          </w:tcPr>
          <w:p>
            <w:pPr>
              <w:pStyle w:val="274"/>
              <w:spacing w:line="240" w:lineRule="auto"/>
              <w:rPr>
                <w:color w:val="auto"/>
              </w:rPr>
            </w:pPr>
          </w:p>
        </w:tc>
        <w:tc>
          <w:tcPr>
            <w:tcW w:w="4824" w:type="dxa"/>
            <w:gridSpan w:val="2"/>
            <w:noWrap w:val="0"/>
            <w:vAlign w:val="center"/>
          </w:tcPr>
          <w:p>
            <w:pPr>
              <w:pStyle w:val="274"/>
              <w:spacing w:line="240" w:lineRule="auto"/>
              <w:jc w:val="both"/>
              <w:rPr>
                <w:rFonts w:hint="eastAsia" w:eastAsia="宋体"/>
                <w:color w:val="auto"/>
                <w:lang w:eastAsia="zh-CN"/>
              </w:rPr>
            </w:pPr>
            <w:r>
              <w:rPr>
                <w:color w:val="auto"/>
                <w:sz w:val="21"/>
                <w:szCs w:val="21"/>
              </w:rPr>
              <w:t>开挖弃土方</w:t>
            </w:r>
            <w:r>
              <w:rPr>
                <w:rFonts w:hint="eastAsia"/>
                <w:color w:val="auto"/>
                <w:sz w:val="21"/>
                <w:szCs w:val="21"/>
                <w:lang w:eastAsia="zh-CN"/>
              </w:rPr>
              <w:t>：</w:t>
            </w:r>
            <w:r>
              <w:rPr>
                <w:color w:val="auto"/>
                <w:sz w:val="21"/>
                <w:szCs w:val="21"/>
              </w:rPr>
              <w:t>绿化覆土</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vMerge w:val="continue"/>
            <w:noWrap w:val="0"/>
            <w:vAlign w:val="center"/>
          </w:tcPr>
          <w:p>
            <w:pPr>
              <w:pStyle w:val="274"/>
              <w:spacing w:line="240" w:lineRule="auto"/>
              <w:rPr>
                <w:color w:val="auto"/>
              </w:rPr>
            </w:pPr>
          </w:p>
        </w:tc>
        <w:tc>
          <w:tcPr>
            <w:tcW w:w="4824" w:type="dxa"/>
            <w:gridSpan w:val="2"/>
            <w:noWrap w:val="0"/>
            <w:vAlign w:val="center"/>
          </w:tcPr>
          <w:p>
            <w:pPr>
              <w:pStyle w:val="274"/>
              <w:spacing w:line="240" w:lineRule="auto"/>
              <w:jc w:val="both"/>
              <w:rPr>
                <w:color w:val="auto"/>
              </w:rPr>
            </w:pPr>
            <w:r>
              <w:rPr>
                <w:rFonts w:hint="eastAsia"/>
                <w:color w:val="auto"/>
              </w:rPr>
              <w:t>建筑垃圾</w:t>
            </w:r>
            <w:r>
              <w:rPr>
                <w:rFonts w:hint="eastAsia"/>
                <w:color w:val="auto"/>
                <w:lang w:eastAsia="zh-CN"/>
              </w:rPr>
              <w:t>：</w:t>
            </w:r>
            <w:r>
              <w:rPr>
                <w:color w:val="auto"/>
                <w:sz w:val="21"/>
                <w:szCs w:val="21"/>
              </w:rPr>
              <w:t>外运至城建部门制定地点堆放</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noWrap w:val="0"/>
            <w:vAlign w:val="center"/>
          </w:tcPr>
          <w:p>
            <w:pPr>
              <w:pStyle w:val="274"/>
              <w:spacing w:line="240" w:lineRule="auto"/>
              <w:rPr>
                <w:color w:val="auto"/>
              </w:rPr>
            </w:pPr>
            <w:r>
              <w:rPr>
                <w:color w:val="auto"/>
              </w:rPr>
              <w:t>噪声控制</w:t>
            </w:r>
          </w:p>
        </w:tc>
        <w:tc>
          <w:tcPr>
            <w:tcW w:w="4824" w:type="dxa"/>
            <w:gridSpan w:val="2"/>
            <w:noWrap w:val="0"/>
            <w:vAlign w:val="center"/>
          </w:tcPr>
          <w:p>
            <w:pPr>
              <w:pStyle w:val="274"/>
              <w:spacing w:line="240" w:lineRule="auto"/>
              <w:jc w:val="both"/>
              <w:rPr>
                <w:color w:val="auto"/>
              </w:rPr>
            </w:pPr>
            <w:r>
              <w:rPr>
                <w:color w:val="auto"/>
                <w:sz w:val="21"/>
                <w:szCs w:val="21"/>
              </w:rPr>
              <w:t>合理布设高噪声设备、设置施工围挡、合 理安排施工时间</w:t>
            </w:r>
          </w:p>
        </w:tc>
        <w:tc>
          <w:tcPr>
            <w:tcW w:w="1235" w:type="dxa"/>
            <w:noWrap w:val="0"/>
            <w:vAlign w:val="center"/>
          </w:tcPr>
          <w:p>
            <w:pPr>
              <w:pStyle w:val="274"/>
              <w:spacing w:line="240" w:lineRule="auto"/>
              <w:rPr>
                <w:color w:val="auto"/>
              </w:rPr>
            </w:pPr>
            <w:r>
              <w:rPr>
                <w:color w:val="auto"/>
              </w:rPr>
              <w:t>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2241" w:type="dxa"/>
            <w:gridSpan w:val="2"/>
            <w:noWrap w:val="0"/>
            <w:vAlign w:val="center"/>
          </w:tcPr>
          <w:p>
            <w:pPr>
              <w:pStyle w:val="274"/>
              <w:spacing w:line="240" w:lineRule="auto"/>
              <w:rPr>
                <w:color w:val="auto"/>
              </w:rPr>
            </w:pPr>
            <w:r>
              <w:rPr>
                <w:color w:val="auto"/>
              </w:rPr>
              <w:t>生态保护</w:t>
            </w:r>
          </w:p>
        </w:tc>
        <w:tc>
          <w:tcPr>
            <w:tcW w:w="4824" w:type="dxa"/>
            <w:gridSpan w:val="2"/>
            <w:noWrap w:val="0"/>
            <w:vAlign w:val="center"/>
          </w:tcPr>
          <w:p>
            <w:pPr>
              <w:pStyle w:val="274"/>
              <w:spacing w:line="240" w:lineRule="auto"/>
              <w:jc w:val="both"/>
              <w:rPr>
                <w:color w:val="auto"/>
              </w:rPr>
            </w:pPr>
            <w:r>
              <w:rPr>
                <w:rFonts w:hint="eastAsia"/>
                <w:color w:val="auto"/>
              </w:rPr>
              <w:t>水土保持工程措施+植物措施+临时措施（基坑边坡水泥砂浆护面、雨水沟沉淀池、土石方堆体周边截水沟）</w:t>
            </w:r>
          </w:p>
        </w:tc>
        <w:tc>
          <w:tcPr>
            <w:tcW w:w="1235" w:type="dxa"/>
            <w:noWrap w:val="0"/>
            <w:vAlign w:val="center"/>
          </w:tcPr>
          <w:p>
            <w:pPr>
              <w:pStyle w:val="274"/>
              <w:spacing w:line="240" w:lineRule="auto"/>
              <w:rPr>
                <w:color w:val="auto"/>
              </w:rPr>
            </w:pPr>
            <w:r>
              <w:rPr>
                <w:color w:val="auto"/>
              </w:rPr>
              <w:t>16.0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restart"/>
            <w:noWrap w:val="0"/>
            <w:vAlign w:val="center"/>
          </w:tcPr>
          <w:p>
            <w:pPr>
              <w:pStyle w:val="274"/>
              <w:spacing w:line="240" w:lineRule="auto"/>
              <w:rPr>
                <w:color w:val="auto"/>
              </w:rPr>
            </w:pPr>
            <w:r>
              <w:rPr>
                <w:color w:val="auto"/>
              </w:rPr>
              <w:t>运营期</w:t>
            </w:r>
          </w:p>
        </w:tc>
        <w:tc>
          <w:tcPr>
            <w:tcW w:w="880" w:type="dxa"/>
            <w:noWrap w:val="0"/>
            <w:vAlign w:val="center"/>
          </w:tcPr>
          <w:p>
            <w:pPr>
              <w:pStyle w:val="274"/>
              <w:spacing w:line="240" w:lineRule="auto"/>
              <w:rPr>
                <w:color w:val="auto"/>
              </w:rPr>
            </w:pPr>
            <w:r>
              <w:rPr>
                <w:color w:val="auto"/>
              </w:rPr>
              <w:t>废水</w:t>
            </w:r>
          </w:p>
          <w:p>
            <w:pPr>
              <w:pStyle w:val="274"/>
              <w:spacing w:line="240" w:lineRule="auto"/>
              <w:rPr>
                <w:color w:val="auto"/>
              </w:rPr>
            </w:pPr>
            <w:r>
              <w:rPr>
                <w:color w:val="auto"/>
              </w:rPr>
              <w:t>治理</w:t>
            </w:r>
          </w:p>
        </w:tc>
        <w:tc>
          <w:tcPr>
            <w:tcW w:w="1361" w:type="dxa"/>
            <w:noWrap w:val="0"/>
            <w:vAlign w:val="center"/>
          </w:tcPr>
          <w:p>
            <w:pPr>
              <w:pStyle w:val="274"/>
              <w:spacing w:line="240" w:lineRule="auto"/>
              <w:rPr>
                <w:color w:val="auto"/>
              </w:rPr>
            </w:pPr>
            <w:r>
              <w:rPr>
                <w:color w:val="auto"/>
              </w:rPr>
              <w:t>养殖废水</w:t>
            </w:r>
            <w:r>
              <w:rPr>
                <w:rFonts w:hint="eastAsia"/>
                <w:color w:val="auto"/>
              </w:rPr>
              <w:t>+</w:t>
            </w:r>
            <w:r>
              <w:rPr>
                <w:color w:val="auto"/>
              </w:rPr>
              <w:t>生活污水+</w:t>
            </w:r>
            <w:r>
              <w:rPr>
                <w:rFonts w:hint="eastAsia"/>
                <w:color w:val="auto"/>
              </w:rPr>
              <w:t>食堂</w:t>
            </w:r>
            <w:r>
              <w:rPr>
                <w:color w:val="auto"/>
              </w:rPr>
              <w:t>废水</w:t>
            </w:r>
          </w:p>
        </w:tc>
        <w:tc>
          <w:tcPr>
            <w:tcW w:w="4824" w:type="dxa"/>
            <w:gridSpan w:val="2"/>
            <w:noWrap w:val="0"/>
            <w:vAlign w:val="center"/>
          </w:tcPr>
          <w:p>
            <w:pPr>
              <w:pStyle w:val="274"/>
              <w:spacing w:line="240" w:lineRule="auto"/>
              <w:rPr>
                <w:color w:val="auto"/>
              </w:rPr>
            </w:pPr>
            <w:r>
              <w:rPr>
                <w:rFonts w:hint="eastAsia"/>
                <w:color w:val="auto"/>
              </w:rPr>
              <w:t>食堂废水通过1座隔油池（0</w:t>
            </w:r>
            <w:r>
              <w:rPr>
                <w:color w:val="auto"/>
              </w:rPr>
              <w:t>.5</w:t>
            </w:r>
            <w:r>
              <w:rPr>
                <w:rFonts w:hint="eastAsia"/>
                <w:color w:val="auto"/>
              </w:rPr>
              <w:t>m</w:t>
            </w:r>
            <w:r>
              <w:rPr>
                <w:color w:val="auto"/>
                <w:vertAlign w:val="superscript"/>
              </w:rPr>
              <w:t>3</w:t>
            </w:r>
            <w:r>
              <w:rPr>
                <w:color w:val="auto"/>
              </w:rPr>
              <w:t>/</w:t>
            </w:r>
            <w:r>
              <w:rPr>
                <w:rFonts w:hint="eastAsia"/>
                <w:color w:val="auto"/>
              </w:rPr>
              <w:t>d）隔油后和生活污水、养殖废水全部收集进入污水收集池（</w:t>
            </w:r>
            <w:r>
              <w:rPr>
                <w:rFonts w:hint="eastAsia"/>
                <w:color w:val="auto"/>
                <w:lang w:val="en-US" w:eastAsia="zh-CN"/>
              </w:rPr>
              <w:t>2个，</w:t>
            </w:r>
            <w:r>
              <w:rPr>
                <w:rFonts w:hint="eastAsia"/>
                <w:color w:val="auto"/>
                <w:sz w:val="21"/>
                <w:szCs w:val="21"/>
                <w:lang w:val="en-US" w:eastAsia="zh-CN"/>
              </w:rPr>
              <w:t>容积约565m</w:t>
            </w:r>
            <w:r>
              <w:rPr>
                <w:rFonts w:hint="eastAsia"/>
                <w:color w:val="auto"/>
                <w:sz w:val="21"/>
                <w:szCs w:val="21"/>
                <w:vertAlign w:val="superscript"/>
                <w:lang w:val="en-US" w:eastAsia="zh-CN"/>
              </w:rPr>
              <w:t>3</w:t>
            </w:r>
            <w:r>
              <w:rPr>
                <w:rFonts w:hint="eastAsia"/>
                <w:color w:val="auto"/>
                <w:sz w:val="21"/>
                <w:szCs w:val="21"/>
                <w:lang w:val="en-US" w:eastAsia="zh-CN"/>
              </w:rPr>
              <w:t>/个</w:t>
            </w:r>
            <w:r>
              <w:rPr>
                <w:rFonts w:hint="eastAsia"/>
                <w:color w:val="auto"/>
              </w:rPr>
              <w:t>），通过固液分离之后，通过管道送至厂内污水治理区，经过全封闭厌氧塘（黑膜沼气池，</w:t>
            </w:r>
            <w:r>
              <w:rPr>
                <w:rFonts w:hint="eastAsia"/>
                <w:color w:val="auto"/>
                <w:lang w:val="en-US" w:eastAsia="zh-CN"/>
              </w:rPr>
              <w:t>15</w:t>
            </w:r>
            <w:r>
              <w:rPr>
                <w:color w:val="auto"/>
              </w:rPr>
              <w:t>00</w:t>
            </w:r>
            <w:r>
              <w:rPr>
                <w:rFonts w:hint="eastAsia"/>
                <w:color w:val="auto"/>
              </w:rPr>
              <w:t>m</w:t>
            </w:r>
            <w:r>
              <w:rPr>
                <w:color w:val="auto"/>
                <w:vertAlign w:val="superscript"/>
              </w:rPr>
              <w:t>3</w:t>
            </w:r>
            <w:r>
              <w:rPr>
                <w:rFonts w:hint="eastAsia"/>
                <w:color w:val="auto"/>
              </w:rPr>
              <w:t>）厌氧发酵之后，农肥利用；非施肥季节或者雨季，则在场内</w:t>
            </w:r>
            <w:r>
              <w:rPr>
                <w:rFonts w:hint="eastAsia"/>
                <w:color w:val="auto"/>
                <w:lang w:eastAsia="zh-CN"/>
              </w:rPr>
              <w:t>沼液暂存池</w:t>
            </w:r>
            <w:r>
              <w:rPr>
                <w:rFonts w:hint="eastAsia"/>
                <w:color w:val="auto"/>
              </w:rPr>
              <w:t>（容积为</w:t>
            </w:r>
            <w:r>
              <w:rPr>
                <w:rFonts w:hint="eastAsia"/>
                <w:color w:val="auto"/>
                <w:lang w:val="en-US" w:eastAsia="zh-CN"/>
              </w:rPr>
              <w:t>65</w:t>
            </w:r>
            <w:r>
              <w:rPr>
                <w:rFonts w:hint="eastAsia"/>
                <w:color w:val="auto"/>
              </w:rPr>
              <w:t>00m</w:t>
            </w:r>
            <w:r>
              <w:rPr>
                <w:rFonts w:hint="eastAsia"/>
                <w:color w:val="auto"/>
                <w:vertAlign w:val="superscript"/>
              </w:rPr>
              <w:t>3</w:t>
            </w:r>
            <w:r>
              <w:rPr>
                <w:rFonts w:hint="eastAsia"/>
                <w:color w:val="auto"/>
              </w:rPr>
              <w:t>）暂存。</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3</w:t>
            </w:r>
            <w:r>
              <w:rPr>
                <w:color w:val="auto"/>
              </w:rPr>
              <w:t>00</w:t>
            </w:r>
            <w:r>
              <w:rPr>
                <w:rFonts w:hint="eastAsia"/>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地下水污染防治</w:t>
            </w:r>
            <w:r>
              <w:rPr>
                <w:rFonts w:hint="eastAsia"/>
                <w:color w:val="auto"/>
              </w:rPr>
              <w:t xml:space="preserve"> </w:t>
            </w:r>
          </w:p>
        </w:tc>
        <w:tc>
          <w:tcPr>
            <w:tcW w:w="1361" w:type="dxa"/>
            <w:vMerge w:val="restart"/>
            <w:noWrap w:val="0"/>
            <w:vAlign w:val="center"/>
          </w:tcPr>
          <w:p>
            <w:pPr>
              <w:pStyle w:val="274"/>
              <w:spacing w:line="240" w:lineRule="auto"/>
              <w:rPr>
                <w:color w:val="auto"/>
              </w:rPr>
            </w:pPr>
            <w:r>
              <w:rPr>
                <w:color w:val="auto"/>
              </w:rPr>
              <w:t>分区防渗</w:t>
            </w:r>
          </w:p>
        </w:tc>
        <w:tc>
          <w:tcPr>
            <w:tcW w:w="4824" w:type="dxa"/>
            <w:gridSpan w:val="2"/>
            <w:noWrap w:val="0"/>
            <w:vAlign w:val="center"/>
          </w:tcPr>
          <w:p>
            <w:pPr>
              <w:pStyle w:val="274"/>
              <w:spacing w:line="240" w:lineRule="auto"/>
              <w:jc w:val="both"/>
              <w:rPr>
                <w:rFonts w:hint="eastAsia" w:eastAsia="宋体"/>
                <w:color w:val="auto"/>
                <w:lang w:eastAsia="zh-CN"/>
              </w:rPr>
            </w:pPr>
            <w:r>
              <w:rPr>
                <w:rFonts w:hint="eastAsia"/>
                <w:color w:val="auto"/>
                <w:lang w:val="en-US" w:eastAsia="zh-CN"/>
              </w:rPr>
              <w:t>干粪堆场</w:t>
            </w:r>
            <w:r>
              <w:rPr>
                <w:rFonts w:hint="eastAsia"/>
                <w:color w:val="auto"/>
              </w:rPr>
              <w:t>、危废暂存间、污水处理系统</w:t>
            </w:r>
            <w:r>
              <w:rPr>
                <w:rFonts w:hint="eastAsia"/>
                <w:color w:val="auto"/>
                <w:lang w:eastAsia="zh-CN"/>
              </w:rPr>
              <w:t>（</w:t>
            </w:r>
            <w:r>
              <w:rPr>
                <w:rFonts w:hint="eastAsia"/>
                <w:color w:val="auto"/>
                <w:lang w:val="en-US" w:eastAsia="zh-CN"/>
              </w:rPr>
              <w:t>收集池、沼气池、沼液暂存池、田间暂存池、污水管</w:t>
            </w:r>
            <w:r>
              <w:rPr>
                <w:rFonts w:hint="eastAsia"/>
                <w:color w:val="auto"/>
                <w:lang w:eastAsia="zh-CN"/>
              </w:rPr>
              <w:t>）</w:t>
            </w:r>
            <w:r>
              <w:rPr>
                <w:rFonts w:hint="eastAsia"/>
                <w:color w:val="auto"/>
              </w:rPr>
              <w:t>、发电机房（含储油间）</w:t>
            </w:r>
            <w:r>
              <w:rPr>
                <w:rFonts w:hint="eastAsia"/>
                <w:color w:val="auto"/>
                <w:lang w:eastAsia="zh-CN"/>
              </w:rPr>
              <w:t>、防疫室</w:t>
            </w:r>
            <w:r>
              <w:rPr>
                <w:color w:val="auto"/>
              </w:rPr>
              <w:t>等进行重点防渗</w:t>
            </w:r>
            <w:r>
              <w:rPr>
                <w:rFonts w:hint="eastAsia"/>
                <w:color w:val="auto"/>
              </w:rPr>
              <w:t>，</w:t>
            </w:r>
            <w:r>
              <w:rPr>
                <w:rFonts w:hint="eastAsia"/>
                <w:color w:val="auto"/>
                <w:lang w:eastAsia="zh-CN"/>
              </w:rPr>
              <w:t>危废暂存间确保等效黏土防渗层 Mb≥6.0m，防渗系数 K≤10</w:t>
            </w:r>
            <w:r>
              <w:rPr>
                <w:rFonts w:hint="eastAsia"/>
                <w:color w:val="auto"/>
                <w:vertAlign w:val="superscript"/>
                <w:lang w:eastAsia="zh-CN"/>
              </w:rPr>
              <w:t xml:space="preserve"> -10</w:t>
            </w:r>
            <w:r>
              <w:rPr>
                <w:rFonts w:hint="eastAsia"/>
                <w:color w:val="auto"/>
                <w:lang w:eastAsia="zh-CN"/>
              </w:rPr>
              <w:t xml:space="preserve"> cm/s，或参照 GB18597 执行。</w:t>
            </w:r>
            <w:r>
              <w:rPr>
                <w:rFonts w:hint="eastAsia"/>
                <w:color w:val="auto"/>
                <w:lang w:val="en-US" w:eastAsia="zh-CN"/>
              </w:rPr>
              <w:t>其他重点防渗区域</w:t>
            </w:r>
            <w:r>
              <w:rPr>
                <w:color w:val="auto"/>
              </w:rPr>
              <w:t>确保等效黏土防渗层Mb≥6.0m，K≤1×10</w:t>
            </w:r>
            <w:r>
              <w:rPr>
                <w:color w:val="auto"/>
                <w:vertAlign w:val="superscript"/>
              </w:rPr>
              <w:t>-7</w:t>
            </w:r>
            <w:r>
              <w:rPr>
                <w:color w:val="auto"/>
              </w:rPr>
              <w:t>cm/s</w:t>
            </w:r>
            <w:r>
              <w:rPr>
                <w:rFonts w:hint="eastAsia"/>
                <w:color w:val="auto"/>
                <w:lang w:eastAsia="zh-CN"/>
              </w:rPr>
              <w:t>，</w:t>
            </w:r>
            <w:r>
              <w:rPr>
                <w:color w:val="auto"/>
              </w:rPr>
              <w:t>或参考</w:t>
            </w:r>
            <w:r>
              <w:rPr>
                <w:rFonts w:hint="eastAsia"/>
                <w:color w:val="auto"/>
              </w:rPr>
              <w:t>（GB18598）</w:t>
            </w:r>
            <w:r>
              <w:rPr>
                <w:rFonts w:hint="eastAsia"/>
                <w:color w:val="auto"/>
                <w:lang w:eastAsia="zh-CN"/>
              </w:rPr>
              <w:t>执行</w:t>
            </w:r>
          </w:p>
        </w:tc>
        <w:tc>
          <w:tcPr>
            <w:tcW w:w="1235" w:type="dxa"/>
            <w:vMerge w:val="restart"/>
            <w:noWrap w:val="0"/>
            <w:vAlign w:val="center"/>
          </w:tcPr>
          <w:p>
            <w:pPr>
              <w:pStyle w:val="274"/>
              <w:spacing w:line="240" w:lineRule="auto"/>
              <w:rPr>
                <w:rFonts w:hint="default" w:eastAsia="宋体"/>
                <w:color w:val="auto"/>
                <w:lang w:val="en-US" w:eastAsia="zh-CN"/>
              </w:rPr>
            </w:pPr>
            <w:r>
              <w:rPr>
                <w:rFonts w:hint="eastAsia"/>
                <w:color w:val="auto"/>
                <w:lang w:val="en-US" w:eastAsia="zh-CN"/>
              </w:rPr>
              <w:t>30.0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4824" w:type="dxa"/>
            <w:gridSpan w:val="2"/>
            <w:noWrap w:val="0"/>
            <w:vAlign w:val="center"/>
          </w:tcPr>
          <w:p>
            <w:pPr>
              <w:pStyle w:val="274"/>
              <w:wordWrap w:val="0"/>
              <w:spacing w:line="240" w:lineRule="auto"/>
              <w:jc w:val="both"/>
              <w:rPr>
                <w:color w:val="auto"/>
              </w:rPr>
            </w:pPr>
            <w:r>
              <w:rPr>
                <w:color w:val="auto"/>
              </w:rPr>
              <w:t>对</w:t>
            </w:r>
            <w:r>
              <w:rPr>
                <w:rFonts w:hint="eastAsia"/>
                <w:color w:val="auto"/>
                <w:lang w:val="en-US" w:eastAsia="zh-CN"/>
              </w:rPr>
              <w:t>猪舍、</w:t>
            </w:r>
            <w:r>
              <w:rPr>
                <w:rFonts w:hint="eastAsia"/>
                <w:color w:val="auto"/>
                <w:lang w:eastAsia="zh-CN"/>
              </w:rPr>
              <w:t>消毒区、卫生间</w:t>
            </w:r>
            <w:r>
              <w:rPr>
                <w:color w:val="auto"/>
              </w:rPr>
              <w:t>等进行一般防渗</w:t>
            </w:r>
            <w:r>
              <w:rPr>
                <w:rFonts w:hint="eastAsia"/>
                <w:color w:val="auto"/>
              </w:rPr>
              <w:t>，</w:t>
            </w:r>
            <w:r>
              <w:rPr>
                <w:color w:val="auto"/>
              </w:rPr>
              <w:t>确保等效黏土防渗层Mb≥1.5m，K≤1×10</w:t>
            </w:r>
            <w:r>
              <w:rPr>
                <w:color w:val="auto"/>
                <w:vertAlign w:val="superscript"/>
              </w:rPr>
              <w:t>-7</w:t>
            </w:r>
            <w:r>
              <w:rPr>
                <w:color w:val="auto"/>
              </w:rPr>
              <w:t>cm/s</w:t>
            </w:r>
            <w:r>
              <w:rPr>
                <w:rFonts w:hint="eastAsia"/>
                <w:color w:val="auto"/>
                <w:lang w:eastAsia="zh-CN"/>
              </w:rPr>
              <w:t>，</w:t>
            </w:r>
            <w:r>
              <w:rPr>
                <w:color w:val="auto"/>
              </w:rPr>
              <w:t>或参考</w:t>
            </w:r>
            <w:r>
              <w:rPr>
                <w:rFonts w:hint="eastAsia"/>
                <w:color w:val="auto"/>
              </w:rPr>
              <w:t>（</w:t>
            </w:r>
            <w:r>
              <w:rPr>
                <w:color w:val="auto"/>
              </w:rPr>
              <w:t>GB 16889</w:t>
            </w:r>
            <w:r>
              <w:rPr>
                <w:rFonts w:hint="eastAsia"/>
                <w:color w:val="auto"/>
              </w:rPr>
              <w:t>）</w:t>
            </w:r>
          </w:p>
        </w:tc>
        <w:tc>
          <w:tcPr>
            <w:tcW w:w="1235" w:type="dxa"/>
            <w:vMerge w:val="continue"/>
            <w:noWrap w:val="0"/>
            <w:vAlign w:val="center"/>
          </w:tcPr>
          <w:p>
            <w:pPr>
              <w:pStyle w:val="274"/>
              <w:spacing w:line="240" w:lineRule="auto"/>
              <w:rPr>
                <w:color w:val="auto"/>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废气</w:t>
            </w:r>
          </w:p>
          <w:p>
            <w:pPr>
              <w:pStyle w:val="274"/>
              <w:spacing w:line="240" w:lineRule="auto"/>
              <w:rPr>
                <w:color w:val="auto"/>
              </w:rPr>
            </w:pPr>
            <w:r>
              <w:rPr>
                <w:color w:val="auto"/>
              </w:rPr>
              <w:t>治理</w:t>
            </w:r>
          </w:p>
        </w:tc>
        <w:tc>
          <w:tcPr>
            <w:tcW w:w="1361" w:type="dxa"/>
            <w:noWrap w:val="0"/>
            <w:vAlign w:val="center"/>
          </w:tcPr>
          <w:p>
            <w:pPr>
              <w:pStyle w:val="274"/>
              <w:spacing w:line="240" w:lineRule="auto"/>
              <w:rPr>
                <w:rFonts w:hint="eastAsia"/>
                <w:color w:val="auto"/>
              </w:rPr>
            </w:pPr>
            <w:r>
              <w:rPr>
                <w:rFonts w:hint="eastAsia"/>
                <w:color w:val="auto"/>
              </w:rPr>
              <w:t>食堂</w:t>
            </w:r>
            <w:r>
              <w:rPr>
                <w:color w:val="auto"/>
              </w:rPr>
              <w:t>油烟</w:t>
            </w:r>
          </w:p>
        </w:tc>
        <w:tc>
          <w:tcPr>
            <w:tcW w:w="4824" w:type="dxa"/>
            <w:gridSpan w:val="2"/>
            <w:noWrap w:val="0"/>
            <w:vAlign w:val="center"/>
          </w:tcPr>
          <w:p>
            <w:pPr>
              <w:pStyle w:val="274"/>
              <w:wordWrap w:val="0"/>
              <w:spacing w:line="240" w:lineRule="auto"/>
              <w:jc w:val="both"/>
              <w:rPr>
                <w:rFonts w:hint="eastAsia"/>
                <w:bCs/>
                <w:color w:val="auto"/>
              </w:rPr>
            </w:pPr>
            <w:r>
              <w:rPr>
                <w:color w:val="auto"/>
                <w:sz w:val="21"/>
                <w:szCs w:val="21"/>
              </w:rPr>
              <w:t>经油烟罩收集后，再经油烟净化器处理处 理（去除率大于</w:t>
            </w:r>
            <w:r>
              <w:rPr>
                <w:rFonts w:hint="eastAsia"/>
                <w:color w:val="auto"/>
                <w:sz w:val="21"/>
                <w:szCs w:val="21"/>
                <w:lang w:val="en-US" w:eastAsia="zh-CN"/>
              </w:rPr>
              <w:t>60</w:t>
            </w:r>
            <w:r>
              <w:rPr>
                <w:color w:val="auto"/>
                <w:sz w:val="21"/>
                <w:szCs w:val="21"/>
              </w:rPr>
              <w:t>%，风机风量约</w:t>
            </w:r>
            <w:r>
              <w:rPr>
                <w:rFonts w:hint="eastAsia"/>
                <w:color w:val="auto"/>
                <w:sz w:val="21"/>
                <w:szCs w:val="21"/>
                <w:lang w:val="en-US" w:eastAsia="zh-CN"/>
              </w:rPr>
              <w:t>3</w:t>
            </w:r>
            <w:r>
              <w:rPr>
                <w:color w:val="auto"/>
                <w:sz w:val="21"/>
                <w:szCs w:val="21"/>
              </w:rPr>
              <w:t>000m</w:t>
            </w:r>
            <w:r>
              <w:rPr>
                <w:color w:val="auto"/>
                <w:sz w:val="21"/>
                <w:szCs w:val="21"/>
                <w:vertAlign w:val="superscript"/>
              </w:rPr>
              <w:t>3</w:t>
            </w:r>
            <w:r>
              <w:rPr>
                <w:color w:val="auto"/>
                <w:sz w:val="21"/>
                <w:szCs w:val="21"/>
              </w:rPr>
              <w:t>/h）</w:t>
            </w:r>
            <w:r>
              <w:rPr>
                <w:rFonts w:hint="eastAsia"/>
                <w:color w:val="auto"/>
                <w:sz w:val="21"/>
                <w:szCs w:val="21"/>
                <w:lang w:val="en-US" w:eastAsia="zh-CN"/>
              </w:rPr>
              <w:t>,</w:t>
            </w:r>
            <w:r>
              <w:rPr>
                <w:color w:val="auto"/>
                <w:sz w:val="21"/>
                <w:szCs w:val="21"/>
              </w:rPr>
              <w:t>由专用内置强制排烟道至食堂楼顶排放</w:t>
            </w:r>
            <w:r>
              <w:rPr>
                <w:rFonts w:hint="eastAsia"/>
                <w:color w:val="auto"/>
                <w:sz w:val="21"/>
                <w:szCs w:val="21"/>
                <w:lang w:eastAsia="zh-CN"/>
              </w:rPr>
              <w:t>。</w:t>
            </w:r>
          </w:p>
        </w:tc>
        <w:tc>
          <w:tcPr>
            <w:tcW w:w="1235" w:type="dxa"/>
            <w:noWrap w:val="0"/>
            <w:vAlign w:val="center"/>
          </w:tcPr>
          <w:p>
            <w:pPr>
              <w:pStyle w:val="274"/>
              <w:spacing w:line="240" w:lineRule="auto"/>
              <w:rPr>
                <w:color w:val="auto"/>
              </w:rPr>
            </w:pPr>
            <w:r>
              <w:rPr>
                <w:color w:val="auto"/>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rStyle w:val="62"/>
                <w:color w:val="auto"/>
                <w:sz w:val="20"/>
              </w:rPr>
            </w:pPr>
          </w:p>
        </w:tc>
        <w:tc>
          <w:tcPr>
            <w:tcW w:w="1361" w:type="dxa"/>
            <w:noWrap w:val="0"/>
            <w:vAlign w:val="center"/>
          </w:tcPr>
          <w:p>
            <w:pPr>
              <w:pStyle w:val="274"/>
              <w:spacing w:line="240" w:lineRule="auto"/>
              <w:rPr>
                <w:rStyle w:val="62"/>
                <w:color w:val="auto"/>
                <w:sz w:val="20"/>
              </w:rPr>
            </w:pPr>
            <w:r>
              <w:rPr>
                <w:rStyle w:val="62"/>
                <w:rFonts w:hint="eastAsia"/>
                <w:color w:val="auto"/>
                <w:sz w:val="20"/>
              </w:rPr>
              <w:t>污</w:t>
            </w:r>
            <w:r>
              <w:rPr>
                <w:rStyle w:val="62"/>
                <w:color w:val="auto"/>
                <w:sz w:val="20"/>
              </w:rPr>
              <w:t>水处理</w:t>
            </w:r>
            <w:r>
              <w:rPr>
                <w:rStyle w:val="62"/>
                <w:rFonts w:hint="eastAsia"/>
                <w:color w:val="auto"/>
                <w:sz w:val="20"/>
              </w:rPr>
              <w:t>区</w:t>
            </w:r>
            <w:r>
              <w:rPr>
                <w:rStyle w:val="62"/>
                <w:color w:val="auto"/>
                <w:sz w:val="20"/>
              </w:rPr>
              <w:t>恶臭</w:t>
            </w:r>
          </w:p>
        </w:tc>
        <w:tc>
          <w:tcPr>
            <w:tcW w:w="4824" w:type="dxa"/>
            <w:gridSpan w:val="2"/>
            <w:noWrap w:val="0"/>
            <w:vAlign w:val="center"/>
          </w:tcPr>
          <w:p>
            <w:pPr>
              <w:pStyle w:val="274"/>
              <w:spacing w:line="240" w:lineRule="auto"/>
              <w:jc w:val="both"/>
              <w:rPr>
                <w:rStyle w:val="62"/>
                <w:color w:val="auto"/>
                <w:sz w:val="20"/>
              </w:rPr>
            </w:pPr>
            <w:r>
              <w:rPr>
                <w:rFonts w:hint="eastAsia"/>
                <w:color w:val="auto"/>
                <w:sz w:val="21"/>
                <w:szCs w:val="21"/>
              </w:rPr>
              <w:t>收集池加盖；黑膜沼气池采取黑膜加盖封闭；</w:t>
            </w:r>
            <w:r>
              <w:rPr>
                <w:rFonts w:hint="eastAsia"/>
                <w:color w:val="auto"/>
                <w:sz w:val="21"/>
                <w:szCs w:val="21"/>
                <w:lang w:eastAsia="zh-CN"/>
              </w:rPr>
              <w:t>沼液暂存池</w:t>
            </w:r>
            <w:r>
              <w:rPr>
                <w:rFonts w:hint="eastAsia"/>
                <w:color w:val="auto"/>
                <w:sz w:val="21"/>
                <w:szCs w:val="21"/>
              </w:rPr>
              <w:t>加盖；恶臭产气区域喷洒除臭剂</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rStyle w:val="62"/>
                <w:color w:val="auto"/>
                <w:sz w:val="20"/>
              </w:rPr>
            </w:pPr>
          </w:p>
        </w:tc>
        <w:tc>
          <w:tcPr>
            <w:tcW w:w="1361" w:type="dxa"/>
            <w:noWrap w:val="0"/>
            <w:vAlign w:val="center"/>
          </w:tcPr>
          <w:p>
            <w:pPr>
              <w:pStyle w:val="274"/>
              <w:spacing w:line="240" w:lineRule="auto"/>
              <w:rPr>
                <w:rStyle w:val="62"/>
                <w:rFonts w:hint="eastAsia"/>
                <w:color w:val="auto"/>
                <w:sz w:val="20"/>
              </w:rPr>
            </w:pPr>
            <w:r>
              <w:rPr>
                <w:color w:val="auto"/>
                <w:sz w:val="21"/>
                <w:szCs w:val="21"/>
              </w:rPr>
              <w:t>猪舍</w:t>
            </w:r>
            <w:r>
              <w:rPr>
                <w:rFonts w:hint="eastAsia"/>
                <w:color w:val="auto"/>
                <w:sz w:val="21"/>
                <w:szCs w:val="21"/>
                <w:lang w:eastAsia="zh-CN"/>
              </w:rPr>
              <w:t>、</w:t>
            </w:r>
            <w:r>
              <w:rPr>
                <w:rFonts w:hint="eastAsia"/>
                <w:color w:val="auto"/>
                <w:sz w:val="21"/>
                <w:szCs w:val="21"/>
                <w:lang w:val="en-US" w:eastAsia="zh-CN"/>
              </w:rPr>
              <w:t>干粪堆场</w:t>
            </w:r>
            <w:r>
              <w:rPr>
                <w:rFonts w:hint="eastAsia"/>
                <w:color w:val="auto"/>
                <w:sz w:val="21"/>
                <w:szCs w:val="21"/>
                <w:lang w:eastAsia="zh-CN"/>
              </w:rPr>
              <w:t>恶臭</w:t>
            </w:r>
          </w:p>
        </w:tc>
        <w:tc>
          <w:tcPr>
            <w:tcW w:w="4824" w:type="dxa"/>
            <w:gridSpan w:val="2"/>
            <w:noWrap w:val="0"/>
            <w:vAlign w:val="center"/>
          </w:tcPr>
          <w:p>
            <w:pPr>
              <w:pStyle w:val="274"/>
              <w:spacing w:line="240" w:lineRule="auto"/>
              <w:jc w:val="both"/>
              <w:rPr>
                <w:rStyle w:val="62"/>
                <w:color w:val="auto"/>
                <w:sz w:val="20"/>
              </w:rPr>
            </w:pPr>
            <w:r>
              <w:rPr>
                <w:rFonts w:hint="eastAsia"/>
                <w:color w:val="auto"/>
                <w:sz w:val="21"/>
                <w:szCs w:val="21"/>
                <w:lang w:val="en-US" w:eastAsia="zh-CN"/>
              </w:rPr>
              <w:t>科学设计日粮，</w:t>
            </w:r>
            <w:r>
              <w:rPr>
                <w:rFonts w:hint="eastAsia"/>
                <w:color w:val="auto"/>
                <w:sz w:val="21"/>
                <w:szCs w:val="21"/>
              </w:rPr>
              <w:t>选用益生菌配方饲料</w:t>
            </w:r>
            <w:r>
              <w:rPr>
                <w:rFonts w:hint="eastAsia"/>
                <w:color w:val="auto"/>
                <w:sz w:val="21"/>
                <w:szCs w:val="21"/>
                <w:lang w:eastAsia="zh-CN"/>
              </w:rPr>
              <w:t>；</w:t>
            </w:r>
            <w:r>
              <w:rPr>
                <w:rFonts w:hint="eastAsia"/>
                <w:color w:val="auto"/>
                <w:sz w:val="21"/>
                <w:szCs w:val="21"/>
                <w:lang w:val="en-US" w:eastAsia="zh-CN"/>
              </w:rPr>
              <w:t>采用干清粪工艺，</w:t>
            </w:r>
            <w:r>
              <w:rPr>
                <w:rFonts w:hint="eastAsia"/>
                <w:color w:val="auto"/>
                <w:sz w:val="21"/>
                <w:szCs w:val="21"/>
                <w:lang w:eastAsia="zh-CN"/>
              </w:rPr>
              <w:t>猪舍、</w:t>
            </w:r>
            <w:r>
              <w:rPr>
                <w:rFonts w:hint="eastAsia"/>
                <w:color w:val="auto"/>
                <w:sz w:val="21"/>
                <w:szCs w:val="21"/>
                <w:lang w:val="en-US" w:eastAsia="zh-CN"/>
              </w:rPr>
              <w:t>干粪堆场及时清运粪污并喷洒除臭剂；加强绿化；污水管道地埋式；猪舍密闭，安装负压通风机，加强舍内通风；保持圈舍清洁卫生</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17.0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rStyle w:val="62"/>
                <w:color w:val="auto"/>
                <w:sz w:val="20"/>
              </w:rPr>
            </w:pPr>
          </w:p>
        </w:tc>
        <w:tc>
          <w:tcPr>
            <w:tcW w:w="1361" w:type="dxa"/>
            <w:noWrap w:val="0"/>
            <w:vAlign w:val="center"/>
          </w:tcPr>
          <w:p>
            <w:pPr>
              <w:pStyle w:val="274"/>
              <w:spacing w:line="240" w:lineRule="auto"/>
              <w:rPr>
                <w:rStyle w:val="62"/>
                <w:rFonts w:hint="eastAsia"/>
                <w:color w:val="auto"/>
                <w:sz w:val="20"/>
              </w:rPr>
            </w:pPr>
            <w:r>
              <w:rPr>
                <w:rFonts w:hint="eastAsia"/>
                <w:color w:val="auto"/>
                <w:sz w:val="21"/>
                <w:szCs w:val="21"/>
              </w:rPr>
              <w:t>运输恶臭及尾气</w:t>
            </w:r>
          </w:p>
        </w:tc>
        <w:tc>
          <w:tcPr>
            <w:tcW w:w="4824" w:type="dxa"/>
            <w:gridSpan w:val="2"/>
            <w:noWrap w:val="0"/>
            <w:vAlign w:val="center"/>
          </w:tcPr>
          <w:p>
            <w:pPr>
              <w:pStyle w:val="274"/>
              <w:spacing w:line="240" w:lineRule="auto"/>
              <w:jc w:val="both"/>
              <w:rPr>
                <w:rStyle w:val="62"/>
                <w:color w:val="auto"/>
                <w:sz w:val="20"/>
              </w:rPr>
            </w:pPr>
            <w:r>
              <w:rPr>
                <w:rFonts w:hint="eastAsia"/>
                <w:color w:val="auto"/>
                <w:sz w:val="21"/>
                <w:szCs w:val="21"/>
              </w:rPr>
              <w:t>合理安排路线，自由扩散</w:t>
            </w:r>
          </w:p>
        </w:tc>
        <w:tc>
          <w:tcPr>
            <w:tcW w:w="1235" w:type="dxa"/>
            <w:noWrap w:val="0"/>
            <w:vAlign w:val="center"/>
          </w:tcPr>
          <w:p>
            <w:pPr>
              <w:pStyle w:val="274"/>
              <w:spacing w:line="240" w:lineRule="auto"/>
              <w:rPr>
                <w:color w:val="auto"/>
              </w:rPr>
            </w:pPr>
            <w:r>
              <w:rPr>
                <w:color w:val="auto"/>
              </w:rPr>
              <w:t>计入固废措施投资</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rStyle w:val="62"/>
                <w:color w:val="auto"/>
                <w:sz w:val="20"/>
              </w:rPr>
            </w:pPr>
          </w:p>
        </w:tc>
        <w:tc>
          <w:tcPr>
            <w:tcW w:w="1361" w:type="dxa"/>
            <w:noWrap w:val="0"/>
            <w:vAlign w:val="center"/>
          </w:tcPr>
          <w:p>
            <w:pPr>
              <w:pStyle w:val="274"/>
              <w:spacing w:line="240" w:lineRule="auto"/>
              <w:rPr>
                <w:rStyle w:val="62"/>
                <w:color w:val="auto"/>
                <w:sz w:val="20"/>
              </w:rPr>
            </w:pPr>
            <w:r>
              <w:rPr>
                <w:rStyle w:val="62"/>
                <w:color w:val="auto"/>
                <w:sz w:val="20"/>
              </w:rPr>
              <w:t>沼气燃烧废气</w:t>
            </w:r>
          </w:p>
        </w:tc>
        <w:tc>
          <w:tcPr>
            <w:tcW w:w="4824" w:type="dxa"/>
            <w:gridSpan w:val="2"/>
            <w:noWrap w:val="0"/>
            <w:vAlign w:val="center"/>
          </w:tcPr>
          <w:p>
            <w:pPr>
              <w:pStyle w:val="274"/>
              <w:spacing w:line="240" w:lineRule="auto"/>
              <w:jc w:val="both"/>
              <w:rPr>
                <w:rStyle w:val="62"/>
                <w:color w:val="auto"/>
                <w:sz w:val="20"/>
              </w:rPr>
            </w:pPr>
            <w:r>
              <w:rPr>
                <w:rFonts w:hint="eastAsia"/>
                <w:color w:val="auto"/>
                <w:sz w:val="21"/>
                <w:szCs w:val="21"/>
              </w:rPr>
              <w:t>沼气脱水、脱硫+食堂燃料或火炬燃烧</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sz w:val="21"/>
                <w:szCs w:val="21"/>
              </w:rPr>
              <w:t>发电机废气</w:t>
            </w:r>
          </w:p>
        </w:tc>
        <w:tc>
          <w:tcPr>
            <w:tcW w:w="4824" w:type="dxa"/>
            <w:gridSpan w:val="2"/>
            <w:noWrap w:val="0"/>
            <w:vAlign w:val="center"/>
          </w:tcPr>
          <w:p>
            <w:pPr>
              <w:pStyle w:val="274"/>
              <w:spacing w:line="240" w:lineRule="auto"/>
              <w:jc w:val="both"/>
              <w:rPr>
                <w:color w:val="auto"/>
              </w:rPr>
            </w:pPr>
            <w:r>
              <w:rPr>
                <w:color w:val="auto"/>
                <w:sz w:val="21"/>
                <w:szCs w:val="21"/>
              </w:rPr>
              <w:t>由自身携带的废气净化装置处理，处理后经抽排风系统抽至</w:t>
            </w:r>
            <w:r>
              <w:rPr>
                <w:rFonts w:hint="eastAsia"/>
                <w:color w:val="auto"/>
                <w:sz w:val="21"/>
                <w:szCs w:val="21"/>
              </w:rPr>
              <w:t>排风口处</w:t>
            </w:r>
            <w:r>
              <w:rPr>
                <w:color w:val="auto"/>
                <w:sz w:val="21"/>
                <w:szCs w:val="21"/>
              </w:rPr>
              <w:t>排放</w:t>
            </w:r>
          </w:p>
        </w:tc>
        <w:tc>
          <w:tcPr>
            <w:tcW w:w="1235" w:type="dxa"/>
            <w:noWrap w:val="0"/>
            <w:vAlign w:val="center"/>
          </w:tcPr>
          <w:p>
            <w:pPr>
              <w:pStyle w:val="274"/>
              <w:spacing w:line="240" w:lineRule="auto"/>
              <w:rPr>
                <w:color w:val="auto"/>
              </w:rPr>
            </w:pPr>
            <w:r>
              <w:rPr>
                <w:color w:val="auto"/>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183"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噪声</w:t>
            </w:r>
          </w:p>
          <w:p>
            <w:pPr>
              <w:pStyle w:val="274"/>
              <w:spacing w:line="240" w:lineRule="auto"/>
              <w:rPr>
                <w:color w:val="auto"/>
              </w:rPr>
            </w:pPr>
            <w:r>
              <w:rPr>
                <w:color w:val="auto"/>
              </w:rPr>
              <w:t>治理</w:t>
            </w:r>
          </w:p>
        </w:tc>
        <w:tc>
          <w:tcPr>
            <w:tcW w:w="1361" w:type="dxa"/>
            <w:vMerge w:val="restart"/>
            <w:noWrap w:val="0"/>
            <w:vAlign w:val="center"/>
          </w:tcPr>
          <w:p>
            <w:pPr>
              <w:pStyle w:val="274"/>
              <w:spacing w:line="240" w:lineRule="auto"/>
              <w:rPr>
                <w:color w:val="auto"/>
              </w:rPr>
            </w:pPr>
            <w:r>
              <w:rPr>
                <w:color w:val="auto"/>
              </w:rPr>
              <w:t>生产噪声</w:t>
            </w:r>
          </w:p>
        </w:tc>
        <w:tc>
          <w:tcPr>
            <w:tcW w:w="4824" w:type="dxa"/>
            <w:gridSpan w:val="2"/>
            <w:noWrap w:val="0"/>
            <w:vAlign w:val="center"/>
          </w:tcPr>
          <w:p>
            <w:pPr>
              <w:pStyle w:val="274"/>
              <w:spacing w:line="240" w:lineRule="auto"/>
              <w:jc w:val="both"/>
              <w:rPr>
                <w:color w:val="auto"/>
              </w:rPr>
            </w:pPr>
            <w:r>
              <w:rPr>
                <w:color w:val="auto"/>
                <w:sz w:val="21"/>
                <w:szCs w:val="21"/>
              </w:rPr>
              <w:t>加装减振垫、墙体隔声、距离衰减；对于 运输车辆合理安排行驶路线，减速慢行、严禁鸣笛</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7.0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固体</w:t>
            </w:r>
          </w:p>
          <w:p>
            <w:pPr>
              <w:pStyle w:val="274"/>
              <w:spacing w:line="240" w:lineRule="auto"/>
              <w:rPr>
                <w:color w:val="auto"/>
              </w:rPr>
            </w:pPr>
            <w:r>
              <w:rPr>
                <w:color w:val="auto"/>
              </w:rPr>
              <w:t>废物</w:t>
            </w:r>
          </w:p>
        </w:tc>
        <w:tc>
          <w:tcPr>
            <w:tcW w:w="1361" w:type="dxa"/>
            <w:vMerge w:val="restart"/>
            <w:noWrap w:val="0"/>
            <w:vAlign w:val="center"/>
          </w:tcPr>
          <w:p>
            <w:pPr>
              <w:pStyle w:val="274"/>
              <w:spacing w:line="240" w:lineRule="auto"/>
              <w:rPr>
                <w:color w:val="auto"/>
              </w:rPr>
            </w:pPr>
            <w:r>
              <w:rPr>
                <w:color w:val="auto"/>
              </w:rPr>
              <w:t>一般固废</w:t>
            </w:r>
          </w:p>
        </w:tc>
        <w:tc>
          <w:tcPr>
            <w:tcW w:w="1700" w:type="dxa"/>
            <w:noWrap w:val="0"/>
            <w:vAlign w:val="center"/>
          </w:tcPr>
          <w:p>
            <w:pPr>
              <w:pStyle w:val="274"/>
              <w:spacing w:line="240" w:lineRule="auto"/>
              <w:rPr>
                <w:bCs/>
                <w:color w:val="auto"/>
              </w:rPr>
            </w:pPr>
            <w:r>
              <w:rPr>
                <w:rFonts w:hint="eastAsia"/>
                <w:color w:val="auto"/>
                <w:sz w:val="21"/>
                <w:szCs w:val="21"/>
                <w:lang w:val="zh-CN"/>
              </w:rPr>
              <w:t>猪粪污泥（沼渣）</w:t>
            </w:r>
          </w:p>
        </w:tc>
        <w:tc>
          <w:tcPr>
            <w:tcW w:w="3124" w:type="dxa"/>
            <w:noWrap w:val="0"/>
            <w:vAlign w:val="center"/>
          </w:tcPr>
          <w:p>
            <w:pPr>
              <w:pStyle w:val="274"/>
              <w:spacing w:line="240" w:lineRule="auto"/>
              <w:rPr>
                <w:bCs/>
                <w:color w:val="auto"/>
              </w:rPr>
            </w:pPr>
            <w:r>
              <w:rPr>
                <w:rFonts w:hint="eastAsia"/>
                <w:color w:val="auto"/>
                <w:sz w:val="21"/>
                <w:szCs w:val="21"/>
              </w:rPr>
              <w:t>干粪堆场临时堆存，定期运至专门的堆肥厂进行综合利用</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1700" w:type="dxa"/>
            <w:noWrap w:val="0"/>
            <w:vAlign w:val="center"/>
          </w:tcPr>
          <w:p>
            <w:pPr>
              <w:pStyle w:val="274"/>
              <w:spacing w:line="240" w:lineRule="auto"/>
              <w:rPr>
                <w:bCs/>
                <w:color w:val="auto"/>
              </w:rPr>
            </w:pPr>
            <w:r>
              <w:rPr>
                <w:bCs/>
                <w:color w:val="auto"/>
              </w:rPr>
              <w:t>病死猪</w:t>
            </w:r>
          </w:p>
        </w:tc>
        <w:tc>
          <w:tcPr>
            <w:tcW w:w="3124" w:type="dxa"/>
            <w:noWrap w:val="0"/>
            <w:vAlign w:val="center"/>
          </w:tcPr>
          <w:p>
            <w:pPr>
              <w:pStyle w:val="274"/>
              <w:spacing w:line="240" w:lineRule="auto"/>
              <w:rPr>
                <w:bCs/>
                <w:color w:val="auto"/>
              </w:rPr>
            </w:pPr>
            <w:r>
              <w:rPr>
                <w:rFonts w:hint="eastAsia"/>
                <w:color w:val="auto"/>
                <w:sz w:val="21"/>
                <w:szCs w:val="21"/>
              </w:rPr>
              <w:t>委托三台县盛德祥生物科技有限公司处理</w:t>
            </w:r>
          </w:p>
        </w:tc>
        <w:tc>
          <w:tcPr>
            <w:tcW w:w="1235" w:type="dxa"/>
            <w:noWrap w:val="0"/>
            <w:vAlign w:val="center"/>
          </w:tcPr>
          <w:p>
            <w:pPr>
              <w:pStyle w:val="274"/>
              <w:spacing w:line="240" w:lineRule="auto"/>
              <w:rPr>
                <w:color w:val="auto"/>
              </w:rPr>
            </w:pPr>
            <w:r>
              <w:rPr>
                <w:rFonts w:hint="eastAsia"/>
                <w:color w:val="auto"/>
                <w:lang w:val="en-US" w:eastAsia="zh-CN"/>
              </w:rPr>
              <w:t>5</w:t>
            </w:r>
            <w:r>
              <w:rPr>
                <w:color w:val="auto"/>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1700" w:type="dxa"/>
            <w:noWrap w:val="0"/>
            <w:vAlign w:val="center"/>
          </w:tcPr>
          <w:p>
            <w:pPr>
              <w:pStyle w:val="110"/>
              <w:spacing w:line="240" w:lineRule="auto"/>
              <w:ind w:firstLine="0" w:firstLineChars="0"/>
              <w:rPr>
                <w:color w:val="auto"/>
              </w:rPr>
            </w:pPr>
            <w:r>
              <w:rPr>
                <w:color w:val="auto"/>
                <w:sz w:val="21"/>
                <w:szCs w:val="21"/>
              </w:rPr>
              <w:t>生活垃圾</w:t>
            </w:r>
          </w:p>
        </w:tc>
        <w:tc>
          <w:tcPr>
            <w:tcW w:w="3124" w:type="dxa"/>
            <w:noWrap w:val="0"/>
            <w:vAlign w:val="center"/>
          </w:tcPr>
          <w:p>
            <w:pPr>
              <w:pStyle w:val="110"/>
              <w:spacing w:line="240" w:lineRule="auto"/>
              <w:ind w:firstLine="0" w:firstLineChars="0"/>
              <w:rPr>
                <w:color w:val="auto"/>
              </w:rPr>
            </w:pPr>
            <w:r>
              <w:rPr>
                <w:color w:val="auto"/>
                <w:sz w:val="21"/>
                <w:szCs w:val="21"/>
              </w:rPr>
              <w:t>袋装收集后暂存于生活垃圾暂存间，由环卫部门统一清运处置</w:t>
            </w:r>
          </w:p>
        </w:tc>
        <w:tc>
          <w:tcPr>
            <w:tcW w:w="1235" w:type="dxa"/>
            <w:noWrap w:val="0"/>
            <w:vAlign w:val="center"/>
          </w:tcPr>
          <w:p>
            <w:pPr>
              <w:pStyle w:val="274"/>
              <w:spacing w:line="240" w:lineRule="auto"/>
              <w:rPr>
                <w:color w:val="auto"/>
              </w:rPr>
            </w:pPr>
            <w:r>
              <w:rPr>
                <w:rFonts w:hint="eastAsia"/>
                <w:color w:val="auto"/>
                <w:lang w:val="en-US" w:eastAsia="zh-CN"/>
              </w:rPr>
              <w:t>1</w:t>
            </w:r>
            <w:r>
              <w:rPr>
                <w:color w:val="auto"/>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1700" w:type="dxa"/>
            <w:noWrap w:val="0"/>
            <w:vAlign w:val="center"/>
          </w:tcPr>
          <w:p>
            <w:pPr>
              <w:pStyle w:val="110"/>
              <w:spacing w:line="240" w:lineRule="auto"/>
              <w:ind w:firstLine="0" w:firstLineChars="0"/>
              <w:rPr>
                <w:color w:val="auto"/>
              </w:rPr>
            </w:pPr>
            <w:r>
              <w:rPr>
                <w:rFonts w:hint="eastAsia"/>
                <w:color w:val="auto"/>
                <w:sz w:val="21"/>
                <w:szCs w:val="21"/>
              </w:rPr>
              <w:t>餐厨垃圾</w:t>
            </w:r>
          </w:p>
        </w:tc>
        <w:tc>
          <w:tcPr>
            <w:tcW w:w="3124" w:type="dxa"/>
            <w:noWrap w:val="0"/>
            <w:vAlign w:val="center"/>
          </w:tcPr>
          <w:p>
            <w:pPr>
              <w:pStyle w:val="110"/>
              <w:spacing w:line="240" w:lineRule="auto"/>
              <w:ind w:firstLine="0" w:firstLineChars="0"/>
              <w:rPr>
                <w:color w:val="auto"/>
              </w:rPr>
            </w:pPr>
            <w:r>
              <w:rPr>
                <w:rFonts w:hint="eastAsia"/>
                <w:color w:val="auto"/>
                <w:sz w:val="21"/>
                <w:szCs w:val="21"/>
              </w:rPr>
              <w:t>委托餐厨垃圾收运单位收运、处理</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0.5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1700" w:type="dxa"/>
            <w:noWrap w:val="0"/>
            <w:vAlign w:val="center"/>
          </w:tcPr>
          <w:p>
            <w:pPr>
              <w:pStyle w:val="110"/>
              <w:spacing w:line="240" w:lineRule="auto"/>
              <w:ind w:firstLine="0" w:firstLineChars="0"/>
              <w:rPr>
                <w:color w:val="auto"/>
              </w:rPr>
            </w:pPr>
            <w:r>
              <w:rPr>
                <w:color w:val="auto"/>
                <w:sz w:val="21"/>
                <w:szCs w:val="21"/>
              </w:rPr>
              <w:t>废脱硫剂</w:t>
            </w:r>
          </w:p>
        </w:tc>
        <w:tc>
          <w:tcPr>
            <w:tcW w:w="3124" w:type="dxa"/>
            <w:noWrap w:val="0"/>
            <w:vAlign w:val="center"/>
          </w:tcPr>
          <w:p>
            <w:pPr>
              <w:pStyle w:val="110"/>
              <w:spacing w:line="240" w:lineRule="auto"/>
              <w:ind w:firstLine="0" w:firstLineChars="0"/>
              <w:rPr>
                <w:color w:val="auto"/>
              </w:rPr>
            </w:pPr>
            <w:r>
              <w:rPr>
                <w:color w:val="auto"/>
                <w:sz w:val="21"/>
                <w:szCs w:val="21"/>
              </w:rPr>
              <w:t>集中收集后交由原厂家回收再生利用</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vMerge w:val="continue"/>
            <w:noWrap w:val="0"/>
            <w:vAlign w:val="center"/>
          </w:tcPr>
          <w:p>
            <w:pPr>
              <w:pStyle w:val="274"/>
              <w:spacing w:line="240" w:lineRule="auto"/>
              <w:rPr>
                <w:color w:val="auto"/>
              </w:rPr>
            </w:pPr>
          </w:p>
        </w:tc>
        <w:tc>
          <w:tcPr>
            <w:tcW w:w="1700" w:type="dxa"/>
            <w:noWrap w:val="0"/>
            <w:vAlign w:val="center"/>
          </w:tcPr>
          <w:p>
            <w:pPr>
              <w:pStyle w:val="110"/>
              <w:spacing w:line="240" w:lineRule="auto"/>
              <w:ind w:firstLine="0" w:firstLineChars="0"/>
              <w:rPr>
                <w:rFonts w:hint="eastAsia"/>
                <w:color w:val="auto"/>
              </w:rPr>
            </w:pPr>
            <w:r>
              <w:rPr>
                <w:color w:val="auto"/>
                <w:sz w:val="21"/>
                <w:szCs w:val="21"/>
              </w:rPr>
              <w:t xml:space="preserve">废包装材料 </w:t>
            </w:r>
          </w:p>
        </w:tc>
        <w:tc>
          <w:tcPr>
            <w:tcW w:w="3124" w:type="dxa"/>
            <w:noWrap w:val="0"/>
            <w:vAlign w:val="center"/>
          </w:tcPr>
          <w:p>
            <w:pPr>
              <w:pStyle w:val="110"/>
              <w:spacing w:line="240" w:lineRule="auto"/>
              <w:ind w:firstLine="0" w:firstLineChars="0"/>
              <w:rPr>
                <w:color w:val="auto"/>
              </w:rPr>
            </w:pPr>
            <w:r>
              <w:rPr>
                <w:color w:val="auto"/>
                <w:sz w:val="21"/>
                <w:szCs w:val="21"/>
              </w:rPr>
              <w:t>统一收集后送至废品回收站收购</w:t>
            </w:r>
          </w:p>
        </w:tc>
        <w:tc>
          <w:tcPr>
            <w:tcW w:w="1235"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0.1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rPr>
              <w:t>危险废物</w:t>
            </w:r>
          </w:p>
        </w:tc>
        <w:tc>
          <w:tcPr>
            <w:tcW w:w="1700" w:type="dxa"/>
            <w:noWrap w:val="0"/>
            <w:vAlign w:val="center"/>
          </w:tcPr>
          <w:p>
            <w:pPr>
              <w:pStyle w:val="274"/>
              <w:spacing w:line="240" w:lineRule="auto"/>
              <w:rPr>
                <w:bCs/>
                <w:color w:val="auto"/>
              </w:rPr>
            </w:pPr>
            <w:r>
              <w:rPr>
                <w:rFonts w:hint="eastAsia"/>
                <w:color w:val="auto"/>
              </w:rPr>
              <w:t>畜禽</w:t>
            </w:r>
            <w:r>
              <w:rPr>
                <w:color w:val="auto"/>
              </w:rPr>
              <w:t>医疗废物</w:t>
            </w:r>
          </w:p>
        </w:tc>
        <w:tc>
          <w:tcPr>
            <w:tcW w:w="3124" w:type="dxa"/>
            <w:noWrap w:val="0"/>
            <w:vAlign w:val="center"/>
          </w:tcPr>
          <w:p>
            <w:pPr>
              <w:pStyle w:val="274"/>
              <w:spacing w:line="240" w:lineRule="auto"/>
              <w:jc w:val="both"/>
              <w:rPr>
                <w:bCs/>
                <w:color w:val="auto"/>
              </w:rPr>
            </w:pPr>
            <w:r>
              <w:rPr>
                <w:color w:val="auto"/>
              </w:rPr>
              <w:t>设置5</w:t>
            </w:r>
            <w:r>
              <w:rPr>
                <w:rFonts w:hint="eastAsia"/>
                <w:color w:val="auto"/>
              </w:rPr>
              <w:t>m</w:t>
            </w:r>
            <w:r>
              <w:rPr>
                <w:color w:val="auto"/>
                <w:vertAlign w:val="superscript"/>
              </w:rPr>
              <w:t>2</w:t>
            </w:r>
            <w:r>
              <w:rPr>
                <w:color w:val="auto"/>
              </w:rPr>
              <w:t>危</w:t>
            </w:r>
            <w:r>
              <w:rPr>
                <w:rFonts w:hint="eastAsia"/>
                <w:color w:val="auto"/>
              </w:rPr>
              <w:t>险</w:t>
            </w:r>
            <w:r>
              <w:rPr>
                <w:color w:val="auto"/>
              </w:rPr>
              <w:t>废物暂存间，暂存于危险废物暂存间，交由危险废物处置单位进行处置</w:t>
            </w:r>
          </w:p>
        </w:tc>
        <w:tc>
          <w:tcPr>
            <w:tcW w:w="1235" w:type="dxa"/>
            <w:noWrap w:val="0"/>
            <w:vAlign w:val="center"/>
          </w:tcPr>
          <w:p>
            <w:pPr>
              <w:pStyle w:val="274"/>
              <w:spacing w:line="240" w:lineRule="auto"/>
              <w:rPr>
                <w:color w:val="auto"/>
              </w:rPr>
            </w:pPr>
            <w:r>
              <w:rPr>
                <w:color w:val="auto"/>
              </w:rPr>
              <w:t>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风险防范设施</w:t>
            </w:r>
          </w:p>
        </w:tc>
        <w:tc>
          <w:tcPr>
            <w:tcW w:w="1361" w:type="dxa"/>
            <w:noWrap w:val="0"/>
            <w:vAlign w:val="center"/>
          </w:tcPr>
          <w:p>
            <w:pPr>
              <w:pStyle w:val="274"/>
              <w:spacing w:line="240" w:lineRule="auto"/>
              <w:rPr>
                <w:rFonts w:hint="eastAsia" w:eastAsia="宋体"/>
                <w:color w:val="auto"/>
                <w:lang w:eastAsia="zh-CN"/>
              </w:rPr>
            </w:pPr>
            <w:r>
              <w:rPr>
                <w:rFonts w:hint="eastAsia"/>
                <w:color w:val="auto"/>
                <w:lang w:eastAsia="zh-CN"/>
              </w:rPr>
              <w:t>事故应急池</w:t>
            </w:r>
          </w:p>
        </w:tc>
        <w:tc>
          <w:tcPr>
            <w:tcW w:w="4824" w:type="dxa"/>
            <w:gridSpan w:val="2"/>
            <w:noWrap w:val="0"/>
            <w:vAlign w:val="center"/>
          </w:tcPr>
          <w:p>
            <w:pPr>
              <w:pStyle w:val="274"/>
              <w:spacing w:line="240" w:lineRule="auto"/>
              <w:jc w:val="left"/>
              <w:rPr>
                <w:color w:val="auto"/>
              </w:rPr>
            </w:pPr>
            <w:r>
              <w:rPr>
                <w:color w:val="auto"/>
              </w:rPr>
              <w:t>1座，</w:t>
            </w:r>
            <w:r>
              <w:rPr>
                <w:rFonts w:hint="eastAsia"/>
                <w:color w:val="auto"/>
              </w:rPr>
              <w:t>紧邻粪污收集池，用于存放污水处理系统事故时废水，容积</w:t>
            </w:r>
            <w:r>
              <w:rPr>
                <w:rFonts w:hint="eastAsia"/>
                <w:color w:val="auto"/>
                <w:lang w:val="en-US" w:eastAsia="zh-CN"/>
              </w:rPr>
              <w:t>35</w:t>
            </w:r>
            <w:r>
              <w:rPr>
                <w:rFonts w:hint="eastAsia"/>
                <w:color w:val="auto"/>
              </w:rPr>
              <w:t>0m</w:t>
            </w:r>
            <w:r>
              <w:rPr>
                <w:rFonts w:hint="eastAsia"/>
                <w:color w:val="auto"/>
                <w:vertAlign w:val="superscript"/>
              </w:rPr>
              <w:t>3</w:t>
            </w:r>
          </w:p>
        </w:tc>
        <w:tc>
          <w:tcPr>
            <w:tcW w:w="1235" w:type="dxa"/>
            <w:noWrap w:val="0"/>
            <w:vAlign w:val="center"/>
          </w:tcPr>
          <w:p>
            <w:pPr>
              <w:pStyle w:val="274"/>
              <w:spacing w:line="240" w:lineRule="auto"/>
              <w:rPr>
                <w:color w:val="auto"/>
              </w:rPr>
            </w:pPr>
            <w:r>
              <w:rPr>
                <w:rFonts w:hint="eastAsia"/>
                <w:color w:val="auto"/>
                <w:lang w:val="en-US" w:eastAsia="zh-CN"/>
              </w:rPr>
              <w:t>5</w:t>
            </w:r>
            <w:r>
              <w:rPr>
                <w:color w:val="auto"/>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rPr>
              <w:t>沼气泄漏</w:t>
            </w:r>
          </w:p>
        </w:tc>
        <w:tc>
          <w:tcPr>
            <w:tcW w:w="4824" w:type="dxa"/>
            <w:gridSpan w:val="2"/>
            <w:noWrap w:val="0"/>
            <w:vAlign w:val="center"/>
          </w:tcPr>
          <w:p>
            <w:pPr>
              <w:pStyle w:val="274"/>
              <w:spacing w:line="240" w:lineRule="auto"/>
              <w:jc w:val="left"/>
              <w:rPr>
                <w:color w:val="auto"/>
              </w:rPr>
            </w:pPr>
            <w:r>
              <w:rPr>
                <w:rFonts w:hint="eastAsia"/>
                <w:color w:val="auto"/>
              </w:rPr>
              <w:t>加强设备的维护，按规定定期对储柜、管道系统进行密封性和压强测试；设置可燃气体泄漏报警器、火焰报警器和烟雾报警器各1套</w:t>
            </w:r>
          </w:p>
        </w:tc>
        <w:tc>
          <w:tcPr>
            <w:tcW w:w="1235" w:type="dxa"/>
            <w:noWrap w:val="0"/>
            <w:vAlign w:val="center"/>
          </w:tcPr>
          <w:p>
            <w:pPr>
              <w:pStyle w:val="274"/>
              <w:spacing w:line="240" w:lineRule="auto"/>
              <w:rPr>
                <w:color w:val="auto"/>
              </w:rPr>
            </w:pPr>
            <w:r>
              <w:rPr>
                <w:color w:val="auto"/>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rPr>
              <w:t>消防器材</w:t>
            </w:r>
          </w:p>
        </w:tc>
        <w:tc>
          <w:tcPr>
            <w:tcW w:w="4824" w:type="dxa"/>
            <w:gridSpan w:val="2"/>
            <w:noWrap w:val="0"/>
            <w:vAlign w:val="center"/>
          </w:tcPr>
          <w:p>
            <w:pPr>
              <w:pStyle w:val="274"/>
              <w:spacing w:line="240" w:lineRule="auto"/>
              <w:jc w:val="left"/>
              <w:rPr>
                <w:color w:val="auto"/>
              </w:rPr>
            </w:pPr>
            <w:r>
              <w:rPr>
                <w:rFonts w:hint="eastAsia"/>
                <w:color w:val="auto"/>
              </w:rPr>
              <w:t>厂区设置消防灭火系统</w:t>
            </w:r>
          </w:p>
        </w:tc>
        <w:tc>
          <w:tcPr>
            <w:tcW w:w="1235" w:type="dxa"/>
            <w:noWrap w:val="0"/>
            <w:vAlign w:val="center"/>
          </w:tcPr>
          <w:p>
            <w:pPr>
              <w:pStyle w:val="274"/>
              <w:spacing w:line="240" w:lineRule="auto"/>
              <w:rPr>
                <w:color w:val="auto"/>
              </w:rPr>
            </w:pPr>
            <w:r>
              <w:rPr>
                <w:color w:val="auto"/>
              </w:rPr>
              <w:t>计入工程投资</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rPr>
              <w:t>风险管理措施</w:t>
            </w:r>
          </w:p>
        </w:tc>
        <w:tc>
          <w:tcPr>
            <w:tcW w:w="4824" w:type="dxa"/>
            <w:gridSpan w:val="2"/>
            <w:noWrap w:val="0"/>
            <w:vAlign w:val="center"/>
          </w:tcPr>
          <w:p>
            <w:pPr>
              <w:pStyle w:val="274"/>
              <w:spacing w:line="240" w:lineRule="auto"/>
              <w:jc w:val="left"/>
              <w:rPr>
                <w:color w:val="auto"/>
              </w:rPr>
            </w:pPr>
            <w:r>
              <w:rPr>
                <w:color w:val="auto"/>
              </w:rPr>
              <w:t>编制应急预案，</w:t>
            </w:r>
            <w:r>
              <w:rPr>
                <w:rFonts w:hint="eastAsia"/>
                <w:color w:val="auto"/>
              </w:rPr>
              <w:t>加强操作人员的技术培训和岗位责任制教育</w:t>
            </w:r>
          </w:p>
        </w:tc>
        <w:tc>
          <w:tcPr>
            <w:tcW w:w="1235" w:type="dxa"/>
            <w:noWrap w:val="0"/>
            <w:vAlign w:val="center"/>
          </w:tcPr>
          <w:p>
            <w:pPr>
              <w:pStyle w:val="274"/>
              <w:spacing w:line="240" w:lineRule="auto"/>
              <w:rPr>
                <w:color w:val="auto"/>
              </w:rPr>
            </w:pPr>
            <w:r>
              <w:rPr>
                <w:color w:val="auto"/>
              </w:rPr>
              <w:t>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restart"/>
            <w:noWrap w:val="0"/>
            <w:vAlign w:val="center"/>
          </w:tcPr>
          <w:p>
            <w:pPr>
              <w:pStyle w:val="274"/>
              <w:spacing w:line="240" w:lineRule="auto"/>
              <w:rPr>
                <w:color w:val="auto"/>
              </w:rPr>
            </w:pPr>
            <w:r>
              <w:rPr>
                <w:color w:val="auto"/>
              </w:rPr>
              <w:t>其他</w:t>
            </w:r>
          </w:p>
        </w:tc>
        <w:tc>
          <w:tcPr>
            <w:tcW w:w="1361" w:type="dxa"/>
            <w:noWrap w:val="0"/>
            <w:vAlign w:val="center"/>
          </w:tcPr>
          <w:p>
            <w:pPr>
              <w:pStyle w:val="274"/>
              <w:spacing w:line="240" w:lineRule="auto"/>
              <w:rPr>
                <w:color w:val="auto"/>
              </w:rPr>
            </w:pPr>
            <w:r>
              <w:rPr>
                <w:color w:val="auto"/>
              </w:rPr>
              <w:t>环境管理及监测</w:t>
            </w:r>
          </w:p>
        </w:tc>
        <w:tc>
          <w:tcPr>
            <w:tcW w:w="4824" w:type="dxa"/>
            <w:gridSpan w:val="2"/>
            <w:noWrap w:val="0"/>
            <w:vAlign w:val="center"/>
          </w:tcPr>
          <w:p>
            <w:pPr>
              <w:pStyle w:val="274"/>
              <w:spacing w:line="240" w:lineRule="auto"/>
              <w:jc w:val="both"/>
              <w:rPr>
                <w:color w:val="auto"/>
              </w:rPr>
            </w:pPr>
            <w:r>
              <w:rPr>
                <w:color w:val="auto"/>
              </w:rPr>
              <w:t>定期开展环境监测工作，加强环境保护管理工作</w:t>
            </w:r>
          </w:p>
        </w:tc>
        <w:tc>
          <w:tcPr>
            <w:tcW w:w="1235" w:type="dxa"/>
            <w:noWrap w:val="0"/>
            <w:vAlign w:val="center"/>
          </w:tcPr>
          <w:p>
            <w:pPr>
              <w:pStyle w:val="274"/>
              <w:spacing w:line="240" w:lineRule="auto"/>
              <w:rPr>
                <w:color w:val="auto"/>
              </w:rPr>
            </w:pPr>
            <w:r>
              <w:rPr>
                <w:rFonts w:hint="eastAsia"/>
                <w:color w:val="auto"/>
              </w:rPr>
              <w:t>6</w:t>
            </w:r>
            <w:r>
              <w:rPr>
                <w:color w:val="auto"/>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703" w:type="dxa"/>
            <w:vMerge w:val="continue"/>
            <w:noWrap w:val="0"/>
            <w:vAlign w:val="center"/>
          </w:tcPr>
          <w:p>
            <w:pPr>
              <w:pStyle w:val="274"/>
              <w:spacing w:line="240" w:lineRule="auto"/>
              <w:rPr>
                <w:color w:val="auto"/>
              </w:rPr>
            </w:pPr>
          </w:p>
        </w:tc>
        <w:tc>
          <w:tcPr>
            <w:tcW w:w="880" w:type="dxa"/>
            <w:vMerge w:val="continue"/>
            <w:noWrap w:val="0"/>
            <w:vAlign w:val="center"/>
          </w:tcPr>
          <w:p>
            <w:pPr>
              <w:pStyle w:val="274"/>
              <w:spacing w:line="240" w:lineRule="auto"/>
              <w:rPr>
                <w:color w:val="auto"/>
              </w:rPr>
            </w:pPr>
          </w:p>
        </w:tc>
        <w:tc>
          <w:tcPr>
            <w:tcW w:w="1361" w:type="dxa"/>
            <w:noWrap w:val="0"/>
            <w:vAlign w:val="center"/>
          </w:tcPr>
          <w:p>
            <w:pPr>
              <w:pStyle w:val="274"/>
              <w:spacing w:line="240" w:lineRule="auto"/>
              <w:rPr>
                <w:color w:val="auto"/>
              </w:rPr>
            </w:pPr>
            <w:r>
              <w:rPr>
                <w:color w:val="auto"/>
              </w:rPr>
              <w:t>生态</w:t>
            </w:r>
          </w:p>
        </w:tc>
        <w:tc>
          <w:tcPr>
            <w:tcW w:w="4824" w:type="dxa"/>
            <w:gridSpan w:val="2"/>
            <w:noWrap w:val="0"/>
            <w:vAlign w:val="center"/>
          </w:tcPr>
          <w:p>
            <w:pPr>
              <w:pStyle w:val="274"/>
              <w:spacing w:line="240" w:lineRule="auto"/>
              <w:jc w:val="left"/>
              <w:rPr>
                <w:rFonts w:hint="eastAsia"/>
                <w:color w:val="auto"/>
              </w:rPr>
            </w:pPr>
            <w:r>
              <w:rPr>
                <w:color w:val="auto"/>
              </w:rPr>
              <w:t>厂区绿化</w:t>
            </w:r>
          </w:p>
        </w:tc>
        <w:tc>
          <w:tcPr>
            <w:tcW w:w="1235" w:type="dxa"/>
            <w:noWrap w:val="0"/>
            <w:vAlign w:val="center"/>
          </w:tcPr>
          <w:p>
            <w:pPr>
              <w:pStyle w:val="274"/>
              <w:spacing w:line="240" w:lineRule="auto"/>
              <w:rPr>
                <w:color w:val="auto"/>
              </w:rPr>
            </w:pPr>
            <w:r>
              <w:rPr>
                <w:color w:val="auto"/>
              </w:rPr>
              <w:t>1</w:t>
            </w:r>
            <w:r>
              <w:rPr>
                <w:rFonts w:hint="eastAsia"/>
                <w:color w:val="auto"/>
                <w:lang w:val="en-US" w:eastAsia="zh-CN"/>
              </w:rPr>
              <w:t>0.</w:t>
            </w:r>
            <w:r>
              <w:rPr>
                <w:color w:val="auto"/>
              </w:rPr>
              <w:t>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583" w:type="dxa"/>
            <w:gridSpan w:val="2"/>
            <w:noWrap w:val="0"/>
            <w:vAlign w:val="center"/>
          </w:tcPr>
          <w:p>
            <w:pPr>
              <w:pStyle w:val="274"/>
              <w:spacing w:line="240" w:lineRule="auto"/>
              <w:rPr>
                <w:color w:val="auto"/>
              </w:rPr>
            </w:pPr>
            <w:r>
              <w:rPr>
                <w:color w:val="auto"/>
              </w:rPr>
              <w:t>合计</w:t>
            </w:r>
          </w:p>
        </w:tc>
        <w:tc>
          <w:tcPr>
            <w:tcW w:w="1361" w:type="dxa"/>
            <w:noWrap w:val="0"/>
            <w:vAlign w:val="center"/>
          </w:tcPr>
          <w:p>
            <w:pPr>
              <w:pStyle w:val="274"/>
              <w:spacing w:line="240" w:lineRule="auto"/>
              <w:rPr>
                <w:color w:val="auto"/>
              </w:rPr>
            </w:pPr>
            <w:r>
              <w:rPr>
                <w:color w:val="auto"/>
              </w:rPr>
              <w:t>/</w:t>
            </w:r>
          </w:p>
        </w:tc>
        <w:tc>
          <w:tcPr>
            <w:tcW w:w="4824" w:type="dxa"/>
            <w:gridSpan w:val="2"/>
            <w:noWrap w:val="0"/>
            <w:vAlign w:val="center"/>
          </w:tcPr>
          <w:p>
            <w:pPr>
              <w:pStyle w:val="274"/>
              <w:spacing w:line="240" w:lineRule="auto"/>
              <w:rPr>
                <w:color w:val="auto"/>
              </w:rPr>
            </w:pPr>
            <w:r>
              <w:rPr>
                <w:color w:val="auto"/>
              </w:rPr>
              <w:t>/</w:t>
            </w:r>
          </w:p>
        </w:tc>
        <w:tc>
          <w:tcPr>
            <w:tcW w:w="1235" w:type="dxa"/>
            <w:noWrap w:val="0"/>
            <w:vAlign w:val="center"/>
          </w:tcPr>
          <w:p>
            <w:pPr>
              <w:pStyle w:val="274"/>
              <w:spacing w:line="240" w:lineRule="auto"/>
              <w:rPr>
                <w:rFonts w:hint="default"/>
                <w:color w:val="auto"/>
              </w:rPr>
            </w:pPr>
            <w:r>
              <w:rPr>
                <w:rFonts w:hint="default"/>
                <w:color w:val="auto"/>
              </w:rPr>
              <w:fldChar w:fldCharType="begin"/>
            </w:r>
            <w:r>
              <w:rPr>
                <w:rFonts w:hint="default"/>
                <w:color w:val="auto"/>
              </w:rPr>
              <w:instrText xml:space="preserve"> = SUM（ABOVE） \* MERGEFORMAT </w:instrText>
            </w:r>
            <w:r>
              <w:rPr>
                <w:rFonts w:hint="default"/>
                <w:color w:val="auto"/>
              </w:rPr>
              <w:fldChar w:fldCharType="separate"/>
            </w:r>
            <w:r>
              <w:rPr>
                <w:rFonts w:hint="default"/>
                <w:color w:val="auto"/>
              </w:rPr>
              <w:t>446.2</w:t>
            </w:r>
            <w:r>
              <w:rPr>
                <w:rFonts w:hint="default"/>
                <w:color w:val="auto"/>
              </w:rPr>
              <w:fldChar w:fldCharType="end"/>
            </w:r>
          </w:p>
        </w:tc>
      </w:tr>
    </w:tbl>
    <w:p>
      <w:pPr>
        <w:spacing w:before="120" w:beforeLines="50"/>
        <w:ind w:firstLine="480"/>
        <w:rPr>
          <w:color w:val="auto"/>
        </w:rPr>
      </w:pPr>
      <w:r>
        <w:rPr>
          <w:color w:val="auto"/>
        </w:rPr>
        <w:t>环境保护措施及技术经济论证结果表明：工程拟采取的废水、废气、噪声治理措施技术成熟可靠、经济合理可行；固体废物去向明确，能得到妥善处置。建设项目环境保护措施选择合理，能够产生较好的环境效益。</w:t>
      </w:r>
    </w:p>
    <w:p>
      <w:pPr>
        <w:ind w:firstLine="480"/>
        <w:rPr>
          <w:color w:val="auto"/>
        </w:rPr>
      </w:pPr>
    </w:p>
    <w:p>
      <w:pPr>
        <w:ind w:firstLine="480"/>
        <w:rPr>
          <w:color w:val="auto"/>
        </w:rPr>
        <w:sectPr>
          <w:headerReference r:id="rId20" w:type="default"/>
          <w:pgSz w:w="11906" w:h="16838"/>
          <w:pgMar w:top="1418" w:right="1418" w:bottom="1418" w:left="1701" w:header="851" w:footer="992" w:gutter="0"/>
          <w:cols w:space="720" w:num="1"/>
          <w:docGrid w:linePitch="312" w:charSpace="0"/>
        </w:sectPr>
      </w:pPr>
    </w:p>
    <w:p>
      <w:pPr>
        <w:pStyle w:val="6"/>
        <w:rPr>
          <w:rFonts w:eastAsia="黑体"/>
          <w:color w:val="auto"/>
          <w:sz w:val="44"/>
        </w:rPr>
      </w:pPr>
      <w:bookmarkStart w:id="224" w:name="_Toc20438"/>
      <w:r>
        <w:rPr>
          <w:rFonts w:eastAsia="黑体"/>
          <w:color w:val="auto"/>
          <w:sz w:val="44"/>
        </w:rPr>
        <w:t>环境影响经济损益分析</w:t>
      </w:r>
      <w:bookmarkEnd w:id="224"/>
    </w:p>
    <w:p>
      <w:pPr>
        <w:ind w:firstLine="480"/>
        <w:rPr>
          <w:rFonts w:hint="eastAsia"/>
          <w:color w:val="auto"/>
        </w:rPr>
      </w:pPr>
      <w:bookmarkStart w:id="225" w:name="_Toc488738023"/>
      <w:bookmarkStart w:id="226" w:name="_Toc418753356"/>
      <w:bookmarkStart w:id="227" w:name="_Toc436035715"/>
      <w:r>
        <w:rPr>
          <w:rFonts w:hint="eastAsia"/>
          <w:color w:val="auto"/>
        </w:rPr>
        <w:t>环境影响经济损益分析是建设项目环境影响评价的一个重要组成部分，它是综合评价判断建设项目的环保投资是否能够补偿或多大程度上补偿了由此可能造成的环境损失的重要依据，其主要任务是分析建设项目拟投入或投入的环保投资，所能收到的环境保护效果。因此，环境经济损益分析除了需计算用于治理控制污染所需的投资和费用外，还要同时核算项目建设可能收到的经济效益、环境效益和社会效益。</w:t>
      </w:r>
    </w:p>
    <w:p>
      <w:pPr>
        <w:pStyle w:val="7"/>
        <w:rPr>
          <w:rFonts w:eastAsia="黑体"/>
          <w:color w:val="auto"/>
          <w:sz w:val="32"/>
        </w:rPr>
      </w:pPr>
      <w:bookmarkStart w:id="228" w:name="_Toc436035714"/>
      <w:bookmarkStart w:id="229" w:name="_Toc488738022"/>
      <w:bookmarkStart w:id="230" w:name="_Toc9182"/>
      <w:r>
        <w:rPr>
          <w:rFonts w:eastAsia="黑体"/>
          <w:color w:val="auto"/>
          <w:sz w:val="32"/>
        </w:rPr>
        <w:t>环境经济损益分析的目的</w:t>
      </w:r>
      <w:bookmarkEnd w:id="228"/>
      <w:bookmarkEnd w:id="229"/>
      <w:bookmarkEnd w:id="230"/>
    </w:p>
    <w:p>
      <w:pPr>
        <w:ind w:firstLine="480"/>
        <w:rPr>
          <w:color w:val="auto"/>
        </w:rPr>
      </w:pPr>
      <w:r>
        <w:rPr>
          <w:rFonts w:hint="eastAsia"/>
          <w:color w:val="auto"/>
        </w:rPr>
        <w:t>环境影响经济损益分析是环境影响评价的重要环节之一，它的主要任务是衡量建设项目需要投入的环保投资和收到的环境保护效果，以及建设项目对外界产生的环境影响、经济影响和社会影响。</w:t>
      </w:r>
      <w:r>
        <w:rPr>
          <w:color w:val="auto"/>
        </w:rPr>
        <w:t>根据工程分析，本项目建设将不可避免的带来一些环境问题，对环境影响较大的主要施工期和运营期，特别是运营期，影响的范围大，因素多，为此工程将投入一定的经费，对所带来的环境问题进行治理。</w:t>
      </w:r>
    </w:p>
    <w:p>
      <w:pPr>
        <w:pStyle w:val="7"/>
        <w:rPr>
          <w:rFonts w:eastAsia="黑体"/>
          <w:color w:val="auto"/>
          <w:sz w:val="32"/>
        </w:rPr>
      </w:pPr>
      <w:bookmarkStart w:id="231" w:name="_Toc6235"/>
      <w:r>
        <w:rPr>
          <w:rFonts w:eastAsia="黑体"/>
          <w:color w:val="auto"/>
          <w:sz w:val="32"/>
        </w:rPr>
        <w:t>环境经济损益分析的方法</w:t>
      </w:r>
      <w:bookmarkEnd w:id="225"/>
      <w:bookmarkEnd w:id="226"/>
      <w:bookmarkEnd w:id="227"/>
      <w:bookmarkEnd w:id="231"/>
    </w:p>
    <w:p>
      <w:pPr>
        <w:ind w:firstLine="480"/>
        <w:rPr>
          <w:color w:val="auto"/>
        </w:rPr>
      </w:pPr>
      <w:r>
        <w:rPr>
          <w:color w:val="auto"/>
        </w:rPr>
        <w:t>环境经济损益分析采用国家环境保护总局推荐的《环境经济损益分析》的技术原则与方法进行，主要内容有：确定建设项目的环境保护投资费用；计算环境保护设施的运行、折旧、管理费用；确定项目无环保措施条件下的资源和社会损失；计算环保设施产生的经济效益；环境经济静态分析等。</w:t>
      </w:r>
      <w:r>
        <w:rPr>
          <w:rFonts w:hint="eastAsia"/>
          <w:color w:val="auto"/>
        </w:rPr>
        <w:t>经济效益比较直观，很容易用货币直接计算，而环境污染影响带来的损失一般是间接的，很难用货币直接计算，因此环境影响经济具体定量化分析，目前难度还是较大的，多数是采用定性与半定量相结合的方法进行讨论。</w:t>
      </w:r>
    </w:p>
    <w:p>
      <w:pPr>
        <w:pStyle w:val="7"/>
        <w:rPr>
          <w:rFonts w:eastAsia="黑体"/>
          <w:color w:val="auto"/>
          <w:sz w:val="32"/>
        </w:rPr>
      </w:pPr>
      <w:bookmarkStart w:id="232" w:name="_Toc436035716"/>
      <w:bookmarkStart w:id="233" w:name="_Toc488738025"/>
      <w:bookmarkStart w:id="234" w:name="_Toc5915"/>
      <w:r>
        <w:rPr>
          <w:rFonts w:eastAsia="黑体"/>
          <w:color w:val="auto"/>
          <w:sz w:val="32"/>
        </w:rPr>
        <w:t>项目经济效益分析</w:t>
      </w:r>
      <w:bookmarkEnd w:id="232"/>
      <w:bookmarkEnd w:id="233"/>
      <w:bookmarkEnd w:id="234"/>
    </w:p>
    <w:p>
      <w:pPr>
        <w:ind w:firstLine="480"/>
        <w:rPr>
          <w:color w:val="auto"/>
        </w:rPr>
      </w:pPr>
      <w:r>
        <w:rPr>
          <w:color w:val="auto"/>
        </w:rPr>
        <w:t>本项目总投资</w:t>
      </w:r>
      <w:r>
        <w:rPr>
          <w:rFonts w:hint="eastAsia"/>
          <w:color w:val="auto"/>
          <w:lang w:val="en-US" w:eastAsia="zh-CN"/>
        </w:rPr>
        <w:t>4600</w:t>
      </w:r>
      <w:r>
        <w:rPr>
          <w:color w:val="auto"/>
        </w:rPr>
        <w:t>万元，</w:t>
      </w:r>
      <w:r>
        <w:rPr>
          <w:rFonts w:hint="eastAsia"/>
          <w:color w:val="auto"/>
        </w:rPr>
        <w:t>项目的建设将促进该地区农业的发展，从而拉动地方经济增长，提升区域的经济消费水平。本项目建成后，</w:t>
      </w:r>
      <w:r>
        <w:rPr>
          <w:rFonts w:hint="eastAsia" w:ascii="Times New Roman"/>
          <w:color w:val="auto"/>
          <w:sz w:val="24"/>
          <w:szCs w:val="24"/>
          <w:u w:val="none"/>
        </w:rPr>
        <w:t>年出栏量育肥猪14000 头</w:t>
      </w:r>
      <w:r>
        <w:rPr>
          <w:rFonts w:hint="eastAsia"/>
          <w:color w:val="auto"/>
        </w:rPr>
        <w:t xml:space="preserve">，投资收益率较高。同进，本项目的建设具有产业链效益，能够带动当地经济的快速发展，并能促进饲料加工、种植业、养殖业等相关行业的发展。 </w:t>
      </w:r>
      <w:r>
        <w:rPr>
          <w:color w:val="auto"/>
        </w:rPr>
        <w:t xml:space="preserve"> </w:t>
      </w:r>
    </w:p>
    <w:p>
      <w:pPr>
        <w:ind w:firstLine="480"/>
        <w:rPr>
          <w:color w:val="auto"/>
        </w:rPr>
      </w:pPr>
      <w:r>
        <w:rPr>
          <w:rFonts w:hint="eastAsia"/>
          <w:color w:val="auto"/>
        </w:rPr>
        <w:t>因此，本项目的建设可促进区域畜牧业发展和产业结构的调整，增加当地的就业机会和人均收入，总体经济效益将会显著增长。</w:t>
      </w:r>
    </w:p>
    <w:p>
      <w:pPr>
        <w:pStyle w:val="7"/>
        <w:rPr>
          <w:rFonts w:eastAsia="黑体"/>
          <w:color w:val="auto"/>
          <w:sz w:val="32"/>
        </w:rPr>
      </w:pPr>
      <w:bookmarkStart w:id="235" w:name="_Toc15459"/>
      <w:bookmarkStart w:id="236" w:name="_Toc488738026"/>
      <w:bookmarkStart w:id="237" w:name="_Toc436035717"/>
      <w:r>
        <w:rPr>
          <w:rFonts w:eastAsia="黑体"/>
          <w:color w:val="auto"/>
          <w:sz w:val="32"/>
        </w:rPr>
        <w:t>项目社会效益分析</w:t>
      </w:r>
      <w:bookmarkEnd w:id="235"/>
      <w:bookmarkEnd w:id="236"/>
      <w:bookmarkEnd w:id="237"/>
    </w:p>
    <w:p>
      <w:pPr>
        <w:ind w:firstLine="480"/>
        <w:rPr>
          <w:rFonts w:hint="eastAsia"/>
          <w:color w:val="auto"/>
        </w:rPr>
      </w:pPr>
      <w:r>
        <w:rPr>
          <w:rFonts w:hint="eastAsia"/>
          <w:color w:val="auto"/>
        </w:rPr>
        <w:t>本项目的实施，将大幅度提高企业生猪的生产能力，向着经济规模和规模经营的方向迈进，同时进一步加强企业的科技含量和实力，并增强企业的市场竞争力和提高自身的经济效益；实现了农村剩余劳动力转化和带动农民致富，对优化农村经济结构和增加农民收入有着重要意义。项目的社会效益主要表现在以下几个方面：</w:t>
      </w:r>
    </w:p>
    <w:p>
      <w:pPr>
        <w:ind w:firstLine="480"/>
        <w:rPr>
          <w:rFonts w:hint="eastAsia"/>
          <w:color w:val="auto"/>
        </w:rPr>
      </w:pPr>
      <w:r>
        <w:rPr>
          <w:rFonts w:hint="eastAsia"/>
          <w:color w:val="auto"/>
        </w:rPr>
        <w:t>（1）项目的实施促进了养殖场的良性发展，增加了建设单位的市场竞争力。</w:t>
      </w:r>
    </w:p>
    <w:p>
      <w:pPr>
        <w:ind w:firstLine="480"/>
        <w:rPr>
          <w:rFonts w:hint="eastAsia"/>
          <w:color w:val="auto"/>
        </w:rPr>
      </w:pPr>
      <w:r>
        <w:rPr>
          <w:rFonts w:hint="eastAsia"/>
          <w:color w:val="auto"/>
        </w:rPr>
        <w:t>（2）养殖场的废物得到资源化的利用，促进了项目单位循环经济和生态经济的良性发展。项目对污染物进行了治理，实现了清洁养殖，为生猪的良性繁育创造了较好环境，增强了市场竞争力。</w:t>
      </w:r>
    </w:p>
    <w:p>
      <w:pPr>
        <w:ind w:firstLine="480"/>
        <w:rPr>
          <w:rFonts w:hint="eastAsia"/>
          <w:color w:val="auto"/>
        </w:rPr>
      </w:pPr>
      <w:r>
        <w:rPr>
          <w:rFonts w:hint="eastAsia"/>
          <w:color w:val="auto"/>
        </w:rPr>
        <w:t>（3）项目的清洁生产措施，很大程度上节约了资源和能源，起到了“节能、降耗、减污、增效”的作用，符合国家产业政策和环保治理要求。</w:t>
      </w:r>
    </w:p>
    <w:p>
      <w:pPr>
        <w:ind w:firstLine="480"/>
        <w:rPr>
          <w:rFonts w:hint="eastAsia"/>
          <w:color w:val="auto"/>
        </w:rPr>
      </w:pPr>
      <w:r>
        <w:rPr>
          <w:rFonts w:hint="eastAsia"/>
          <w:color w:val="auto"/>
        </w:rPr>
        <w:t>（4）项目的标准化、规模化建设将形成农村能源产业，由此所需的技术、管理队伍可就地吸纳农村剩余劳动力，有利于维护农村社会稳定，对提高人民生活水平起到积极作用。</w:t>
      </w:r>
    </w:p>
    <w:p>
      <w:pPr>
        <w:ind w:firstLine="480"/>
        <w:rPr>
          <w:rFonts w:hint="eastAsia"/>
          <w:color w:val="auto"/>
        </w:rPr>
      </w:pPr>
      <w:r>
        <w:rPr>
          <w:rFonts w:hint="eastAsia"/>
          <w:color w:val="auto"/>
        </w:rPr>
        <w:t>（5）项目的建设可拉动周边畜禽养殖业、肉制品加工业、饲料加工业、有机肥深加工等行业的快速发展，同时为周围种植业提供了大量优质有机肥，降低了化肥、农药在农产品生产中的使用量，为无害农产品生产提供了有利条件，有利于促进周围农村产业结构调整。</w:t>
      </w:r>
    </w:p>
    <w:p>
      <w:pPr>
        <w:ind w:firstLine="480"/>
        <w:rPr>
          <w:rFonts w:hint="eastAsia"/>
          <w:color w:val="auto"/>
        </w:rPr>
      </w:pPr>
      <w:r>
        <w:rPr>
          <w:rFonts w:hint="eastAsia"/>
          <w:color w:val="auto"/>
        </w:rPr>
        <w:t>（6）项目投产后，可增加当地财政收入，提高当地社会经济发展水平，对区域社会稳定发挥了较强作用。</w:t>
      </w:r>
    </w:p>
    <w:p>
      <w:pPr>
        <w:pStyle w:val="7"/>
        <w:rPr>
          <w:rFonts w:eastAsia="黑体"/>
          <w:color w:val="auto"/>
          <w:sz w:val="32"/>
        </w:rPr>
      </w:pPr>
      <w:bookmarkStart w:id="238" w:name="_Toc1377"/>
      <w:r>
        <w:rPr>
          <w:rFonts w:hint="eastAsia" w:eastAsia="黑体"/>
          <w:color w:val="auto"/>
          <w:sz w:val="32"/>
        </w:rPr>
        <w:t>项目</w:t>
      </w:r>
      <w:r>
        <w:rPr>
          <w:rFonts w:eastAsia="黑体"/>
          <w:color w:val="auto"/>
          <w:sz w:val="32"/>
        </w:rPr>
        <w:t>生态效益分析</w:t>
      </w:r>
      <w:bookmarkEnd w:id="238"/>
    </w:p>
    <w:p>
      <w:pPr>
        <w:pStyle w:val="16"/>
        <w:spacing w:line="360" w:lineRule="auto"/>
        <w:ind w:firstLine="480"/>
        <w:rPr>
          <w:rFonts w:hint="eastAsia"/>
          <w:color w:val="auto"/>
        </w:rPr>
      </w:pPr>
      <w:r>
        <w:rPr>
          <w:rFonts w:hint="eastAsia"/>
          <w:color w:val="auto"/>
        </w:rPr>
        <w:t>本项目以生态平衡为宗旨，大力开展绿化造林，搞好道路、场区四旁绿化、美化环境，猪场的清粪工艺采用干清粪工艺，粪便</w:t>
      </w:r>
      <w:r>
        <w:rPr>
          <w:rFonts w:hint="eastAsia"/>
          <w:bCs/>
          <w:color w:val="auto"/>
        </w:rPr>
        <w:t>外售堆肥厂进行堆肥发酵做有机肥基料</w:t>
      </w:r>
      <w:r>
        <w:rPr>
          <w:rFonts w:hint="eastAsia"/>
          <w:color w:val="auto"/>
        </w:rPr>
        <w:t>，污水进行深度处理后综合利用，污粪未混合排出。猪粪用于有机肥生产，使猪粪变废为宝，为有机农业、绿色农业和设施农业的发展做出新的贡献。猪粪是优质有机肥可改良土壤、提高土壤中氧气通透性，杜绝使用化学肥料对土壤和果蔬产品的毒物质残留，确保了食品安全，同时提高农产品市场竞争和农产品价位。</w:t>
      </w:r>
    </w:p>
    <w:p>
      <w:pPr>
        <w:pStyle w:val="7"/>
        <w:rPr>
          <w:rFonts w:eastAsia="黑体"/>
          <w:color w:val="auto"/>
          <w:sz w:val="32"/>
        </w:rPr>
      </w:pPr>
      <w:bookmarkStart w:id="239" w:name="_Toc488738027"/>
      <w:bookmarkStart w:id="240" w:name="_Toc436035718"/>
      <w:bookmarkStart w:id="241" w:name="_Toc26516"/>
      <w:r>
        <w:rPr>
          <w:rFonts w:eastAsia="黑体"/>
          <w:color w:val="auto"/>
          <w:sz w:val="32"/>
        </w:rPr>
        <w:t>环境经济损益分析</w:t>
      </w:r>
      <w:bookmarkEnd w:id="239"/>
      <w:bookmarkEnd w:id="240"/>
      <w:bookmarkEnd w:id="241"/>
    </w:p>
    <w:p>
      <w:pPr>
        <w:ind w:firstLine="480"/>
        <w:rPr>
          <w:color w:val="auto"/>
        </w:rPr>
      </w:pPr>
      <w:r>
        <w:rPr>
          <w:color w:val="auto"/>
        </w:rPr>
        <w:t>根据工程分析，本项目建设将不可避免的带来一些环境问题，对环境影响较大的主要施工期和运营期，特别是运营期，影响的范围大，因素多，为此工程将投入一定的经费，对所带来的环境问题进行治理。</w:t>
      </w:r>
    </w:p>
    <w:p>
      <w:pPr>
        <w:pStyle w:val="8"/>
        <w:tabs>
          <w:tab w:val="clear" w:pos="0"/>
        </w:tabs>
        <w:rPr>
          <w:rFonts w:eastAsia="黑体"/>
          <w:color w:val="auto"/>
          <w:sz w:val="28"/>
          <w:szCs w:val="28"/>
        </w:rPr>
      </w:pPr>
      <w:r>
        <w:rPr>
          <w:rFonts w:hint="eastAsia" w:eastAsia="黑体"/>
          <w:color w:val="auto"/>
          <w:sz w:val="28"/>
          <w:szCs w:val="28"/>
        </w:rPr>
        <w:t>环保</w:t>
      </w:r>
      <w:r>
        <w:rPr>
          <w:rFonts w:eastAsia="黑体"/>
          <w:color w:val="auto"/>
          <w:sz w:val="28"/>
          <w:szCs w:val="28"/>
        </w:rPr>
        <w:t>投资</w:t>
      </w:r>
    </w:p>
    <w:p>
      <w:pPr>
        <w:ind w:firstLine="482"/>
        <w:rPr>
          <w:rFonts w:hint="eastAsia"/>
          <w:b/>
          <w:color w:val="auto"/>
        </w:rPr>
      </w:pPr>
      <w:r>
        <w:rPr>
          <w:b/>
          <w:color w:val="auto"/>
        </w:rPr>
        <w:t>1、</w:t>
      </w:r>
      <w:r>
        <w:rPr>
          <w:rFonts w:hint="eastAsia"/>
          <w:b/>
          <w:color w:val="auto"/>
        </w:rPr>
        <w:t>环保设施建设投资</w:t>
      </w:r>
      <w:r>
        <w:rPr>
          <w:rFonts w:hint="eastAsia"/>
          <w:b/>
          <w:i/>
          <w:color w:val="auto"/>
        </w:rPr>
        <w:t>C</w:t>
      </w:r>
      <w:r>
        <w:rPr>
          <w:rFonts w:hint="eastAsia"/>
          <w:b/>
          <w:i/>
          <w:color w:val="auto"/>
          <w:vertAlign w:val="subscript"/>
        </w:rPr>
        <w:t>0</w:t>
      </w:r>
    </w:p>
    <w:p>
      <w:pPr>
        <w:ind w:firstLine="480"/>
        <w:rPr>
          <w:rFonts w:hint="eastAsia"/>
          <w:color w:val="auto"/>
        </w:rPr>
      </w:pPr>
      <w:r>
        <w:rPr>
          <w:rFonts w:hint="eastAsia"/>
          <w:color w:val="auto"/>
        </w:rPr>
        <w:t>为控制和减轻对周围环境的污染，本项目用于环保设施建设的一次性投资约</w:t>
      </w:r>
      <w:r>
        <w:rPr>
          <w:rFonts w:hint="default"/>
          <w:color w:val="auto"/>
        </w:rPr>
        <w:fldChar w:fldCharType="begin"/>
      </w:r>
      <w:r>
        <w:rPr>
          <w:rFonts w:hint="default"/>
          <w:color w:val="auto"/>
        </w:rPr>
        <w:instrText xml:space="preserve"> = SUM（ABOVE） \* MERGEFORMAT </w:instrText>
      </w:r>
      <w:r>
        <w:rPr>
          <w:rFonts w:hint="default"/>
          <w:color w:val="auto"/>
        </w:rPr>
        <w:fldChar w:fldCharType="separate"/>
      </w:r>
      <w:r>
        <w:rPr>
          <w:rFonts w:hint="default"/>
          <w:color w:val="auto"/>
        </w:rPr>
        <w:t>446.2</w:t>
      </w:r>
      <w:r>
        <w:rPr>
          <w:rFonts w:hint="default"/>
          <w:color w:val="auto"/>
        </w:rPr>
        <w:fldChar w:fldCharType="end"/>
      </w:r>
      <w:r>
        <w:rPr>
          <w:rFonts w:hint="eastAsia"/>
          <w:color w:val="auto"/>
        </w:rPr>
        <w:t>万元，占项目总投资的</w:t>
      </w:r>
      <w:r>
        <w:rPr>
          <w:rFonts w:hint="eastAsia"/>
          <w:color w:val="auto"/>
          <w:lang w:val="en-US" w:eastAsia="zh-CN"/>
        </w:rPr>
        <w:t>9.7</w:t>
      </w:r>
      <w:r>
        <w:rPr>
          <w:rFonts w:hint="eastAsia"/>
          <w:color w:val="auto"/>
        </w:rPr>
        <w:t>%。本项目运营期废气治理设施投资32.5万元，占环保投资的</w:t>
      </w:r>
      <w:r>
        <w:rPr>
          <w:rFonts w:hint="eastAsia"/>
          <w:color w:val="auto"/>
          <w:lang w:val="en-US" w:eastAsia="zh-CN"/>
        </w:rPr>
        <w:t>7.28</w:t>
      </w:r>
      <w:r>
        <w:rPr>
          <w:rFonts w:hint="eastAsia"/>
          <w:color w:val="auto"/>
        </w:rPr>
        <w:t>%；废水治理设施</w:t>
      </w:r>
      <w:r>
        <w:rPr>
          <w:rFonts w:hint="eastAsia"/>
          <w:color w:val="auto"/>
          <w:lang w:val="en-US" w:eastAsia="zh-CN"/>
        </w:rPr>
        <w:t>3</w:t>
      </w:r>
      <w:r>
        <w:rPr>
          <w:color w:val="auto"/>
        </w:rPr>
        <w:t>00</w:t>
      </w:r>
      <w:r>
        <w:rPr>
          <w:rFonts w:hint="eastAsia"/>
          <w:color w:val="auto"/>
        </w:rPr>
        <w:t>万元，占环保投资的</w:t>
      </w:r>
      <w:r>
        <w:rPr>
          <w:rFonts w:hint="eastAsia"/>
          <w:color w:val="auto"/>
          <w:lang w:val="en-US" w:eastAsia="zh-CN"/>
        </w:rPr>
        <w:t>67.23</w:t>
      </w:r>
      <w:r>
        <w:rPr>
          <w:rFonts w:hint="eastAsia"/>
          <w:color w:val="auto"/>
        </w:rPr>
        <w:t>%；噪声防治措施投资</w:t>
      </w:r>
      <w:r>
        <w:rPr>
          <w:color w:val="auto"/>
        </w:rPr>
        <w:t>7.0</w:t>
      </w:r>
      <w:r>
        <w:rPr>
          <w:rFonts w:hint="eastAsia"/>
          <w:color w:val="auto"/>
        </w:rPr>
        <w:t>万元，占环保投资</w:t>
      </w:r>
      <w:r>
        <w:rPr>
          <w:color w:val="auto"/>
        </w:rPr>
        <w:t>1.</w:t>
      </w:r>
      <w:r>
        <w:rPr>
          <w:rFonts w:hint="eastAsia"/>
          <w:color w:val="auto"/>
          <w:lang w:val="en-US" w:eastAsia="zh-CN"/>
        </w:rPr>
        <w:t>57</w:t>
      </w:r>
      <w:r>
        <w:rPr>
          <w:rFonts w:hint="eastAsia"/>
          <w:color w:val="auto"/>
        </w:rPr>
        <w:t>%；固废处置设施</w:t>
      </w:r>
      <w:r>
        <w:rPr>
          <w:rFonts w:hint="default"/>
          <w:color w:val="auto"/>
        </w:rPr>
        <w:fldChar w:fldCharType="begin"/>
      </w:r>
      <w:r>
        <w:rPr>
          <w:rFonts w:hint="default"/>
          <w:color w:val="auto"/>
        </w:rPr>
        <w:instrText xml:space="preserve"> =SUM(ABOVE) \* MERGEFORMAT </w:instrText>
      </w:r>
      <w:r>
        <w:rPr>
          <w:rFonts w:hint="default"/>
          <w:color w:val="auto"/>
        </w:rPr>
        <w:fldChar w:fldCharType="separate"/>
      </w:r>
      <w:r>
        <w:rPr>
          <w:rFonts w:hint="default"/>
          <w:color w:val="auto"/>
        </w:rPr>
        <w:t>13.6</w:t>
      </w:r>
      <w:r>
        <w:rPr>
          <w:rFonts w:hint="default"/>
          <w:color w:val="auto"/>
        </w:rPr>
        <w:fldChar w:fldCharType="end"/>
      </w:r>
      <w:r>
        <w:rPr>
          <w:rFonts w:hint="eastAsia"/>
          <w:color w:val="auto"/>
        </w:rPr>
        <w:t>万元，占环保投资的</w:t>
      </w:r>
      <w:r>
        <w:rPr>
          <w:rFonts w:hint="eastAsia"/>
          <w:color w:val="auto"/>
          <w:lang w:val="en-US" w:eastAsia="zh-CN"/>
        </w:rPr>
        <w:t>3.05</w:t>
      </w:r>
      <w:r>
        <w:rPr>
          <w:rFonts w:hint="eastAsia"/>
          <w:color w:val="auto"/>
        </w:rPr>
        <w:t>%；地下水防治措施投资</w:t>
      </w:r>
      <w:r>
        <w:rPr>
          <w:rFonts w:hint="eastAsia"/>
          <w:color w:val="auto"/>
          <w:lang w:val="en-US" w:eastAsia="zh-CN"/>
        </w:rPr>
        <w:t>30</w:t>
      </w:r>
      <w:r>
        <w:rPr>
          <w:rFonts w:hint="eastAsia"/>
          <w:color w:val="auto"/>
        </w:rPr>
        <w:t>.0万元，占环保投资的</w:t>
      </w:r>
      <w:r>
        <w:rPr>
          <w:rFonts w:hint="eastAsia"/>
          <w:color w:val="auto"/>
          <w:lang w:val="en-US" w:eastAsia="zh-CN"/>
        </w:rPr>
        <w:t>6.72</w:t>
      </w:r>
      <w:r>
        <w:rPr>
          <w:rFonts w:hint="eastAsia"/>
          <w:color w:val="auto"/>
        </w:rPr>
        <w:t>%；风险防治措施投资</w:t>
      </w:r>
      <w:r>
        <w:rPr>
          <w:rFonts w:hint="eastAsia"/>
          <w:color w:val="auto"/>
          <w:lang w:val="en-US" w:eastAsia="zh-CN"/>
        </w:rPr>
        <w:t>13.0</w:t>
      </w:r>
      <w:r>
        <w:rPr>
          <w:rFonts w:hint="eastAsia"/>
          <w:color w:val="auto"/>
        </w:rPr>
        <w:t>万元，占环保投资</w:t>
      </w:r>
      <w:r>
        <w:rPr>
          <w:color w:val="auto"/>
        </w:rPr>
        <w:t>2.</w:t>
      </w:r>
      <w:r>
        <w:rPr>
          <w:rFonts w:hint="eastAsia"/>
          <w:color w:val="auto"/>
          <w:lang w:val="en-US" w:eastAsia="zh-CN"/>
        </w:rPr>
        <w:t>91</w:t>
      </w:r>
      <w:r>
        <w:rPr>
          <w:rFonts w:hint="eastAsia"/>
          <w:color w:val="auto"/>
        </w:rPr>
        <w:t>%。</w:t>
      </w:r>
    </w:p>
    <w:p>
      <w:pPr>
        <w:ind w:firstLine="480"/>
        <w:rPr>
          <w:color w:val="auto"/>
        </w:rPr>
      </w:pPr>
      <w:r>
        <w:rPr>
          <w:rFonts w:hint="eastAsia"/>
          <w:color w:val="auto"/>
        </w:rPr>
        <w:t>根据工程的污染源与污染物排放情况，认为工程环保投资的分配使用突出了废水、固体废物治理力度，符合工程实际，有利于实现社会、经济与环境三个效益的统一。</w:t>
      </w:r>
    </w:p>
    <w:p>
      <w:pPr>
        <w:ind w:firstLine="482"/>
        <w:rPr>
          <w:rFonts w:hint="eastAsia"/>
          <w:b/>
          <w:color w:val="auto"/>
        </w:rPr>
      </w:pPr>
      <w:r>
        <w:rPr>
          <w:rFonts w:hint="eastAsia"/>
          <w:b/>
          <w:color w:val="auto"/>
        </w:rPr>
        <w:t>2、环保设施折旧费</w:t>
      </w:r>
      <w:r>
        <w:rPr>
          <w:rFonts w:hint="eastAsia"/>
          <w:b/>
          <w:i/>
          <w:color w:val="auto"/>
        </w:rPr>
        <w:t>C</w:t>
      </w:r>
      <w:r>
        <w:rPr>
          <w:rFonts w:hint="eastAsia"/>
          <w:b/>
          <w:i/>
          <w:color w:val="auto"/>
          <w:vertAlign w:val="subscript"/>
        </w:rPr>
        <w:t>1</w:t>
      </w:r>
    </w:p>
    <w:p>
      <w:pPr>
        <w:ind w:firstLine="480"/>
        <w:rPr>
          <w:rFonts w:hint="eastAsia"/>
          <w:color w:val="auto"/>
        </w:rPr>
      </w:pPr>
      <w:r>
        <w:rPr>
          <w:rFonts w:hint="eastAsia"/>
          <w:color w:val="auto"/>
        </w:rPr>
        <w:t>项目环保设施投资折旧费由下式计算：</w:t>
      </w:r>
    </w:p>
    <w:p>
      <w:pPr>
        <w:ind w:firstLine="0" w:firstLineChars="0"/>
        <w:jc w:val="center"/>
        <w:rPr>
          <w:color w:val="auto"/>
        </w:rPr>
      </w:pPr>
      <w:r>
        <w:rPr>
          <w:i/>
          <w:color w:val="auto"/>
        </w:rPr>
        <w:t>C</w:t>
      </w:r>
      <w:r>
        <w:rPr>
          <w:i/>
          <w:color w:val="auto"/>
          <w:vertAlign w:val="subscript"/>
        </w:rPr>
        <w:t>1</w:t>
      </w:r>
      <w:r>
        <w:rPr>
          <w:color w:val="auto"/>
        </w:rPr>
        <w:t>＝</w:t>
      </w:r>
      <w:r>
        <w:rPr>
          <w:i/>
          <w:color w:val="auto"/>
        </w:rPr>
        <w:t>A</w:t>
      </w:r>
      <w:r>
        <w:rPr>
          <w:color w:val="auto"/>
        </w:rPr>
        <w:t>×</w:t>
      </w:r>
      <w:r>
        <w:rPr>
          <w:i/>
          <w:color w:val="auto"/>
        </w:rPr>
        <w:t>C</w:t>
      </w:r>
      <w:r>
        <w:rPr>
          <w:i/>
          <w:color w:val="auto"/>
          <w:vertAlign w:val="subscript"/>
        </w:rPr>
        <w:t>0</w:t>
      </w:r>
      <w:r>
        <w:rPr>
          <w:color w:val="auto"/>
        </w:rPr>
        <w:t>/</w:t>
      </w:r>
      <w:r>
        <w:rPr>
          <w:i/>
          <w:color w:val="auto"/>
        </w:rPr>
        <w:t>n</w:t>
      </w:r>
      <w:r>
        <w:rPr>
          <w:color w:val="auto"/>
        </w:rPr>
        <w:t>＝</w:t>
      </w:r>
      <w:r>
        <w:rPr>
          <w:rFonts w:hint="eastAsia"/>
          <w:color w:val="auto"/>
          <w:lang w:val="en-US" w:eastAsia="zh-CN"/>
        </w:rPr>
        <w:t>28.26</w:t>
      </w:r>
      <w:r>
        <w:rPr>
          <w:color w:val="auto"/>
        </w:rPr>
        <w:t>（万元/a）</w:t>
      </w:r>
    </w:p>
    <w:p>
      <w:pPr>
        <w:ind w:firstLine="480"/>
        <w:rPr>
          <w:color w:val="auto"/>
        </w:rPr>
      </w:pPr>
      <w:r>
        <w:rPr>
          <w:color w:val="auto"/>
        </w:rPr>
        <w:t>式中：</w:t>
      </w:r>
      <w:r>
        <w:rPr>
          <w:i/>
          <w:color w:val="auto"/>
        </w:rPr>
        <w:t>A</w:t>
      </w:r>
      <w:r>
        <w:rPr>
          <w:color w:val="auto"/>
        </w:rPr>
        <w:t>——固定资产形成率，取95%；</w:t>
      </w:r>
    </w:p>
    <w:p>
      <w:pPr>
        <w:ind w:firstLine="1200" w:firstLineChars="500"/>
        <w:rPr>
          <w:color w:val="auto"/>
        </w:rPr>
      </w:pPr>
      <w:r>
        <w:rPr>
          <w:i/>
          <w:color w:val="auto"/>
        </w:rPr>
        <w:t>C</w:t>
      </w:r>
      <w:r>
        <w:rPr>
          <w:i/>
          <w:color w:val="auto"/>
          <w:vertAlign w:val="subscript"/>
        </w:rPr>
        <w:t>0</w:t>
      </w:r>
      <w:r>
        <w:rPr>
          <w:color w:val="auto"/>
        </w:rPr>
        <w:t>——环保总投资（万元）；</w:t>
      </w:r>
    </w:p>
    <w:p>
      <w:pPr>
        <w:ind w:firstLine="1200" w:firstLineChars="500"/>
        <w:rPr>
          <w:color w:val="auto"/>
        </w:rPr>
      </w:pPr>
      <w:r>
        <w:rPr>
          <w:i/>
          <w:color w:val="auto"/>
        </w:rPr>
        <w:t>n</w:t>
      </w:r>
      <w:r>
        <w:rPr>
          <w:color w:val="auto"/>
        </w:rPr>
        <w:t>——折旧年限，取15年。</w:t>
      </w:r>
    </w:p>
    <w:p>
      <w:pPr>
        <w:ind w:firstLine="482"/>
        <w:rPr>
          <w:rFonts w:hint="eastAsia"/>
          <w:b/>
          <w:color w:val="auto"/>
        </w:rPr>
      </w:pPr>
      <w:r>
        <w:rPr>
          <w:rFonts w:hint="eastAsia"/>
          <w:b/>
          <w:color w:val="auto"/>
        </w:rPr>
        <w:t>3、环保设施消耗费用</w:t>
      </w:r>
      <w:r>
        <w:rPr>
          <w:rFonts w:hint="eastAsia"/>
          <w:b/>
          <w:i/>
          <w:color w:val="auto"/>
        </w:rPr>
        <w:t>C</w:t>
      </w:r>
      <w:r>
        <w:rPr>
          <w:rFonts w:hint="eastAsia"/>
          <w:b/>
          <w:i/>
          <w:color w:val="auto"/>
          <w:vertAlign w:val="subscript"/>
        </w:rPr>
        <w:t>2</w:t>
      </w:r>
    </w:p>
    <w:p>
      <w:pPr>
        <w:ind w:firstLine="480"/>
        <w:rPr>
          <w:rFonts w:hint="eastAsia"/>
          <w:color w:val="auto"/>
        </w:rPr>
      </w:pPr>
      <w:r>
        <w:rPr>
          <w:rFonts w:hint="eastAsia"/>
          <w:color w:val="auto"/>
        </w:rPr>
        <w:t>本项目各污染物经过厂区污染治理设施治理达标后排放。</w:t>
      </w:r>
    </w:p>
    <w:p>
      <w:pPr>
        <w:ind w:firstLine="480"/>
        <w:rPr>
          <w:rFonts w:hint="eastAsia"/>
          <w:color w:val="auto"/>
        </w:rPr>
      </w:pPr>
      <w:r>
        <w:rPr>
          <w:rFonts w:hint="eastAsia"/>
          <w:color w:val="auto"/>
        </w:rPr>
        <w:t>项目废气处理运行费用主要源于通风设施运行、饲料配方改进等，运行费用约为</w:t>
      </w:r>
      <w:r>
        <w:rPr>
          <w:rFonts w:hint="eastAsia"/>
          <w:color w:val="auto"/>
          <w:lang w:val="en-US" w:eastAsia="zh-CN"/>
        </w:rPr>
        <w:t>16</w:t>
      </w:r>
      <w:r>
        <w:rPr>
          <w:rFonts w:hint="eastAsia"/>
          <w:color w:val="auto"/>
        </w:rPr>
        <w:t>万元/年。</w:t>
      </w:r>
    </w:p>
    <w:p>
      <w:pPr>
        <w:ind w:firstLine="480"/>
        <w:rPr>
          <w:rFonts w:hint="eastAsia"/>
          <w:color w:val="auto"/>
        </w:rPr>
      </w:pPr>
      <w:r>
        <w:rPr>
          <w:rFonts w:hint="eastAsia"/>
          <w:color w:val="auto"/>
        </w:rPr>
        <w:t>废水处理运行费用主要源于设备运行电费，根据废水污染防治措施分析，废水处理系统年运行费用约为15.0万元/年。</w:t>
      </w:r>
    </w:p>
    <w:p>
      <w:pPr>
        <w:ind w:firstLine="480"/>
        <w:rPr>
          <w:rFonts w:hint="eastAsia"/>
          <w:color w:val="auto"/>
        </w:rPr>
      </w:pPr>
      <w:r>
        <w:rPr>
          <w:rFonts w:hint="eastAsia"/>
          <w:color w:val="auto"/>
        </w:rPr>
        <w:t>合计后，本项目环境污染治理设施工程的年运行费用</w:t>
      </w:r>
      <w:r>
        <w:rPr>
          <w:rFonts w:hint="eastAsia"/>
          <w:i/>
          <w:color w:val="auto"/>
        </w:rPr>
        <w:t>C</w:t>
      </w:r>
      <w:r>
        <w:rPr>
          <w:rFonts w:hint="eastAsia"/>
          <w:i/>
          <w:color w:val="auto"/>
          <w:vertAlign w:val="subscript"/>
        </w:rPr>
        <w:t>2</w:t>
      </w:r>
      <w:r>
        <w:rPr>
          <w:rFonts w:hint="eastAsia"/>
          <w:color w:val="auto"/>
        </w:rPr>
        <w:t>约为</w:t>
      </w:r>
      <w:r>
        <w:rPr>
          <w:rFonts w:hint="eastAsia"/>
          <w:color w:val="auto"/>
          <w:lang w:val="en-US" w:eastAsia="zh-CN"/>
        </w:rPr>
        <w:t>31</w:t>
      </w:r>
      <w:r>
        <w:rPr>
          <w:rFonts w:hint="eastAsia"/>
          <w:color w:val="auto"/>
        </w:rPr>
        <w:t>.0万元/年。</w:t>
      </w:r>
    </w:p>
    <w:p>
      <w:pPr>
        <w:ind w:firstLine="482"/>
        <w:rPr>
          <w:rFonts w:hint="eastAsia"/>
          <w:b/>
          <w:color w:val="auto"/>
        </w:rPr>
      </w:pPr>
      <w:r>
        <w:rPr>
          <w:rFonts w:hint="eastAsia"/>
          <w:b/>
          <w:color w:val="auto"/>
        </w:rPr>
        <w:t>4、环保设施管理费</w:t>
      </w:r>
      <w:r>
        <w:rPr>
          <w:rFonts w:hint="eastAsia"/>
          <w:b/>
          <w:i/>
          <w:color w:val="auto"/>
        </w:rPr>
        <w:t>C</w:t>
      </w:r>
      <w:r>
        <w:rPr>
          <w:rFonts w:hint="eastAsia"/>
          <w:b/>
          <w:i/>
          <w:color w:val="auto"/>
          <w:vertAlign w:val="subscript"/>
        </w:rPr>
        <w:t>3</w:t>
      </w:r>
    </w:p>
    <w:p>
      <w:pPr>
        <w:ind w:firstLine="480"/>
        <w:rPr>
          <w:rFonts w:hint="eastAsia"/>
          <w:color w:val="auto"/>
        </w:rPr>
      </w:pPr>
      <w:r>
        <w:rPr>
          <w:rFonts w:hint="eastAsia"/>
          <w:color w:val="auto"/>
        </w:rPr>
        <w:t>环保管理费用包括管理部门、监测部门的人工费、办公费、监测费和技术咨询等费用，按环保设施折旧费和环保设施消耗费用总费用的</w:t>
      </w:r>
      <w:r>
        <w:rPr>
          <w:color w:val="auto"/>
        </w:rPr>
        <w:t>3</w:t>
      </w:r>
      <w:r>
        <w:rPr>
          <w:rFonts w:hint="eastAsia"/>
          <w:color w:val="auto"/>
        </w:rPr>
        <w:t>%计算。</w:t>
      </w:r>
      <w:r>
        <w:rPr>
          <w:rFonts w:hint="eastAsia"/>
          <w:i/>
          <w:color w:val="auto"/>
        </w:rPr>
        <w:t>C</w:t>
      </w:r>
      <w:r>
        <w:rPr>
          <w:rFonts w:hint="eastAsia"/>
          <w:i/>
          <w:color w:val="auto"/>
          <w:vertAlign w:val="subscript"/>
        </w:rPr>
        <w:t>3</w:t>
      </w:r>
      <w:r>
        <w:rPr>
          <w:rFonts w:hint="eastAsia"/>
          <w:color w:val="auto"/>
        </w:rPr>
        <w:t>＝（</w:t>
      </w:r>
      <w:r>
        <w:rPr>
          <w:rFonts w:hint="eastAsia"/>
          <w:i/>
          <w:color w:val="auto"/>
        </w:rPr>
        <w:t>C</w:t>
      </w:r>
      <w:r>
        <w:rPr>
          <w:i/>
          <w:color w:val="auto"/>
          <w:vertAlign w:val="subscript"/>
        </w:rPr>
        <w:t>1</w:t>
      </w:r>
      <w:r>
        <w:rPr>
          <w:color w:val="auto"/>
        </w:rPr>
        <w:t>+</w:t>
      </w:r>
      <w:r>
        <w:rPr>
          <w:rFonts w:hint="eastAsia"/>
          <w:i/>
          <w:color w:val="auto"/>
        </w:rPr>
        <w:t>C</w:t>
      </w:r>
      <w:r>
        <w:rPr>
          <w:rFonts w:hint="eastAsia"/>
          <w:i/>
          <w:color w:val="auto"/>
          <w:vertAlign w:val="subscript"/>
        </w:rPr>
        <w:t>2</w:t>
      </w:r>
      <w:r>
        <w:rPr>
          <w:rFonts w:hint="eastAsia"/>
          <w:color w:val="auto"/>
        </w:rPr>
        <w:t>）</w:t>
      </w:r>
      <w:r>
        <w:rPr>
          <w:color w:val="auto"/>
        </w:rPr>
        <w:t>×3</w:t>
      </w:r>
      <w:r>
        <w:rPr>
          <w:rFonts w:hint="eastAsia"/>
          <w:color w:val="auto"/>
        </w:rPr>
        <w:t>%＝</w:t>
      </w:r>
      <w:r>
        <w:rPr>
          <w:rFonts w:hint="eastAsia"/>
          <w:color w:val="auto"/>
          <w:lang w:val="en-US" w:eastAsia="zh-CN"/>
        </w:rPr>
        <w:t>1.7778</w:t>
      </w:r>
      <w:r>
        <w:rPr>
          <w:rFonts w:hint="eastAsia"/>
          <w:color w:val="auto"/>
        </w:rPr>
        <w:t>万元/年。</w:t>
      </w:r>
    </w:p>
    <w:p>
      <w:pPr>
        <w:ind w:firstLine="482"/>
        <w:rPr>
          <w:rFonts w:hint="eastAsia"/>
          <w:b/>
          <w:color w:val="auto"/>
        </w:rPr>
      </w:pPr>
      <w:r>
        <w:rPr>
          <w:rFonts w:hint="eastAsia"/>
          <w:b/>
          <w:color w:val="auto"/>
        </w:rPr>
        <w:t>5、环保设施运行费</w:t>
      </w:r>
      <w:r>
        <w:rPr>
          <w:rFonts w:hint="eastAsia"/>
          <w:b/>
          <w:i/>
          <w:color w:val="auto"/>
        </w:rPr>
        <w:t>C</w:t>
      </w:r>
    </w:p>
    <w:p>
      <w:pPr>
        <w:ind w:firstLine="480"/>
        <w:rPr>
          <w:rFonts w:hint="eastAsia"/>
          <w:color w:val="auto"/>
        </w:rPr>
      </w:pPr>
      <w:r>
        <w:rPr>
          <w:rFonts w:hint="eastAsia"/>
          <w:color w:val="auto"/>
        </w:rPr>
        <w:t>环保设施运行费为上述环保设施折旧费</w:t>
      </w:r>
      <w:r>
        <w:rPr>
          <w:rFonts w:hint="eastAsia"/>
          <w:i/>
          <w:color w:val="auto"/>
        </w:rPr>
        <w:t>C</w:t>
      </w:r>
      <w:r>
        <w:rPr>
          <w:rFonts w:hint="eastAsia"/>
          <w:i/>
          <w:color w:val="auto"/>
          <w:vertAlign w:val="subscript"/>
        </w:rPr>
        <w:t>1</w:t>
      </w:r>
      <w:r>
        <w:rPr>
          <w:rFonts w:hint="eastAsia"/>
          <w:color w:val="auto"/>
        </w:rPr>
        <w:t>、环保设施消耗费</w:t>
      </w:r>
      <w:r>
        <w:rPr>
          <w:rFonts w:hint="eastAsia"/>
          <w:i/>
          <w:color w:val="auto"/>
        </w:rPr>
        <w:t>C</w:t>
      </w:r>
      <w:r>
        <w:rPr>
          <w:rFonts w:hint="eastAsia"/>
          <w:i/>
          <w:color w:val="auto"/>
          <w:vertAlign w:val="subscript"/>
        </w:rPr>
        <w:t>2</w:t>
      </w:r>
      <w:r>
        <w:rPr>
          <w:rFonts w:hint="eastAsia"/>
          <w:color w:val="auto"/>
        </w:rPr>
        <w:t>、环保管理费</w:t>
      </w:r>
      <w:r>
        <w:rPr>
          <w:rFonts w:hint="eastAsia"/>
          <w:i/>
          <w:color w:val="auto"/>
        </w:rPr>
        <w:t>C</w:t>
      </w:r>
      <w:r>
        <w:rPr>
          <w:rFonts w:hint="eastAsia"/>
          <w:i/>
          <w:color w:val="auto"/>
          <w:vertAlign w:val="subscript"/>
        </w:rPr>
        <w:t>3</w:t>
      </w:r>
      <w:r>
        <w:rPr>
          <w:rFonts w:hint="eastAsia"/>
          <w:color w:val="auto"/>
        </w:rPr>
        <w:t>的三项费用之和，即：</w:t>
      </w:r>
    </w:p>
    <w:p>
      <w:pPr>
        <w:ind w:firstLine="480"/>
        <w:rPr>
          <w:color w:val="auto"/>
        </w:rPr>
      </w:pPr>
      <w:r>
        <w:rPr>
          <w:rFonts w:hint="eastAsia"/>
          <w:i/>
          <w:color w:val="auto"/>
        </w:rPr>
        <w:t>C</w:t>
      </w:r>
      <w:r>
        <w:rPr>
          <w:rFonts w:hint="eastAsia"/>
          <w:color w:val="auto"/>
        </w:rPr>
        <w:t>＝</w:t>
      </w:r>
      <w:r>
        <w:rPr>
          <w:rFonts w:hint="eastAsia"/>
          <w:i/>
          <w:color w:val="auto"/>
        </w:rPr>
        <w:t>C</w:t>
      </w:r>
      <w:r>
        <w:rPr>
          <w:rFonts w:hint="eastAsia"/>
          <w:i/>
          <w:color w:val="auto"/>
          <w:vertAlign w:val="subscript"/>
        </w:rPr>
        <w:t>1</w:t>
      </w:r>
      <w:r>
        <w:rPr>
          <w:rFonts w:hint="eastAsia"/>
          <w:color w:val="auto"/>
        </w:rPr>
        <w:t>＋</w:t>
      </w:r>
      <w:r>
        <w:rPr>
          <w:rFonts w:hint="eastAsia"/>
          <w:i/>
          <w:color w:val="auto"/>
        </w:rPr>
        <w:t>C</w:t>
      </w:r>
      <w:r>
        <w:rPr>
          <w:rFonts w:hint="eastAsia"/>
          <w:i/>
          <w:color w:val="auto"/>
          <w:vertAlign w:val="subscript"/>
        </w:rPr>
        <w:t>2</w:t>
      </w:r>
      <w:r>
        <w:rPr>
          <w:rFonts w:hint="eastAsia"/>
          <w:color w:val="auto"/>
        </w:rPr>
        <w:t>＋</w:t>
      </w:r>
      <w:r>
        <w:rPr>
          <w:rFonts w:hint="eastAsia"/>
          <w:i/>
          <w:color w:val="auto"/>
        </w:rPr>
        <w:t>C</w:t>
      </w:r>
      <w:r>
        <w:rPr>
          <w:rFonts w:hint="eastAsia"/>
          <w:i/>
          <w:color w:val="auto"/>
          <w:vertAlign w:val="subscript"/>
        </w:rPr>
        <w:t>3</w:t>
      </w:r>
      <w:r>
        <w:rPr>
          <w:rFonts w:hint="eastAsia"/>
          <w:color w:val="auto"/>
        </w:rPr>
        <w:t>经上述计算后，项目环保设施运行费用为</w:t>
      </w:r>
      <w:r>
        <w:rPr>
          <w:rFonts w:hint="eastAsia"/>
          <w:color w:val="auto"/>
          <w:lang w:val="en-US" w:eastAsia="zh-CN"/>
        </w:rPr>
        <w:t>61.0378</w:t>
      </w:r>
      <w:r>
        <w:rPr>
          <w:rFonts w:hint="eastAsia"/>
          <w:color w:val="auto"/>
        </w:rPr>
        <w:t>万元，详见表8.</w:t>
      </w:r>
      <w:r>
        <w:rPr>
          <w:color w:val="auto"/>
        </w:rPr>
        <w:t>6</w:t>
      </w:r>
      <w:r>
        <w:rPr>
          <w:rFonts w:hint="eastAsia"/>
          <w:color w:val="auto"/>
        </w:rPr>
        <w:t>-1。</w:t>
      </w:r>
    </w:p>
    <w:p>
      <w:pPr>
        <w:pStyle w:val="166"/>
        <w:spacing w:before="120" w:beforeLines="0"/>
        <w:ind w:firstLine="480"/>
        <w:rPr>
          <w:rFonts w:hint="eastAsia"/>
          <w:color w:val="auto"/>
        </w:rPr>
      </w:pPr>
      <w:r>
        <w:rPr>
          <w:rFonts w:hint="eastAsia"/>
          <w:color w:val="auto"/>
        </w:rPr>
        <w:t>表</w:t>
      </w:r>
      <w:r>
        <w:rPr>
          <w:color w:val="auto"/>
        </w:rPr>
        <w:t>8.6-1</w:t>
      </w:r>
      <w:r>
        <w:rPr>
          <w:rFonts w:hint="eastAsia"/>
          <w:color w:val="auto"/>
          <w:lang w:val="en-US" w:eastAsia="zh-CN"/>
        </w:rPr>
        <w:t xml:space="preserve"> </w:t>
      </w:r>
      <w:r>
        <w:rPr>
          <w:rFonts w:hint="eastAsia"/>
          <w:color w:val="auto"/>
        </w:rPr>
        <w:t>环保设施运行费一览表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4455"/>
        <w:gridCol w:w="4332"/>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4455" w:type="dxa"/>
            <w:noWrap w:val="0"/>
            <w:vAlign w:val="center"/>
          </w:tcPr>
          <w:p>
            <w:pPr>
              <w:pStyle w:val="274"/>
              <w:spacing w:line="240" w:lineRule="auto"/>
              <w:rPr>
                <w:b/>
                <w:color w:val="auto"/>
              </w:rPr>
            </w:pPr>
            <w:r>
              <w:rPr>
                <w:b/>
                <w:color w:val="auto"/>
              </w:rPr>
              <w:t>类型</w:t>
            </w:r>
          </w:p>
        </w:tc>
        <w:tc>
          <w:tcPr>
            <w:tcW w:w="4332" w:type="dxa"/>
            <w:noWrap w:val="0"/>
            <w:vAlign w:val="center"/>
          </w:tcPr>
          <w:p>
            <w:pPr>
              <w:pStyle w:val="332"/>
              <w:kinsoku w:val="0"/>
              <w:overflowPunct w:val="0"/>
              <w:jc w:val="center"/>
              <w:rPr>
                <w:b/>
                <w:color w:val="auto"/>
                <w:sz w:val="20"/>
                <w:szCs w:val="20"/>
              </w:rPr>
            </w:pPr>
            <w:r>
              <w:rPr>
                <w:b/>
                <w:color w:val="auto"/>
                <w:sz w:val="20"/>
                <w:szCs w:val="20"/>
              </w:rPr>
              <w:t>费用（万元）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4455" w:type="dxa"/>
            <w:noWrap w:val="0"/>
            <w:vAlign w:val="center"/>
          </w:tcPr>
          <w:p>
            <w:pPr>
              <w:pStyle w:val="274"/>
              <w:spacing w:line="240" w:lineRule="auto"/>
              <w:rPr>
                <w:color w:val="auto"/>
              </w:rPr>
            </w:pPr>
            <w:r>
              <w:rPr>
                <w:color w:val="auto"/>
              </w:rPr>
              <w:t>环保设施折旧费</w:t>
            </w:r>
          </w:p>
        </w:tc>
        <w:tc>
          <w:tcPr>
            <w:tcW w:w="4332"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59.26</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4455" w:type="dxa"/>
            <w:noWrap w:val="0"/>
            <w:vAlign w:val="center"/>
          </w:tcPr>
          <w:p>
            <w:pPr>
              <w:pStyle w:val="274"/>
              <w:spacing w:line="240" w:lineRule="auto"/>
              <w:rPr>
                <w:color w:val="auto"/>
              </w:rPr>
            </w:pPr>
            <w:r>
              <w:rPr>
                <w:color w:val="auto"/>
              </w:rPr>
              <w:t>环保设施消耗费</w:t>
            </w:r>
          </w:p>
        </w:tc>
        <w:tc>
          <w:tcPr>
            <w:tcW w:w="4332" w:type="dxa"/>
            <w:noWrap w:val="0"/>
            <w:vAlign w:val="center"/>
          </w:tcPr>
          <w:p>
            <w:pPr>
              <w:pStyle w:val="274"/>
              <w:spacing w:line="240" w:lineRule="auto"/>
              <w:rPr>
                <w:rFonts w:hint="default" w:eastAsia="宋体"/>
                <w:color w:val="auto"/>
                <w:lang w:val="en-US" w:eastAsia="zh-CN"/>
              </w:rPr>
            </w:pPr>
            <w:r>
              <w:rPr>
                <w:rFonts w:hint="eastAsia"/>
                <w:color w:val="auto"/>
                <w:lang w:val="en-US" w:eastAsia="zh-CN"/>
              </w:rPr>
              <w:t>31.0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4455" w:type="dxa"/>
            <w:noWrap w:val="0"/>
            <w:vAlign w:val="center"/>
          </w:tcPr>
          <w:p>
            <w:pPr>
              <w:pStyle w:val="274"/>
              <w:spacing w:line="240" w:lineRule="auto"/>
              <w:rPr>
                <w:color w:val="auto"/>
              </w:rPr>
            </w:pPr>
            <w:r>
              <w:rPr>
                <w:color w:val="auto"/>
              </w:rPr>
              <w:t>环保设施管理费</w:t>
            </w:r>
          </w:p>
        </w:tc>
        <w:tc>
          <w:tcPr>
            <w:tcW w:w="4332" w:type="dxa"/>
            <w:noWrap w:val="0"/>
            <w:vAlign w:val="center"/>
          </w:tcPr>
          <w:p>
            <w:pPr>
              <w:pStyle w:val="274"/>
              <w:spacing w:line="240" w:lineRule="auto"/>
              <w:rPr>
                <w:color w:val="auto"/>
              </w:rPr>
            </w:pPr>
            <w:r>
              <w:rPr>
                <w:rFonts w:hint="eastAsia"/>
                <w:color w:val="auto"/>
                <w:lang w:val="en-US" w:eastAsia="zh-CN"/>
              </w:rPr>
              <w:t>1.7778</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4455" w:type="dxa"/>
            <w:noWrap w:val="0"/>
            <w:vAlign w:val="center"/>
          </w:tcPr>
          <w:p>
            <w:pPr>
              <w:pStyle w:val="274"/>
              <w:spacing w:line="240" w:lineRule="auto"/>
              <w:rPr>
                <w:color w:val="auto"/>
              </w:rPr>
            </w:pPr>
            <w:r>
              <w:rPr>
                <w:color w:val="auto"/>
              </w:rPr>
              <w:t>环保设施运行费</w:t>
            </w:r>
          </w:p>
        </w:tc>
        <w:tc>
          <w:tcPr>
            <w:tcW w:w="4332" w:type="dxa"/>
            <w:noWrap w:val="0"/>
            <w:vAlign w:val="center"/>
          </w:tcPr>
          <w:p>
            <w:pPr>
              <w:pStyle w:val="274"/>
              <w:spacing w:line="240" w:lineRule="auto"/>
              <w:rPr>
                <w:color w:val="auto"/>
              </w:rPr>
            </w:pPr>
            <w:r>
              <w:rPr>
                <w:rFonts w:hint="eastAsia"/>
                <w:color w:val="auto"/>
                <w:lang w:val="en-US" w:eastAsia="zh-CN"/>
              </w:rPr>
              <w:t>61.0378</w:t>
            </w:r>
          </w:p>
        </w:tc>
      </w:tr>
    </w:tbl>
    <w:p>
      <w:pPr>
        <w:spacing w:before="120" w:beforeLines="50"/>
        <w:ind w:firstLine="480"/>
        <w:rPr>
          <w:color w:val="auto"/>
        </w:rPr>
      </w:pPr>
      <w:r>
        <w:rPr>
          <w:rFonts w:hint="eastAsia"/>
          <w:color w:val="auto"/>
        </w:rPr>
        <w:t>综上所述，本项目环保设施的建设、运行对项目投资成本及经济收益的影响甚微。</w:t>
      </w:r>
    </w:p>
    <w:p>
      <w:pPr>
        <w:pStyle w:val="8"/>
        <w:tabs>
          <w:tab w:val="clear" w:pos="0"/>
        </w:tabs>
        <w:rPr>
          <w:rFonts w:eastAsia="黑体"/>
          <w:color w:val="auto"/>
          <w:sz w:val="28"/>
          <w:szCs w:val="28"/>
        </w:rPr>
      </w:pPr>
      <w:r>
        <w:rPr>
          <w:rFonts w:eastAsia="黑体"/>
          <w:color w:val="auto"/>
          <w:sz w:val="28"/>
          <w:szCs w:val="28"/>
        </w:rPr>
        <w:t>环</w:t>
      </w:r>
      <w:r>
        <w:rPr>
          <w:rFonts w:hint="eastAsia" w:eastAsia="黑体"/>
          <w:color w:val="auto"/>
          <w:sz w:val="28"/>
          <w:szCs w:val="28"/>
        </w:rPr>
        <w:t>保</w:t>
      </w:r>
      <w:r>
        <w:rPr>
          <w:rFonts w:eastAsia="黑体"/>
          <w:color w:val="auto"/>
          <w:sz w:val="28"/>
          <w:szCs w:val="28"/>
        </w:rPr>
        <w:t>设施经济效益估算</w:t>
      </w:r>
    </w:p>
    <w:p>
      <w:pPr>
        <w:ind w:firstLine="480"/>
        <w:rPr>
          <w:color w:val="auto"/>
        </w:rPr>
      </w:pPr>
      <w:r>
        <w:rPr>
          <w:rFonts w:hint="eastAsia"/>
          <w:color w:val="auto"/>
        </w:rPr>
        <w:t>环保设施投入使用后，除了可减少污染物的排放外，还可回收部分可利用资源，因此具有一定的经济效益。由于间接经济收益难以估算，因而在此仅计算直接经济效益，主要是回收利用的各种废物和减少排污费所获得的经济收入。同时根据2003年2月国家颁布的《排污费征收标准管理办法》，对照本项目污染物排放情况，计算了由于环境保护设施的利用，减少需缴纳的排污费用。项目环保投资经济收入见表8.</w:t>
      </w:r>
      <w:r>
        <w:rPr>
          <w:color w:val="auto"/>
        </w:rPr>
        <w:t>6</w:t>
      </w:r>
      <w:r>
        <w:rPr>
          <w:rFonts w:hint="eastAsia"/>
          <w:color w:val="auto"/>
        </w:rPr>
        <w:t>-2。</w:t>
      </w:r>
    </w:p>
    <w:p>
      <w:pPr>
        <w:pStyle w:val="166"/>
        <w:spacing w:before="120" w:beforeLines="0"/>
        <w:ind w:firstLine="480"/>
        <w:rPr>
          <w:rFonts w:hint="eastAsia"/>
          <w:color w:val="auto"/>
        </w:rPr>
      </w:pPr>
      <w:r>
        <w:rPr>
          <w:color w:val="auto"/>
        </w:rPr>
        <w:t>表</w:t>
      </w:r>
      <w:r>
        <w:rPr>
          <w:rFonts w:hint="eastAsia"/>
          <w:color w:val="auto"/>
        </w:rPr>
        <w:t>8</w:t>
      </w:r>
      <w:r>
        <w:rPr>
          <w:color w:val="auto"/>
        </w:rPr>
        <w:t>.6-2</w:t>
      </w:r>
      <w:r>
        <w:rPr>
          <w:rFonts w:hint="eastAsia"/>
          <w:color w:val="auto"/>
          <w:lang w:val="en-US" w:eastAsia="zh-CN"/>
        </w:rPr>
        <w:t xml:space="preserve"> </w:t>
      </w:r>
      <w:r>
        <w:rPr>
          <w:rFonts w:hint="eastAsia"/>
          <w:color w:val="auto"/>
        </w:rPr>
        <w:t>环保经济效益分析</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10"/>
        <w:gridCol w:w="1719"/>
        <w:gridCol w:w="4037"/>
        <w:gridCol w:w="2221"/>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810" w:type="dxa"/>
            <w:noWrap w:val="0"/>
            <w:vAlign w:val="center"/>
          </w:tcPr>
          <w:p>
            <w:pPr>
              <w:pStyle w:val="274"/>
              <w:spacing w:line="240" w:lineRule="auto"/>
              <w:rPr>
                <w:b/>
                <w:color w:val="auto"/>
              </w:rPr>
            </w:pPr>
            <w:r>
              <w:rPr>
                <w:rFonts w:hint="eastAsia"/>
                <w:b/>
                <w:color w:val="auto"/>
              </w:rPr>
              <w:t>序号</w:t>
            </w:r>
          </w:p>
        </w:tc>
        <w:tc>
          <w:tcPr>
            <w:tcW w:w="1719" w:type="dxa"/>
            <w:noWrap w:val="0"/>
            <w:vAlign w:val="center"/>
          </w:tcPr>
          <w:p>
            <w:pPr>
              <w:pStyle w:val="274"/>
              <w:spacing w:line="240" w:lineRule="auto"/>
              <w:rPr>
                <w:b/>
                <w:color w:val="auto"/>
              </w:rPr>
            </w:pPr>
            <w:r>
              <w:rPr>
                <w:rFonts w:hint="eastAsia"/>
                <w:b/>
                <w:color w:val="auto"/>
              </w:rPr>
              <w:t>名称</w:t>
            </w:r>
          </w:p>
        </w:tc>
        <w:tc>
          <w:tcPr>
            <w:tcW w:w="4037" w:type="dxa"/>
            <w:noWrap w:val="0"/>
            <w:vAlign w:val="center"/>
          </w:tcPr>
          <w:p>
            <w:pPr>
              <w:pStyle w:val="274"/>
              <w:spacing w:line="240" w:lineRule="auto"/>
              <w:rPr>
                <w:b/>
                <w:color w:val="auto"/>
              </w:rPr>
            </w:pPr>
            <w:r>
              <w:rPr>
                <w:rFonts w:hint="eastAsia"/>
                <w:b/>
                <w:color w:val="auto"/>
              </w:rPr>
              <w:t>用途</w:t>
            </w:r>
          </w:p>
        </w:tc>
        <w:tc>
          <w:tcPr>
            <w:tcW w:w="2221" w:type="dxa"/>
            <w:noWrap w:val="0"/>
            <w:vAlign w:val="center"/>
          </w:tcPr>
          <w:p>
            <w:pPr>
              <w:pStyle w:val="274"/>
              <w:spacing w:line="240" w:lineRule="auto"/>
              <w:rPr>
                <w:b/>
                <w:color w:val="auto"/>
              </w:rPr>
            </w:pPr>
            <w:r>
              <w:rPr>
                <w:rFonts w:hint="eastAsia"/>
                <w:b/>
                <w:color w:val="auto"/>
              </w:rPr>
              <w:t>环保经济效益（万元）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810" w:type="dxa"/>
            <w:noWrap w:val="0"/>
            <w:vAlign w:val="center"/>
          </w:tcPr>
          <w:p>
            <w:pPr>
              <w:pStyle w:val="274"/>
              <w:spacing w:line="240" w:lineRule="auto"/>
              <w:rPr>
                <w:color w:val="auto"/>
              </w:rPr>
            </w:pPr>
            <w:r>
              <w:rPr>
                <w:color w:val="auto"/>
              </w:rPr>
              <w:t>1</w:t>
            </w:r>
          </w:p>
        </w:tc>
        <w:tc>
          <w:tcPr>
            <w:tcW w:w="1719" w:type="dxa"/>
            <w:noWrap w:val="0"/>
            <w:vAlign w:val="center"/>
          </w:tcPr>
          <w:p>
            <w:pPr>
              <w:pStyle w:val="274"/>
              <w:spacing w:line="240" w:lineRule="auto"/>
              <w:rPr>
                <w:color w:val="auto"/>
              </w:rPr>
            </w:pPr>
            <w:r>
              <w:rPr>
                <w:rFonts w:hint="eastAsia"/>
                <w:color w:val="auto"/>
              </w:rPr>
              <w:t>猪粪、污泥</w:t>
            </w:r>
          </w:p>
        </w:tc>
        <w:tc>
          <w:tcPr>
            <w:tcW w:w="4037" w:type="dxa"/>
            <w:noWrap w:val="0"/>
            <w:vAlign w:val="center"/>
          </w:tcPr>
          <w:p>
            <w:pPr>
              <w:pStyle w:val="274"/>
              <w:spacing w:line="240" w:lineRule="auto"/>
              <w:rPr>
                <w:color w:val="auto"/>
              </w:rPr>
            </w:pPr>
            <w:r>
              <w:rPr>
                <w:rFonts w:hint="eastAsia"/>
                <w:color w:val="auto"/>
              </w:rPr>
              <w:t>进行干湿分离，分离出的猪粪外售</w:t>
            </w:r>
            <w:r>
              <w:rPr>
                <w:color w:val="auto"/>
              </w:rPr>
              <w:t>堆肥厂堆肥利用</w:t>
            </w:r>
            <w:r>
              <w:rPr>
                <w:rFonts w:hint="eastAsia"/>
                <w:color w:val="auto"/>
              </w:rPr>
              <w:t>；分离出的污水厌氧消化后，还田利用</w:t>
            </w:r>
          </w:p>
        </w:tc>
        <w:tc>
          <w:tcPr>
            <w:tcW w:w="2221" w:type="dxa"/>
            <w:noWrap w:val="0"/>
            <w:vAlign w:val="center"/>
          </w:tcPr>
          <w:p>
            <w:pPr>
              <w:pStyle w:val="274"/>
              <w:spacing w:line="240" w:lineRule="auto"/>
              <w:rPr>
                <w:color w:val="auto"/>
              </w:rPr>
            </w:pPr>
            <w:r>
              <w:rPr>
                <w:color w:val="auto"/>
              </w:rPr>
              <w:t>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810" w:type="dxa"/>
            <w:noWrap w:val="0"/>
            <w:vAlign w:val="center"/>
          </w:tcPr>
          <w:p>
            <w:pPr>
              <w:pStyle w:val="274"/>
              <w:spacing w:line="240" w:lineRule="auto"/>
              <w:rPr>
                <w:color w:val="auto"/>
              </w:rPr>
            </w:pPr>
            <w:r>
              <w:rPr>
                <w:color w:val="auto"/>
              </w:rPr>
              <w:t>2</w:t>
            </w:r>
          </w:p>
        </w:tc>
        <w:tc>
          <w:tcPr>
            <w:tcW w:w="1719" w:type="dxa"/>
            <w:noWrap w:val="0"/>
            <w:vAlign w:val="center"/>
          </w:tcPr>
          <w:p>
            <w:pPr>
              <w:pStyle w:val="274"/>
              <w:spacing w:line="240" w:lineRule="auto"/>
              <w:rPr>
                <w:color w:val="auto"/>
              </w:rPr>
            </w:pPr>
            <w:r>
              <w:rPr>
                <w:rFonts w:hint="eastAsia"/>
                <w:color w:val="auto"/>
              </w:rPr>
              <w:t>废水综合利用</w:t>
            </w:r>
          </w:p>
        </w:tc>
        <w:tc>
          <w:tcPr>
            <w:tcW w:w="4037" w:type="dxa"/>
            <w:noWrap w:val="0"/>
            <w:vAlign w:val="center"/>
          </w:tcPr>
          <w:p>
            <w:pPr>
              <w:pStyle w:val="274"/>
              <w:spacing w:line="240" w:lineRule="auto"/>
              <w:rPr>
                <w:rFonts w:hint="eastAsia" w:eastAsia="宋体"/>
                <w:color w:val="auto"/>
                <w:lang w:val="en-US" w:eastAsia="zh-CN"/>
              </w:rPr>
            </w:pPr>
            <w:r>
              <w:rPr>
                <w:rFonts w:hint="eastAsia"/>
                <w:color w:val="auto"/>
              </w:rPr>
              <w:t>收集处理后作为项目周边耕地</w:t>
            </w:r>
            <w:r>
              <w:rPr>
                <w:rFonts w:hint="eastAsia"/>
                <w:color w:val="auto"/>
                <w:lang w:val="en-US" w:eastAsia="zh-CN"/>
              </w:rPr>
              <w:t>施肥</w:t>
            </w:r>
          </w:p>
        </w:tc>
        <w:tc>
          <w:tcPr>
            <w:tcW w:w="2221" w:type="dxa"/>
            <w:noWrap w:val="0"/>
            <w:vAlign w:val="center"/>
          </w:tcPr>
          <w:p>
            <w:pPr>
              <w:pStyle w:val="274"/>
              <w:spacing w:line="240" w:lineRule="auto"/>
              <w:rPr>
                <w:color w:val="auto"/>
              </w:rPr>
            </w:pPr>
            <w:r>
              <w:rPr>
                <w:color w:val="auto"/>
              </w:rPr>
              <w:t>30.0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810" w:type="dxa"/>
            <w:noWrap w:val="0"/>
            <w:vAlign w:val="center"/>
          </w:tcPr>
          <w:p>
            <w:pPr>
              <w:pStyle w:val="274"/>
              <w:spacing w:line="240" w:lineRule="auto"/>
              <w:rPr>
                <w:color w:val="auto"/>
              </w:rPr>
            </w:pPr>
            <w:r>
              <w:rPr>
                <w:color w:val="auto"/>
              </w:rPr>
              <w:t>3</w:t>
            </w:r>
          </w:p>
        </w:tc>
        <w:tc>
          <w:tcPr>
            <w:tcW w:w="1719" w:type="dxa"/>
            <w:noWrap w:val="0"/>
            <w:vAlign w:val="center"/>
          </w:tcPr>
          <w:p>
            <w:pPr>
              <w:pStyle w:val="274"/>
              <w:spacing w:line="240" w:lineRule="auto"/>
              <w:rPr>
                <w:color w:val="auto"/>
              </w:rPr>
            </w:pPr>
            <w:r>
              <w:rPr>
                <w:rFonts w:hint="eastAsia"/>
                <w:color w:val="auto"/>
              </w:rPr>
              <w:t>减少排污费</w:t>
            </w:r>
          </w:p>
        </w:tc>
        <w:tc>
          <w:tcPr>
            <w:tcW w:w="4037" w:type="dxa"/>
            <w:noWrap w:val="0"/>
            <w:vAlign w:val="center"/>
          </w:tcPr>
          <w:p>
            <w:pPr>
              <w:pStyle w:val="274"/>
              <w:spacing w:line="240" w:lineRule="auto"/>
              <w:rPr>
                <w:color w:val="auto"/>
              </w:rPr>
            </w:pPr>
            <w:r>
              <w:rPr>
                <w:color w:val="auto"/>
              </w:rPr>
              <w:t>/</w:t>
            </w:r>
          </w:p>
        </w:tc>
        <w:tc>
          <w:tcPr>
            <w:tcW w:w="2221" w:type="dxa"/>
            <w:noWrap w:val="0"/>
            <w:vAlign w:val="center"/>
          </w:tcPr>
          <w:p>
            <w:pPr>
              <w:pStyle w:val="274"/>
              <w:spacing w:line="240" w:lineRule="auto"/>
              <w:rPr>
                <w:color w:val="auto"/>
              </w:rPr>
            </w:pPr>
            <w:r>
              <w:rPr>
                <w:color w:val="auto"/>
              </w:rPr>
              <w:t>25.0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wBefore w:w="0" w:type="dxa"/>
          <w:wAfter w:w="0" w:type="dxa"/>
          <w:trHeight w:val="340" w:hRule="atLeast"/>
          <w:jc w:val="center"/>
        </w:trPr>
        <w:tc>
          <w:tcPr>
            <w:tcW w:w="810" w:type="dxa"/>
            <w:noWrap w:val="0"/>
            <w:vAlign w:val="center"/>
          </w:tcPr>
          <w:p>
            <w:pPr>
              <w:pStyle w:val="274"/>
              <w:spacing w:line="240" w:lineRule="auto"/>
              <w:rPr>
                <w:color w:val="auto"/>
              </w:rPr>
            </w:pPr>
            <w:r>
              <w:rPr>
                <w:color w:val="auto"/>
              </w:rPr>
              <w:t>4</w:t>
            </w:r>
          </w:p>
        </w:tc>
        <w:tc>
          <w:tcPr>
            <w:tcW w:w="1719" w:type="dxa"/>
            <w:noWrap w:val="0"/>
            <w:vAlign w:val="center"/>
          </w:tcPr>
          <w:p>
            <w:pPr>
              <w:pStyle w:val="274"/>
              <w:spacing w:line="240" w:lineRule="auto"/>
              <w:rPr>
                <w:color w:val="auto"/>
              </w:rPr>
            </w:pPr>
            <w:r>
              <w:rPr>
                <w:rFonts w:hint="eastAsia"/>
                <w:color w:val="auto"/>
              </w:rPr>
              <w:t>合计</w:t>
            </w:r>
          </w:p>
        </w:tc>
        <w:tc>
          <w:tcPr>
            <w:tcW w:w="4037" w:type="dxa"/>
            <w:noWrap w:val="0"/>
            <w:vAlign w:val="center"/>
          </w:tcPr>
          <w:p>
            <w:pPr>
              <w:pStyle w:val="274"/>
              <w:spacing w:line="240" w:lineRule="auto"/>
              <w:rPr>
                <w:color w:val="auto"/>
              </w:rPr>
            </w:pPr>
            <w:r>
              <w:rPr>
                <w:color w:val="auto"/>
              </w:rPr>
              <w:t>/</w:t>
            </w:r>
          </w:p>
        </w:tc>
        <w:tc>
          <w:tcPr>
            <w:tcW w:w="2221" w:type="dxa"/>
            <w:noWrap w:val="0"/>
            <w:vAlign w:val="center"/>
          </w:tcPr>
          <w:p>
            <w:pPr>
              <w:pStyle w:val="274"/>
              <w:spacing w:line="240" w:lineRule="auto"/>
              <w:rPr>
                <w:color w:val="auto"/>
              </w:rPr>
            </w:pPr>
            <w:r>
              <w:rPr>
                <w:color w:val="auto"/>
              </w:rPr>
              <w:t>105.0</w:t>
            </w:r>
          </w:p>
        </w:tc>
      </w:tr>
    </w:tbl>
    <w:p>
      <w:pPr>
        <w:spacing w:before="120" w:beforeLines="50"/>
        <w:ind w:firstLine="480"/>
        <w:rPr>
          <w:color w:val="auto"/>
        </w:rPr>
      </w:pPr>
      <w:r>
        <w:rPr>
          <w:rFonts w:hint="eastAsia"/>
          <w:color w:val="auto"/>
        </w:rPr>
        <w:t>从表8</w:t>
      </w:r>
      <w:r>
        <w:rPr>
          <w:color w:val="auto"/>
        </w:rPr>
        <w:t>.6-2</w:t>
      </w:r>
      <w:r>
        <w:rPr>
          <w:rFonts w:hint="eastAsia"/>
          <w:color w:val="auto"/>
        </w:rPr>
        <w:t>中可以看出，项目建成投产后，其环保设施所获取的年综合利用直接经济效益为1</w:t>
      </w:r>
      <w:r>
        <w:rPr>
          <w:color w:val="auto"/>
        </w:rPr>
        <w:t>05.</w:t>
      </w:r>
      <w:r>
        <w:rPr>
          <w:rFonts w:hint="eastAsia"/>
          <w:color w:val="auto"/>
        </w:rPr>
        <w:t>0万元。</w:t>
      </w:r>
    </w:p>
    <w:p>
      <w:pPr>
        <w:pStyle w:val="8"/>
        <w:tabs>
          <w:tab w:val="clear" w:pos="0"/>
        </w:tabs>
        <w:rPr>
          <w:rFonts w:eastAsia="黑体"/>
          <w:color w:val="auto"/>
          <w:sz w:val="28"/>
          <w:szCs w:val="28"/>
        </w:rPr>
      </w:pPr>
      <w:r>
        <w:rPr>
          <w:rFonts w:hint="eastAsia" w:eastAsia="黑体"/>
          <w:color w:val="auto"/>
          <w:sz w:val="28"/>
          <w:szCs w:val="28"/>
        </w:rPr>
        <w:t>环境经济的静态分析</w:t>
      </w:r>
    </w:p>
    <w:p>
      <w:pPr>
        <w:ind w:firstLine="480"/>
        <w:rPr>
          <w:rFonts w:hint="eastAsia"/>
          <w:color w:val="auto"/>
        </w:rPr>
      </w:pPr>
      <w:r>
        <w:rPr>
          <w:rFonts w:hint="eastAsia"/>
          <w:color w:val="auto"/>
        </w:rPr>
        <w:t>（1）环保年净效益</w:t>
      </w:r>
    </w:p>
    <w:p>
      <w:pPr>
        <w:ind w:firstLine="480"/>
        <w:rPr>
          <w:rFonts w:hint="eastAsia"/>
          <w:color w:val="auto"/>
        </w:rPr>
      </w:pPr>
      <w:r>
        <w:rPr>
          <w:rFonts w:hint="eastAsia"/>
          <w:color w:val="auto"/>
        </w:rPr>
        <w:t>环保年净效益指环保直接经济效益（本项目即为效益指标）扣除环保费用指标后所得到的经济效益。即：</w:t>
      </w:r>
    </w:p>
    <w:p>
      <w:pPr>
        <w:ind w:firstLine="480"/>
        <w:rPr>
          <w:rFonts w:hint="eastAsia"/>
          <w:color w:val="auto"/>
        </w:rPr>
      </w:pPr>
      <w:r>
        <w:rPr>
          <w:rFonts w:hint="eastAsia"/>
          <w:color w:val="auto"/>
        </w:rPr>
        <w:t>年净效益=环保效益指标-环保费用指标</w:t>
      </w:r>
    </w:p>
    <w:p>
      <w:pPr>
        <w:ind w:firstLine="480"/>
        <w:rPr>
          <w:rFonts w:hint="eastAsia"/>
          <w:color w:val="auto"/>
        </w:rPr>
      </w:pPr>
      <w:r>
        <w:rPr>
          <w:rFonts w:hint="eastAsia"/>
          <w:color w:val="auto"/>
        </w:rPr>
        <w:t>根据前面计算本项目环保效益指标为</w:t>
      </w:r>
      <w:r>
        <w:rPr>
          <w:color w:val="auto"/>
        </w:rPr>
        <w:t>105</w:t>
      </w:r>
      <w:r>
        <w:rPr>
          <w:rFonts w:hint="eastAsia"/>
          <w:color w:val="auto"/>
        </w:rPr>
        <w:t>万元，扣除环保费用指标</w:t>
      </w:r>
      <w:r>
        <w:rPr>
          <w:rFonts w:hint="eastAsia"/>
          <w:color w:val="auto"/>
          <w:lang w:val="en-US" w:eastAsia="zh-CN"/>
        </w:rPr>
        <w:t>61.0378</w:t>
      </w:r>
      <w:r>
        <w:rPr>
          <w:rFonts w:hint="eastAsia"/>
          <w:color w:val="auto"/>
        </w:rPr>
        <w:t>万元，得到年净效益43.9622‬万元。</w:t>
      </w:r>
    </w:p>
    <w:p>
      <w:pPr>
        <w:ind w:firstLine="480"/>
        <w:rPr>
          <w:rFonts w:hint="eastAsia"/>
          <w:color w:val="auto"/>
        </w:rPr>
      </w:pPr>
      <w:r>
        <w:rPr>
          <w:rFonts w:hint="eastAsia"/>
          <w:color w:val="auto"/>
        </w:rPr>
        <w:t>（2）环保效益与费用比</w:t>
      </w:r>
    </w:p>
    <w:p>
      <w:pPr>
        <w:ind w:firstLine="480"/>
        <w:jc w:val="center"/>
        <w:rPr>
          <w:color w:val="auto"/>
          <w:lang/>
        </w:rPr>
      </w:pPr>
      <w:r>
        <w:rPr>
          <w:color w:val="auto"/>
        </w:rPr>
        <w:drawing>
          <wp:inline distT="0" distB="0" distL="114300" distR="114300">
            <wp:extent cx="1968500" cy="393700"/>
            <wp:effectExtent l="0" t="0" r="12700" b="6350"/>
            <wp:docPr id="3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12"/>
                    <pic:cNvPicPr>
                      <a:picLocks noChangeAspect="1"/>
                    </pic:cNvPicPr>
                  </pic:nvPicPr>
                  <pic:blipFill>
                    <a:blip r:embed="rId87"/>
                    <a:stretch>
                      <a:fillRect/>
                    </a:stretch>
                  </pic:blipFill>
                  <pic:spPr>
                    <a:xfrm>
                      <a:off x="0" y="0"/>
                      <a:ext cx="1968500" cy="393700"/>
                    </a:xfrm>
                    <a:prstGeom prst="rect">
                      <a:avLst/>
                    </a:prstGeom>
                    <a:noFill/>
                    <a:ln>
                      <a:noFill/>
                    </a:ln>
                  </pic:spPr>
                </pic:pic>
              </a:graphicData>
            </a:graphic>
          </wp:inline>
        </w:drawing>
      </w:r>
    </w:p>
    <w:p>
      <w:pPr>
        <w:ind w:firstLine="480"/>
        <w:rPr>
          <w:rFonts w:hint="eastAsia"/>
          <w:color w:val="auto"/>
        </w:rPr>
      </w:pPr>
      <w:r>
        <w:rPr>
          <w:rFonts w:hint="eastAsia"/>
          <w:color w:val="auto"/>
        </w:rPr>
        <w:t>环保效益与污染控制费用比，一般认为比值大于或等于1时，该项目的环境控制方案在技术上是可行的，否则认为是不合理的。</w:t>
      </w:r>
    </w:p>
    <w:p>
      <w:pPr>
        <w:ind w:firstLine="480"/>
        <w:rPr>
          <w:color w:val="auto"/>
        </w:rPr>
      </w:pPr>
      <w:r>
        <w:rPr>
          <w:rFonts w:hint="eastAsia"/>
          <w:color w:val="auto"/>
        </w:rPr>
        <w:t>根据前面计算，得到环保效益与环保费用比指标为</w:t>
      </w:r>
      <w:r>
        <w:rPr>
          <w:color w:val="auto"/>
        </w:rPr>
        <w:t>105</w:t>
      </w:r>
      <w:r>
        <w:rPr>
          <w:rFonts w:hint="eastAsia"/>
          <w:color w:val="auto"/>
        </w:rPr>
        <w:t>/</w:t>
      </w:r>
      <w:r>
        <w:rPr>
          <w:rFonts w:hint="eastAsia"/>
          <w:color w:val="auto"/>
          <w:lang w:val="en-US" w:eastAsia="zh-CN"/>
        </w:rPr>
        <w:t>61.0378</w:t>
      </w:r>
      <w:r>
        <w:rPr>
          <w:rFonts w:hint="eastAsia"/>
          <w:color w:val="auto"/>
        </w:rPr>
        <w:t>≈</w:t>
      </w:r>
      <w:r>
        <w:rPr>
          <w:rFonts w:hint="eastAsia"/>
          <w:color w:val="auto"/>
          <w:lang w:val="en-US" w:eastAsia="zh-CN"/>
        </w:rPr>
        <w:t>1.72</w:t>
      </w:r>
      <w:r>
        <w:rPr>
          <w:rFonts w:hint="eastAsia"/>
          <w:color w:val="auto"/>
        </w:rPr>
        <w:t>，环保效益是环保费用的</w:t>
      </w:r>
      <w:r>
        <w:rPr>
          <w:rFonts w:hint="eastAsia"/>
          <w:color w:val="auto"/>
          <w:lang w:val="en-US" w:eastAsia="zh-CN"/>
        </w:rPr>
        <w:t>1.72</w:t>
      </w:r>
      <w:r>
        <w:rPr>
          <w:rFonts w:hint="eastAsia"/>
          <w:color w:val="auto"/>
        </w:rPr>
        <w:t>倍。</w:t>
      </w:r>
    </w:p>
    <w:p>
      <w:pPr>
        <w:pStyle w:val="7"/>
        <w:rPr>
          <w:rFonts w:eastAsia="黑体"/>
          <w:color w:val="auto"/>
          <w:sz w:val="32"/>
        </w:rPr>
      </w:pPr>
      <w:bookmarkStart w:id="242" w:name="_Toc4706"/>
      <w:r>
        <w:rPr>
          <w:rFonts w:eastAsia="黑体"/>
          <w:color w:val="auto"/>
          <w:sz w:val="32"/>
        </w:rPr>
        <w:t>环境</w:t>
      </w:r>
      <w:r>
        <w:rPr>
          <w:rFonts w:hint="eastAsia" w:eastAsia="黑体"/>
          <w:color w:val="auto"/>
          <w:sz w:val="32"/>
        </w:rPr>
        <w:t>经济</w:t>
      </w:r>
      <w:r>
        <w:rPr>
          <w:rFonts w:eastAsia="黑体"/>
          <w:color w:val="auto"/>
          <w:sz w:val="32"/>
        </w:rPr>
        <w:t>损益分析结论</w:t>
      </w:r>
      <w:bookmarkEnd w:id="242"/>
    </w:p>
    <w:p>
      <w:pPr>
        <w:ind w:firstLine="480"/>
        <w:rPr>
          <w:rFonts w:hint="eastAsia"/>
          <w:color w:val="auto"/>
        </w:rPr>
      </w:pPr>
      <w:r>
        <w:rPr>
          <w:rFonts w:hint="eastAsia"/>
          <w:color w:val="auto"/>
        </w:rPr>
        <w:t>（1）项目环境经济年效益为</w:t>
      </w:r>
      <w:r>
        <w:rPr>
          <w:color w:val="auto"/>
        </w:rPr>
        <w:t>105</w:t>
      </w:r>
      <w:r>
        <w:rPr>
          <w:rFonts w:hint="eastAsia"/>
          <w:color w:val="auto"/>
        </w:rPr>
        <w:t>万元。每年可获得的直接环保经济效益主要为项目清洁生产工艺先进技术在减少排污、养殖废物的综合利用、为区域农田提供优质有机肥、减少散养对环境带来的污染等，总计净效益为43.9622万元。</w:t>
      </w:r>
    </w:p>
    <w:p>
      <w:pPr>
        <w:ind w:firstLine="480"/>
        <w:rPr>
          <w:rFonts w:hint="eastAsia"/>
          <w:color w:val="auto"/>
        </w:rPr>
      </w:pPr>
      <w:r>
        <w:rPr>
          <w:rFonts w:hint="eastAsia"/>
          <w:color w:val="auto"/>
        </w:rPr>
        <w:t>（2）本项目建成投产后对周围环境质量影响较小，对环境造成的污染损失极微。</w:t>
      </w:r>
    </w:p>
    <w:p>
      <w:pPr>
        <w:ind w:firstLine="480"/>
        <w:rPr>
          <w:color w:val="auto"/>
        </w:rPr>
      </w:pPr>
      <w:r>
        <w:rPr>
          <w:rFonts w:hint="eastAsia"/>
          <w:color w:val="auto"/>
        </w:rPr>
        <w:t>（3）建设项目生产期每年环保效益与污染控制费用比为</w:t>
      </w:r>
      <w:r>
        <w:rPr>
          <w:rFonts w:hint="eastAsia"/>
          <w:color w:val="auto"/>
          <w:lang w:val="en-US" w:eastAsia="zh-CN"/>
        </w:rPr>
        <w:t>1.72</w:t>
      </w:r>
      <w:r>
        <w:rPr>
          <w:rFonts w:hint="eastAsia"/>
          <w:color w:val="auto"/>
        </w:rPr>
        <w:t>，比值大于1，说明本项目的环境污染控制方案，在环保技术上是可行的，在经济上也是合理的。</w:t>
      </w:r>
    </w:p>
    <w:p>
      <w:pPr>
        <w:ind w:firstLine="480"/>
        <w:rPr>
          <w:color w:val="auto"/>
        </w:rPr>
      </w:pPr>
    </w:p>
    <w:p>
      <w:pPr>
        <w:ind w:firstLine="480"/>
        <w:rPr>
          <w:rFonts w:hint="eastAsia"/>
          <w:color w:val="auto"/>
        </w:rPr>
      </w:pPr>
    </w:p>
    <w:p>
      <w:pPr>
        <w:ind w:firstLine="480"/>
        <w:rPr>
          <w:color w:val="auto"/>
        </w:rPr>
      </w:pPr>
    </w:p>
    <w:p>
      <w:pPr>
        <w:ind w:firstLine="480"/>
        <w:rPr>
          <w:color w:val="auto"/>
        </w:rPr>
      </w:pPr>
    </w:p>
    <w:p>
      <w:pPr>
        <w:ind w:firstLine="480"/>
        <w:rPr>
          <w:color w:val="auto"/>
        </w:rPr>
        <w:sectPr>
          <w:headerReference r:id="rId21" w:type="default"/>
          <w:pgSz w:w="11906" w:h="16838"/>
          <w:pgMar w:top="1418" w:right="1418" w:bottom="1418" w:left="1701" w:header="851" w:footer="992" w:gutter="0"/>
          <w:cols w:space="720" w:num="1"/>
          <w:docGrid w:linePitch="312" w:charSpace="0"/>
        </w:sectPr>
      </w:pPr>
    </w:p>
    <w:p>
      <w:pPr>
        <w:pStyle w:val="6"/>
        <w:rPr>
          <w:rFonts w:eastAsia="黑体"/>
          <w:color w:val="auto"/>
          <w:sz w:val="44"/>
        </w:rPr>
      </w:pPr>
      <w:bookmarkStart w:id="243" w:name="_Toc17138"/>
      <w:r>
        <w:rPr>
          <w:rFonts w:eastAsia="黑体"/>
          <w:color w:val="auto"/>
          <w:sz w:val="44"/>
        </w:rPr>
        <w:t>环境管理与监测计划</w:t>
      </w:r>
      <w:bookmarkEnd w:id="243"/>
    </w:p>
    <w:p>
      <w:pPr>
        <w:pStyle w:val="7"/>
        <w:rPr>
          <w:rFonts w:eastAsia="黑体"/>
          <w:color w:val="auto"/>
          <w:sz w:val="32"/>
        </w:rPr>
      </w:pPr>
      <w:bookmarkStart w:id="244" w:name="_Toc458494428"/>
      <w:bookmarkStart w:id="245" w:name="_Toc28358"/>
      <w:bookmarkStart w:id="246" w:name="_Toc488738032"/>
      <w:bookmarkStart w:id="247" w:name="_Toc436035720"/>
      <w:r>
        <w:rPr>
          <w:rFonts w:eastAsia="黑体"/>
          <w:color w:val="auto"/>
          <w:sz w:val="32"/>
        </w:rPr>
        <w:t>环境管理</w:t>
      </w:r>
      <w:bookmarkEnd w:id="244"/>
      <w:r>
        <w:rPr>
          <w:rFonts w:hint="eastAsia" w:eastAsia="黑体"/>
          <w:color w:val="auto"/>
          <w:sz w:val="32"/>
        </w:rPr>
        <w:t>要求</w:t>
      </w:r>
      <w:bookmarkEnd w:id="245"/>
    </w:p>
    <w:p>
      <w:pPr>
        <w:pStyle w:val="8"/>
        <w:tabs>
          <w:tab w:val="clear" w:pos="0"/>
        </w:tabs>
        <w:rPr>
          <w:rFonts w:eastAsia="黑体"/>
          <w:color w:val="auto"/>
          <w:sz w:val="28"/>
          <w:szCs w:val="28"/>
        </w:rPr>
      </w:pPr>
      <w:r>
        <w:rPr>
          <w:rFonts w:eastAsia="黑体"/>
          <w:color w:val="auto"/>
          <w:sz w:val="28"/>
          <w:szCs w:val="28"/>
        </w:rPr>
        <w:t>环境管理</w:t>
      </w:r>
      <w:r>
        <w:rPr>
          <w:rFonts w:hint="eastAsia" w:eastAsia="黑体"/>
          <w:color w:val="auto"/>
          <w:sz w:val="28"/>
          <w:szCs w:val="28"/>
        </w:rPr>
        <w:t>组织机构</w:t>
      </w:r>
    </w:p>
    <w:p>
      <w:pPr>
        <w:ind w:firstLine="480"/>
        <w:rPr>
          <w:color w:val="auto"/>
        </w:rPr>
      </w:pPr>
      <w:bookmarkStart w:id="248" w:name="_Toc303280640"/>
      <w:bookmarkStart w:id="249" w:name="_Toc303675507"/>
      <w:bookmarkStart w:id="250" w:name="_Toc297620295"/>
      <w:bookmarkStart w:id="251" w:name="_Toc172538708"/>
      <w:bookmarkStart w:id="252" w:name="_Toc303281217"/>
      <w:bookmarkStart w:id="253" w:name="_Toc172719498"/>
      <w:bookmarkStart w:id="254" w:name="_Toc232995256"/>
      <w:bookmarkStart w:id="255" w:name="_Toc278188804"/>
      <w:r>
        <w:rPr>
          <w:rFonts w:hint="eastAsia"/>
          <w:color w:val="auto"/>
        </w:rPr>
        <w:t>根据工程分析和环境预测评价等，本项目建成后将对周围环境造成一定的影响，因此建设单位应在加强环境管理的同时，定期开展环境监测，以便了解对环境造成影响的情况，采取相应措施，消除不利因素，减轻环境污染，使各项环保措施落到实处。本次环评对建设单位的环境管理与环境监测制度提出以下建议。</w:t>
      </w:r>
    </w:p>
    <w:bookmarkEnd w:id="248"/>
    <w:bookmarkEnd w:id="249"/>
    <w:bookmarkEnd w:id="250"/>
    <w:bookmarkEnd w:id="251"/>
    <w:bookmarkEnd w:id="252"/>
    <w:bookmarkEnd w:id="253"/>
    <w:p>
      <w:pPr>
        <w:pStyle w:val="8"/>
        <w:tabs>
          <w:tab w:val="clear" w:pos="0"/>
        </w:tabs>
        <w:rPr>
          <w:rFonts w:eastAsia="黑体"/>
          <w:color w:val="auto"/>
          <w:sz w:val="28"/>
          <w:szCs w:val="28"/>
        </w:rPr>
      </w:pPr>
      <w:r>
        <w:rPr>
          <w:rFonts w:hint="eastAsia" w:eastAsia="黑体"/>
          <w:color w:val="auto"/>
          <w:sz w:val="28"/>
          <w:szCs w:val="28"/>
        </w:rPr>
        <w:t>施工期环境管理要求</w:t>
      </w:r>
    </w:p>
    <w:p>
      <w:pPr>
        <w:ind w:firstLine="480"/>
        <w:rPr>
          <w:rFonts w:hint="eastAsia"/>
          <w:color w:val="auto"/>
        </w:rPr>
      </w:pPr>
      <w:bookmarkStart w:id="256" w:name="_Toc297620296"/>
      <w:bookmarkStart w:id="257" w:name="_Toc303280641"/>
      <w:bookmarkStart w:id="258" w:name="_Toc303281218"/>
      <w:bookmarkStart w:id="259" w:name="_Toc303675508"/>
      <w:r>
        <w:rPr>
          <w:rFonts w:hint="eastAsia"/>
          <w:color w:val="auto"/>
        </w:rPr>
        <w:t>施工期间，拟建项目的环境管理工作由建设单位和施工单位共同承担。</w:t>
      </w:r>
    </w:p>
    <w:p>
      <w:pPr>
        <w:ind w:firstLine="480"/>
        <w:rPr>
          <w:rFonts w:hint="eastAsia"/>
          <w:color w:val="auto"/>
        </w:rPr>
      </w:pPr>
      <w:r>
        <w:rPr>
          <w:rFonts w:hint="eastAsia"/>
          <w:color w:val="auto"/>
        </w:rPr>
        <w:t>（1）建设单位环境管理职责</w:t>
      </w:r>
    </w:p>
    <w:p>
      <w:pPr>
        <w:ind w:firstLine="480"/>
        <w:rPr>
          <w:rFonts w:hint="eastAsia"/>
          <w:color w:val="auto"/>
        </w:rPr>
      </w:pPr>
      <w:r>
        <w:rPr>
          <w:rFonts w:hint="eastAsia"/>
          <w:color w:val="auto"/>
        </w:rPr>
        <w:t>施工期间，建设单位应设置专职环境管理人员，负责工程施工期（从工程施工开始至工程竣工验收期间）的环境保护工作。具体职责包括：统筹管理施工期间的环境保护工作；制定施工期环境管理方案与计划；监督、协调施工单位依照承包合同条款、环境影响报告书及其批复意见的内容开展和落实工作；组织实施施工期环境监理；处理施工期内环境污染事故和纠纷，并及时向上级部门汇报等。</w:t>
      </w:r>
    </w:p>
    <w:p>
      <w:pPr>
        <w:ind w:firstLine="480"/>
        <w:rPr>
          <w:rFonts w:hint="eastAsia"/>
          <w:color w:val="auto"/>
        </w:rPr>
      </w:pPr>
      <w:r>
        <w:rPr>
          <w:rFonts w:hint="eastAsia"/>
          <w:color w:val="auto"/>
        </w:rPr>
        <w:t>建设单位在与施工单位签署施工承包合同时，应将环境保护的条款包含在内，如施工机械设备、施工方法、施工进度安排、施工设备废气、噪声排放控制措施、施工废水处理方式等，保证环境保护设施建设进度和资金，并在项目建设过程中同时组织实施环评报告及批复中提出的环境保护对策措施。</w:t>
      </w:r>
    </w:p>
    <w:p>
      <w:pPr>
        <w:ind w:firstLine="480"/>
        <w:rPr>
          <w:rFonts w:hint="eastAsia"/>
          <w:color w:val="auto"/>
        </w:rPr>
      </w:pPr>
      <w:r>
        <w:rPr>
          <w:rFonts w:hint="eastAsia"/>
          <w:color w:val="auto"/>
        </w:rPr>
        <w:t>（2）施工单位环境管理职责</w:t>
      </w:r>
    </w:p>
    <w:p>
      <w:pPr>
        <w:ind w:firstLine="480"/>
        <w:rPr>
          <w:rFonts w:hint="eastAsia"/>
          <w:color w:val="auto"/>
        </w:rPr>
      </w:pPr>
      <w:r>
        <w:rPr>
          <w:rFonts w:hint="eastAsia"/>
          <w:color w:val="auto"/>
        </w:rPr>
        <w:t>施工单位是承包合同中各项环境保护措施的执行者，并要接受建设单位及有关环保管理部门的监督和管理。施工单位应设立环境保护管理机构，工程竣工并验收合格后撤消。其主要职责包括：</w:t>
      </w:r>
    </w:p>
    <w:p>
      <w:pPr>
        <w:ind w:firstLine="480"/>
        <w:rPr>
          <w:rFonts w:hint="eastAsia"/>
          <w:color w:val="auto"/>
        </w:rPr>
      </w:pPr>
      <w:r>
        <w:rPr>
          <w:rFonts w:hint="eastAsia"/>
          <w:color w:val="auto"/>
        </w:rPr>
        <w:t>①在施工前，应按照建设单位制定的环境管理方案，编制详细的“环境管理方案”，并连同施工计划一起呈报建设单位环境管理部门，批准后方可以开工。</w:t>
      </w:r>
    </w:p>
    <w:p>
      <w:pPr>
        <w:ind w:firstLine="480"/>
        <w:rPr>
          <w:color w:val="auto"/>
        </w:rPr>
      </w:pPr>
      <w:r>
        <w:rPr>
          <w:rFonts w:hint="eastAsia"/>
          <w:color w:val="auto"/>
        </w:rPr>
        <w:t>②施工期间的各项活动需依据承包合同条款、环评报告及其批复意见的内容严格执行，尽量减轻施工期对环境的污染。</w:t>
      </w:r>
    </w:p>
    <w:p>
      <w:pPr>
        <w:ind w:firstLine="480"/>
        <w:rPr>
          <w:rFonts w:hint="eastAsia"/>
          <w:color w:val="auto"/>
        </w:rPr>
      </w:pPr>
      <w:r>
        <w:rPr>
          <w:rFonts w:hint="eastAsia"/>
          <w:color w:val="auto"/>
        </w:rPr>
        <w:t>③定期向建设单位汇报承包合同中各项环保条款的执行情况，并负责环保措施的建设进度、建设质量、运行和检测情况。</w:t>
      </w:r>
    </w:p>
    <w:p>
      <w:pPr>
        <w:ind w:firstLine="480"/>
        <w:rPr>
          <w:rFonts w:hint="eastAsia"/>
          <w:color w:val="auto"/>
        </w:rPr>
      </w:pPr>
      <w:r>
        <w:rPr>
          <w:rFonts w:hint="eastAsia"/>
          <w:color w:val="auto"/>
        </w:rPr>
        <w:t>（3）环境监理单位的职责</w:t>
      </w:r>
    </w:p>
    <w:p>
      <w:pPr>
        <w:ind w:firstLine="480"/>
        <w:rPr>
          <w:rFonts w:hint="eastAsia"/>
          <w:color w:val="auto"/>
        </w:rPr>
      </w:pPr>
      <w:r>
        <w:rPr>
          <w:rFonts w:hint="eastAsia"/>
          <w:color w:val="auto"/>
        </w:rPr>
        <w:t>施工阶段环境监理是确保项目施工过程中各种污染因子达到环境保护标准要求的环境监理工作内容。为确保项目施工期间废气、固废、噪声等满足国家和地方环保要求，施工期间各环境要素的监理要点有以下几方面。</w:t>
      </w:r>
    </w:p>
    <w:p>
      <w:pPr>
        <w:ind w:firstLine="480"/>
        <w:rPr>
          <w:rFonts w:hint="eastAsia"/>
          <w:color w:val="auto"/>
        </w:rPr>
      </w:pPr>
      <w:r>
        <w:rPr>
          <w:color w:val="auto"/>
        </w:rPr>
        <w:t>1</w:t>
      </w:r>
      <w:r>
        <w:rPr>
          <w:rFonts w:hint="eastAsia"/>
          <w:color w:val="auto"/>
        </w:rPr>
        <w:t>）水环境监理实施要点</w:t>
      </w:r>
    </w:p>
    <w:p>
      <w:pPr>
        <w:ind w:firstLine="480"/>
        <w:rPr>
          <w:rFonts w:hint="eastAsia"/>
          <w:color w:val="auto"/>
        </w:rPr>
      </w:pPr>
      <w:r>
        <w:rPr>
          <w:rFonts w:hint="eastAsia"/>
          <w:color w:val="auto"/>
        </w:rPr>
        <w:t>①加强施工期管理，针对施工期污水产生过程不连续、废水种类较单一等特点，是否采取相应措施有效控制污水污染的产生；</w:t>
      </w:r>
    </w:p>
    <w:p>
      <w:pPr>
        <w:ind w:firstLine="480"/>
        <w:rPr>
          <w:rFonts w:hint="eastAsia"/>
          <w:color w:val="auto"/>
        </w:rPr>
      </w:pPr>
      <w:r>
        <w:rPr>
          <w:rFonts w:hint="eastAsia"/>
          <w:color w:val="auto"/>
        </w:rPr>
        <w:t>②施工现场是否因地制宜，建造沉淀池、隔油池等污水临时处理设施；对含油量大的施工机械冲洗水或悬浮物含量高的其他施工废水须经处理后方可回用；</w:t>
      </w:r>
    </w:p>
    <w:p>
      <w:pPr>
        <w:ind w:firstLine="480"/>
        <w:rPr>
          <w:rFonts w:hint="eastAsia"/>
          <w:color w:val="auto"/>
        </w:rPr>
      </w:pPr>
      <w:r>
        <w:rPr>
          <w:rFonts w:hint="eastAsia"/>
          <w:color w:val="auto"/>
        </w:rPr>
        <w:t>③水泥、砂石、石灰类的建材是否集中堆放，并采取一定的防雨淋措施，及时清扫施工过程中抛洒建材，避免抛洒物质随雨水冲刷污染附近水体。</w:t>
      </w:r>
    </w:p>
    <w:p>
      <w:pPr>
        <w:ind w:firstLine="480"/>
        <w:rPr>
          <w:rFonts w:hint="eastAsia"/>
          <w:color w:val="auto"/>
        </w:rPr>
      </w:pPr>
      <w:r>
        <w:rPr>
          <w:color w:val="auto"/>
        </w:rPr>
        <w:t>2</w:t>
      </w:r>
      <w:r>
        <w:rPr>
          <w:rFonts w:hint="eastAsia"/>
          <w:color w:val="auto"/>
        </w:rPr>
        <w:t>）大气环境监理实施要点</w:t>
      </w:r>
    </w:p>
    <w:p>
      <w:pPr>
        <w:ind w:firstLine="480"/>
        <w:rPr>
          <w:rFonts w:hint="eastAsia"/>
          <w:color w:val="auto"/>
        </w:rPr>
      </w:pPr>
      <w:r>
        <w:rPr>
          <w:rFonts w:hint="eastAsia"/>
          <w:color w:val="auto"/>
        </w:rPr>
        <w:t>①施工期间，厂区是否进行围挡，以减少扬尘污染；</w:t>
      </w:r>
    </w:p>
    <w:p>
      <w:pPr>
        <w:ind w:firstLine="480"/>
        <w:rPr>
          <w:rFonts w:hint="eastAsia"/>
          <w:color w:val="auto"/>
        </w:rPr>
      </w:pPr>
      <w:r>
        <w:rPr>
          <w:rFonts w:hint="eastAsia"/>
          <w:color w:val="auto"/>
        </w:rPr>
        <w:t>②对施工便道是否定期进行洒水抑尘，减少道路扬尘的产生量。</w:t>
      </w:r>
    </w:p>
    <w:p>
      <w:pPr>
        <w:ind w:firstLine="480"/>
        <w:rPr>
          <w:rFonts w:hint="eastAsia"/>
          <w:color w:val="auto"/>
        </w:rPr>
      </w:pPr>
      <w:r>
        <w:rPr>
          <w:color w:val="auto"/>
        </w:rPr>
        <w:t>3</w:t>
      </w:r>
      <w:r>
        <w:rPr>
          <w:rFonts w:hint="eastAsia"/>
          <w:color w:val="auto"/>
        </w:rPr>
        <w:t>）噪声环境监理实施要点</w:t>
      </w:r>
    </w:p>
    <w:p>
      <w:pPr>
        <w:ind w:firstLine="480"/>
        <w:rPr>
          <w:color w:val="auto"/>
        </w:rPr>
      </w:pPr>
      <w:r>
        <w:rPr>
          <w:rFonts w:hint="eastAsia"/>
          <w:color w:val="auto"/>
        </w:rPr>
        <w:t>①施工单位是否选用效率高、噪声低的低噪声设备；在高噪声设备周围适当设置屏障以减轻噪声对周围环境的影响，是否控制施工场界噪声不超过《建筑施工场界环境噪声排放标准》（</w:t>
      </w:r>
      <w:r>
        <w:rPr>
          <w:color w:val="auto"/>
        </w:rPr>
        <w:t>GB 12523</w:t>
      </w:r>
      <w:r>
        <w:rPr>
          <w:rFonts w:hint="eastAsia"/>
          <w:color w:val="auto"/>
        </w:rPr>
        <w:t>-</w:t>
      </w:r>
      <w:r>
        <w:rPr>
          <w:color w:val="auto"/>
        </w:rPr>
        <w:t>2011</w:t>
      </w:r>
      <w:r>
        <w:rPr>
          <w:rFonts w:hint="eastAsia"/>
          <w:color w:val="auto"/>
        </w:rPr>
        <w:t>）</w:t>
      </w:r>
    </w:p>
    <w:p>
      <w:pPr>
        <w:ind w:firstLine="480"/>
        <w:rPr>
          <w:rFonts w:hint="eastAsia"/>
          <w:color w:val="auto"/>
        </w:rPr>
      </w:pPr>
      <w:r>
        <w:rPr>
          <w:rFonts w:hint="eastAsia"/>
          <w:color w:val="auto"/>
        </w:rPr>
        <w:t>②合理安排施工活动，减少施工噪声影响时间，避免高噪声施工机械在同一区域内使用，高噪声施工机械运行时，尽量避开居民休息时间。</w:t>
      </w:r>
    </w:p>
    <w:p>
      <w:pPr>
        <w:ind w:firstLine="480"/>
        <w:rPr>
          <w:color w:val="auto"/>
        </w:rPr>
      </w:pPr>
      <w:r>
        <w:rPr>
          <w:color w:val="auto"/>
        </w:rPr>
        <w:t>4</w:t>
      </w:r>
      <w:r>
        <w:rPr>
          <w:rFonts w:hint="eastAsia"/>
          <w:color w:val="auto"/>
        </w:rPr>
        <w:t>）施工期其他监理要点</w:t>
      </w:r>
    </w:p>
    <w:p>
      <w:pPr>
        <w:ind w:firstLine="480"/>
        <w:rPr>
          <w:rFonts w:hint="eastAsia"/>
          <w:color w:val="auto"/>
        </w:rPr>
      </w:pPr>
      <w:r>
        <w:rPr>
          <w:rFonts w:hint="eastAsia"/>
          <w:color w:val="auto"/>
        </w:rPr>
        <w:t>①污染治理设施的隐蔽工程（防渗工程等）在隐蔽前，施工单位要报环境监理确认合格后方可进行隐蔽施工；</w:t>
      </w:r>
    </w:p>
    <w:p>
      <w:pPr>
        <w:ind w:firstLine="480"/>
        <w:rPr>
          <w:color w:val="auto"/>
        </w:rPr>
      </w:pPr>
      <w:r>
        <w:rPr>
          <w:rFonts w:hint="eastAsia"/>
          <w:color w:val="auto"/>
        </w:rPr>
        <w:t>②工程建设过程中产生环境污染的工序和环节的环境监理：土石方回填过程，施工便道修筑和使用情况，临时用地植被恢复及水保措施等。</w:t>
      </w:r>
    </w:p>
    <w:p>
      <w:pPr>
        <w:pStyle w:val="8"/>
        <w:tabs>
          <w:tab w:val="clear" w:pos="0"/>
        </w:tabs>
        <w:rPr>
          <w:rFonts w:hint="eastAsia" w:eastAsia="黑体"/>
          <w:color w:val="auto"/>
          <w:sz w:val="28"/>
          <w:szCs w:val="28"/>
        </w:rPr>
      </w:pPr>
      <w:r>
        <w:rPr>
          <w:rFonts w:hint="eastAsia" w:eastAsia="黑体"/>
          <w:color w:val="auto"/>
          <w:sz w:val="28"/>
          <w:szCs w:val="28"/>
        </w:rPr>
        <w:t>环境管理制度</w:t>
      </w:r>
    </w:p>
    <w:p>
      <w:pPr>
        <w:ind w:firstLine="480"/>
        <w:rPr>
          <w:rFonts w:hint="eastAsia"/>
          <w:color w:val="auto"/>
        </w:rPr>
      </w:pPr>
      <w:r>
        <w:rPr>
          <w:rFonts w:hint="eastAsia"/>
          <w:color w:val="auto"/>
        </w:rPr>
        <w:t>（1）环境管理机构</w:t>
      </w:r>
    </w:p>
    <w:p>
      <w:pPr>
        <w:ind w:firstLine="480"/>
        <w:rPr>
          <w:rFonts w:hint="eastAsia"/>
          <w:color w:val="auto"/>
        </w:rPr>
      </w:pPr>
      <w:r>
        <w:rPr>
          <w:rFonts w:hint="eastAsia"/>
          <w:color w:val="auto"/>
        </w:rPr>
        <w:t>项目设置专门从事环境管理的机构，配备专职环保人员1~2名，负责环境监督管理工作，负责与各单项污染治理设施的沟通、协调与日常管理。对工作人员实行培训后持证上岗，制定工作人员岗位责任制，增强操作人员的环境保护意识。部门具体职责为：</w:t>
      </w:r>
    </w:p>
    <w:p>
      <w:pPr>
        <w:ind w:firstLine="480"/>
        <w:rPr>
          <w:rFonts w:hint="eastAsia"/>
          <w:color w:val="auto"/>
        </w:rPr>
      </w:pPr>
      <w:r>
        <w:rPr>
          <w:rFonts w:hint="eastAsia"/>
          <w:color w:val="auto"/>
        </w:rPr>
        <w:t>①贯彻落实国家和地方有关的环保法律法规和相关标准；</w:t>
      </w:r>
    </w:p>
    <w:p>
      <w:pPr>
        <w:ind w:firstLine="480"/>
        <w:rPr>
          <w:rFonts w:hint="eastAsia"/>
          <w:color w:val="auto"/>
        </w:rPr>
      </w:pPr>
      <w:r>
        <w:rPr>
          <w:rFonts w:hint="eastAsia"/>
          <w:color w:val="auto"/>
        </w:rPr>
        <w:t>②组织制定公司的环境保护管理规章制度，并监督检查其执行情况；</w:t>
      </w:r>
    </w:p>
    <w:p>
      <w:pPr>
        <w:ind w:firstLine="480"/>
        <w:rPr>
          <w:rFonts w:hint="eastAsia"/>
          <w:color w:val="auto"/>
        </w:rPr>
      </w:pPr>
      <w:r>
        <w:rPr>
          <w:rFonts w:hint="eastAsia"/>
          <w:color w:val="auto"/>
        </w:rPr>
        <w:t>③针对公司的具体情况，制定并组织实施环境保护规划和年度工作计划；</w:t>
      </w:r>
    </w:p>
    <w:p>
      <w:pPr>
        <w:ind w:firstLine="480"/>
        <w:rPr>
          <w:rFonts w:hint="eastAsia"/>
          <w:color w:val="auto"/>
        </w:rPr>
      </w:pPr>
      <w:r>
        <w:rPr>
          <w:rFonts w:hint="eastAsia"/>
          <w:color w:val="auto"/>
        </w:rPr>
        <w:t>④负责开展日常的环境监测工作，建立健全原始记录，分析掌握污染动态以及三废的综合处置情况；</w:t>
      </w:r>
    </w:p>
    <w:p>
      <w:pPr>
        <w:ind w:firstLine="480"/>
        <w:rPr>
          <w:rFonts w:hint="eastAsia"/>
          <w:color w:val="auto"/>
        </w:rPr>
      </w:pPr>
      <w:r>
        <w:rPr>
          <w:rFonts w:hint="eastAsia"/>
          <w:color w:val="auto"/>
        </w:rPr>
        <w:t>⑤建立环保档案，做好企业环境管理台账记录和企业环保资料的统计整理工作，及时向当地环保部门上报环保工作报表以及提供相应的技术数据；</w:t>
      </w:r>
    </w:p>
    <w:p>
      <w:pPr>
        <w:ind w:firstLine="480"/>
        <w:rPr>
          <w:rFonts w:hint="eastAsia"/>
          <w:color w:val="auto"/>
        </w:rPr>
      </w:pPr>
      <w:r>
        <w:rPr>
          <w:rFonts w:hint="eastAsia"/>
          <w:color w:val="auto"/>
        </w:rPr>
        <w:t>⑥监督检查环保设施及自动报警装置等运行、维护和管理工作；</w:t>
      </w:r>
    </w:p>
    <w:p>
      <w:pPr>
        <w:ind w:firstLine="480"/>
        <w:rPr>
          <w:rFonts w:hint="eastAsia"/>
          <w:color w:val="auto"/>
        </w:rPr>
      </w:pPr>
      <w:r>
        <w:rPr>
          <w:rFonts w:hint="eastAsia"/>
          <w:color w:val="auto"/>
        </w:rPr>
        <w:t>⑦检查落实安全消防措施，开展环保、安全知识教育，对从事与环保工作有关的特殊岗位（如承担环保设施运行与维护）的员工的技能进行定期培训和考核；</w:t>
      </w:r>
    </w:p>
    <w:p>
      <w:pPr>
        <w:ind w:firstLine="480"/>
        <w:rPr>
          <w:rFonts w:hint="eastAsia"/>
          <w:color w:val="auto"/>
        </w:rPr>
      </w:pPr>
      <w:r>
        <w:rPr>
          <w:rFonts w:hint="eastAsia"/>
          <w:color w:val="auto"/>
        </w:rPr>
        <w:t>⑧负责处理各类污染事故和突发紧急事件，组织抢救和善后处理工作；</w:t>
      </w:r>
    </w:p>
    <w:p>
      <w:pPr>
        <w:ind w:firstLine="480"/>
        <w:rPr>
          <w:rFonts w:hint="eastAsia"/>
          <w:color w:val="auto"/>
        </w:rPr>
      </w:pPr>
      <w:r>
        <w:rPr>
          <w:rFonts w:hint="eastAsia"/>
          <w:color w:val="auto"/>
        </w:rPr>
        <w:t>⑨负责企业的清洁生产工作的开展和维持，配合当地环境保护部门对企业的环境管理；</w:t>
      </w:r>
    </w:p>
    <w:p>
      <w:pPr>
        <w:ind w:firstLine="480"/>
        <w:rPr>
          <w:rFonts w:hint="eastAsia"/>
          <w:color w:val="auto"/>
        </w:rPr>
      </w:pPr>
      <w:r>
        <w:rPr>
          <w:rFonts w:hint="eastAsia"/>
          <w:color w:val="auto"/>
        </w:rPr>
        <w:t>⑩做好企业环境管理信息公开工作。</w:t>
      </w:r>
    </w:p>
    <w:p>
      <w:pPr>
        <w:ind w:firstLine="480"/>
        <w:rPr>
          <w:rFonts w:hint="eastAsia"/>
          <w:color w:val="auto"/>
        </w:rPr>
      </w:pPr>
      <w:r>
        <w:rPr>
          <w:rFonts w:hint="eastAsia"/>
          <w:color w:val="auto"/>
        </w:rPr>
        <w:t>（2）环境管理制度</w:t>
      </w:r>
    </w:p>
    <w:p>
      <w:pPr>
        <w:ind w:firstLine="480"/>
        <w:rPr>
          <w:rFonts w:hint="eastAsia"/>
          <w:color w:val="auto"/>
        </w:rPr>
      </w:pPr>
      <w:r>
        <w:rPr>
          <w:rFonts w:hint="eastAsia"/>
          <w:color w:val="auto"/>
        </w:rPr>
        <w:t>企业应建立健全环境管理制度体系，将环保工作纳入考核体系，确保在日常运行中将环保目标落实到实处。</w:t>
      </w:r>
    </w:p>
    <w:p>
      <w:pPr>
        <w:ind w:firstLine="480"/>
        <w:rPr>
          <w:rFonts w:hint="eastAsia"/>
          <w:color w:val="auto"/>
        </w:rPr>
      </w:pPr>
      <w:r>
        <w:rPr>
          <w:rFonts w:hint="eastAsia"/>
          <w:color w:val="auto"/>
        </w:rPr>
        <w:t>①三同时制度</w:t>
      </w:r>
    </w:p>
    <w:p>
      <w:pPr>
        <w:ind w:firstLine="480"/>
        <w:rPr>
          <w:rFonts w:hint="eastAsia"/>
          <w:color w:val="auto"/>
        </w:rPr>
      </w:pPr>
      <w:r>
        <w:rPr>
          <w:rFonts w:hint="eastAsia"/>
          <w:color w:val="auto"/>
        </w:rPr>
        <w:t>根据《建设项目环境保护管理条例》，建设项目需要配套建设的环境保护设施，必须与主体工程同时设计、同时施工、同时投产使用。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和调试情况，不得弄虚作假，验收报告应依法向社会公开。本项目配套建设的环境保护设施经验收合格，方可投入生产或者使用。</w:t>
      </w:r>
    </w:p>
    <w:p>
      <w:pPr>
        <w:ind w:firstLine="480"/>
        <w:rPr>
          <w:rFonts w:hint="eastAsia"/>
          <w:color w:val="auto"/>
        </w:rPr>
      </w:pPr>
      <w:r>
        <w:rPr>
          <w:rFonts w:hint="eastAsia"/>
          <w:color w:val="auto"/>
        </w:rPr>
        <w:t>②排污许可证制度</w:t>
      </w:r>
    </w:p>
    <w:p>
      <w:pPr>
        <w:ind w:firstLine="480"/>
        <w:rPr>
          <w:rFonts w:hint="eastAsia"/>
          <w:color w:val="auto"/>
        </w:rPr>
      </w:pPr>
      <w:r>
        <w:rPr>
          <w:rFonts w:hint="eastAsia"/>
          <w:color w:val="auto"/>
        </w:rPr>
        <w:t>建设单位应当在项目投入生产或使用并产生实际排污行为之前申请领取排污许可证。依法按照排污许可证申请与核发技术规范提交排污许 可申请，申报排放污染物种类、排放浓度等，测算并申报污染物排放量。建设单位应当严格执行排污许可证的规定，禁止无证排污或不按证排污。</w:t>
      </w:r>
    </w:p>
    <w:p>
      <w:pPr>
        <w:ind w:firstLine="480"/>
        <w:rPr>
          <w:rFonts w:hint="eastAsia"/>
          <w:color w:val="auto"/>
        </w:rPr>
      </w:pPr>
      <w:r>
        <w:rPr>
          <w:rFonts w:hint="eastAsia"/>
          <w:color w:val="auto"/>
        </w:rPr>
        <w:t>③环保台账制度</w:t>
      </w:r>
    </w:p>
    <w:p>
      <w:pPr>
        <w:ind w:firstLine="480"/>
        <w:rPr>
          <w:rFonts w:hint="eastAsia"/>
          <w:color w:val="auto"/>
        </w:rPr>
      </w:pPr>
      <w:r>
        <w:rPr>
          <w:rFonts w:hint="eastAsia"/>
          <w:color w:val="auto"/>
        </w:rPr>
        <w:t>厂内需完善记录制度和档案保存制度，有利于环境管理质量的追踪和持续改进；记录和台帐包括设施运行和维护记录、危险废物进出台帐、废水、废气污染物监测台帐、所有化学品使用台帐、突发性事件的处理、调查记录等，妥善保存所有记录、台帐及污染物排放监测资料、环境管理档案资料等。严格按照《危险废物经营单位记录和报告经营情况指南》的要求，建设危险废物经营情况记录簿，如实记载收集、处置 危险废物的类别、来源去向和有无事故等事项。</w:t>
      </w:r>
    </w:p>
    <w:p>
      <w:pPr>
        <w:ind w:firstLine="480"/>
        <w:rPr>
          <w:rFonts w:hint="eastAsia"/>
          <w:color w:val="auto"/>
        </w:rPr>
      </w:pPr>
      <w:r>
        <w:rPr>
          <w:rFonts w:hint="eastAsia"/>
          <w:color w:val="auto"/>
        </w:rPr>
        <w:t>④污染治理设施管理制度</w:t>
      </w:r>
    </w:p>
    <w:p>
      <w:pPr>
        <w:ind w:firstLine="480"/>
        <w:rPr>
          <w:rFonts w:hint="eastAsia"/>
          <w:color w:val="auto"/>
        </w:rPr>
      </w:pPr>
      <w:r>
        <w:rPr>
          <w:rFonts w:hint="eastAsia"/>
          <w:color w:val="auto"/>
        </w:rPr>
        <w:t>项目建成后，必须确保污染处理设施长期、稳定、有效地运行，不得擅自拆除或者闲置污染处理设施，不得故意不正常使用污染处理设施。污染处理设施的管理必须与生产经营活动一起纳入单位日常管理工作的范畴，落实责任人、操作人员、维修人员、运行经费、设备的备品备件、化学药品和其他原辅材料。同时要建立岗位责任制、制定操作规程、建立管理台帐。</w:t>
      </w:r>
    </w:p>
    <w:p>
      <w:pPr>
        <w:ind w:firstLine="480"/>
        <w:rPr>
          <w:rFonts w:hint="eastAsia"/>
          <w:color w:val="auto"/>
        </w:rPr>
      </w:pPr>
      <w:r>
        <w:rPr>
          <w:rFonts w:hint="eastAsia"/>
          <w:color w:val="auto"/>
        </w:rPr>
        <w:t>⑤报告制度</w:t>
      </w:r>
    </w:p>
    <w:p>
      <w:pPr>
        <w:ind w:firstLine="480"/>
        <w:rPr>
          <w:rFonts w:hint="eastAsia"/>
          <w:color w:val="auto"/>
        </w:rPr>
      </w:pPr>
      <w:r>
        <w:rPr>
          <w:rFonts w:hint="eastAsia"/>
          <w:color w:val="auto"/>
        </w:rPr>
        <w:t>执行月报制度。月报内容主要为污染治理设施的运行情况、污染物排放情况以及污染事故或污染纠纷等。厂内环境保护相关的所有记录、台帐及污染物排放监测资料、环境管理档案资料等应妥善保存并定期上报，发现污染因子超标，要在监测数据出来后以书面形式上报公司管理层，快速果断采取应对措施。</w:t>
      </w:r>
    </w:p>
    <w:p>
      <w:pPr>
        <w:ind w:firstLine="480"/>
        <w:rPr>
          <w:rFonts w:hint="eastAsia"/>
          <w:color w:val="auto"/>
        </w:rPr>
      </w:pPr>
      <w:r>
        <w:rPr>
          <w:rFonts w:hint="eastAsia"/>
          <w:color w:val="auto"/>
        </w:rPr>
        <w:t>建设单位应定期向属地生态环境部门报告污染治理设施运行情况、污染物排放情况以及污染事故、污染纠纷等情况，便于政府部门及时了解污染动态，以利于采取相应的对策措施。</w:t>
      </w:r>
    </w:p>
    <w:p>
      <w:pPr>
        <w:ind w:firstLine="480"/>
        <w:rPr>
          <w:rFonts w:hint="eastAsia"/>
          <w:color w:val="auto"/>
        </w:rPr>
      </w:pPr>
      <w:r>
        <w:rPr>
          <w:rFonts w:hint="eastAsia"/>
          <w:color w:val="auto"/>
        </w:rPr>
        <w:t>本项目的性质、规模、地点、生产工艺和环境保护措施等发生变动的，必须向环保部门报告，并履行相关手续，如发生重大变动并且可能导致环境影响显著变化（特别是不利环境影响加重）的，应当重新报批环评。</w:t>
      </w:r>
    </w:p>
    <w:p>
      <w:pPr>
        <w:ind w:firstLine="480"/>
        <w:rPr>
          <w:rFonts w:hint="eastAsia"/>
          <w:color w:val="auto"/>
        </w:rPr>
      </w:pPr>
      <w:r>
        <w:rPr>
          <w:rFonts w:hint="eastAsia"/>
          <w:color w:val="auto"/>
        </w:rPr>
        <w:t>⑥环保奖惩制度</w:t>
      </w:r>
    </w:p>
    <w:p>
      <w:pPr>
        <w:ind w:firstLine="480"/>
        <w:rPr>
          <w:rFonts w:hint="eastAsia"/>
          <w:color w:val="auto"/>
        </w:rPr>
      </w:pPr>
      <w:r>
        <w:rPr>
          <w:rFonts w:hint="eastAsia"/>
          <w:color w:val="auto"/>
        </w:rPr>
        <w:t>企业应加强宣传教育，提高员工的污染隐患意识和环境风险意识；制定员工参与环保技术培训的计划，提高员工技术素质水平；设立岗位实责制，制定严格的奖、罚制度。建议企业设置环境保护奖励条例，纳入人员考核体系。对爱护环保设施、节能降耗、改善环境者实行奖励；对环保观念淡薄、不按环保管理要求，造成环保设施损坏、环境污染及资源和能源浪费者一律处以重罚。</w:t>
      </w:r>
    </w:p>
    <w:p>
      <w:pPr>
        <w:ind w:firstLine="480"/>
        <w:rPr>
          <w:rFonts w:hint="eastAsia"/>
          <w:color w:val="auto"/>
        </w:rPr>
      </w:pPr>
      <w:r>
        <w:rPr>
          <w:rFonts w:hint="eastAsia"/>
          <w:color w:val="auto"/>
        </w:rPr>
        <w:t>⑦信息公开制度</w:t>
      </w:r>
    </w:p>
    <w:p>
      <w:pPr>
        <w:ind w:firstLine="480"/>
        <w:rPr>
          <w:rFonts w:hint="eastAsia"/>
          <w:color w:val="auto"/>
        </w:rPr>
      </w:pPr>
      <w:r>
        <w:rPr>
          <w:rFonts w:hint="eastAsia"/>
          <w:color w:val="auto"/>
        </w:rPr>
        <w:t>建设单位在环评编制、审批、排污许可证申请、竣工环保验收、正常运行等各阶段均应按照有关要求，通过网站或者其他便于公众知悉的方式，依法向社会公开拟建项目污染物排放清单，明确污染物排放的管理要求。包括工程组成及原辅材料组分要求，建设项目拟采取的环境保护措施及主要运行参数，排放的污染物种类、排放浓度和总量指标，排污口信息，执行的环境标准，环境风险防范措施以及环境监测等相关内容。</w:t>
      </w:r>
    </w:p>
    <w:p>
      <w:pPr>
        <w:ind w:firstLine="480"/>
        <w:rPr>
          <w:rFonts w:hint="eastAsia"/>
          <w:color w:val="auto"/>
        </w:rPr>
      </w:pPr>
      <w:r>
        <w:rPr>
          <w:rFonts w:hint="eastAsia"/>
          <w:color w:val="auto"/>
        </w:rPr>
        <w:t>（3）排污口规范化设置</w:t>
      </w:r>
    </w:p>
    <w:p>
      <w:pPr>
        <w:pStyle w:val="191"/>
        <w:ind w:firstLine="480"/>
        <w:rPr>
          <w:color w:val="auto"/>
          <w:szCs w:val="24"/>
        </w:rPr>
      </w:pPr>
      <w:r>
        <w:rPr>
          <w:color w:val="auto"/>
          <w:szCs w:val="24"/>
        </w:rPr>
        <w:t>排污口是企业污染物进入受纳环境的通道，做好排污口管理是实施污染物总量控制和达标排放的基础工作之一，必须实行规范化管理。</w:t>
      </w:r>
    </w:p>
    <w:p>
      <w:pPr>
        <w:pStyle w:val="191"/>
        <w:ind w:firstLine="480"/>
        <w:rPr>
          <w:color w:val="auto"/>
          <w:szCs w:val="24"/>
        </w:rPr>
      </w:pPr>
      <w:r>
        <w:rPr>
          <w:color w:val="auto"/>
          <w:szCs w:val="24"/>
        </w:rPr>
        <w:t>由于本项目</w:t>
      </w:r>
      <w:r>
        <w:rPr>
          <w:rFonts w:hint="eastAsia"/>
          <w:color w:val="auto"/>
          <w:szCs w:val="24"/>
        </w:rPr>
        <w:t>生活污水和养殖废水经厌氧消化处理后全部用于周边农田、果园施肥，不外排；本项目废气主要是无组织排放的恶臭气体。</w:t>
      </w:r>
      <w:r>
        <w:rPr>
          <w:color w:val="auto"/>
          <w:szCs w:val="24"/>
        </w:rPr>
        <w:t>因此主要针对</w:t>
      </w:r>
      <w:r>
        <w:rPr>
          <w:rFonts w:hint="eastAsia"/>
          <w:color w:val="auto"/>
          <w:szCs w:val="24"/>
        </w:rPr>
        <w:t>固废、噪声</w:t>
      </w:r>
      <w:r>
        <w:rPr>
          <w:color w:val="auto"/>
          <w:szCs w:val="24"/>
        </w:rPr>
        <w:t>排污口进行规范化管理，具体如下：</w:t>
      </w:r>
    </w:p>
    <w:p>
      <w:pPr>
        <w:pStyle w:val="191"/>
        <w:ind w:firstLine="480"/>
        <w:rPr>
          <w:rFonts w:ascii="Times New Roman" w:hAnsi="Times New Roman"/>
          <w:color w:val="auto"/>
          <w:szCs w:val="24"/>
        </w:rPr>
      </w:pPr>
      <w:r>
        <w:rPr>
          <w:rFonts w:ascii="Times New Roman" w:hAnsi="Times New Roman"/>
          <w:color w:val="auto"/>
          <w:szCs w:val="24"/>
        </w:rPr>
        <w:t>噪声排污口应按照《环境保护图形标志—排放口（源）》（GB15562.1-1995）规定，设置统一制作的环境保护图形标志牌；固体废物按照《环境保护图形标志 固体废物贮存（处置）场》（GB15562.2-1995）设置环境保护图形标志牌。</w:t>
      </w:r>
    </w:p>
    <w:p>
      <w:pPr>
        <w:pStyle w:val="191"/>
        <w:ind w:firstLine="480"/>
        <w:rPr>
          <w:color w:val="auto"/>
          <w:szCs w:val="24"/>
        </w:rPr>
      </w:pPr>
      <w:r>
        <w:rPr>
          <w:color w:val="auto"/>
          <w:szCs w:val="24"/>
        </w:rPr>
        <w:t>规范化排污口的有关设置（如图形标志牌、监控装置等）属环保设施，排污单位必须负责日常的维护保养，任何单位和个人不得擅自拆除，如需变更的须报环境监管部门同意并办理变更手续。</w:t>
      </w:r>
    </w:p>
    <w:p>
      <w:pPr>
        <w:pStyle w:val="191"/>
        <w:ind w:firstLine="480"/>
        <w:rPr>
          <w:color w:val="auto"/>
          <w:szCs w:val="24"/>
        </w:rPr>
      </w:pPr>
      <w:r>
        <w:rPr>
          <w:color w:val="auto"/>
          <w:szCs w:val="24"/>
        </w:rPr>
        <w:t>本项目排污口设置牌可参照以下标识设置。</w:t>
      </w:r>
    </w:p>
    <w:p>
      <w:pPr>
        <w:pStyle w:val="3"/>
        <w:spacing w:after="0" w:line="240" w:lineRule="auto"/>
        <w:ind w:firstLine="0" w:firstLineChars="0"/>
        <w:jc w:val="center"/>
        <w:rPr>
          <w:rFonts w:ascii="Times New Roman" w:hAnsi="Times New Roman"/>
          <w:b/>
          <w:color w:val="auto"/>
          <w:kern w:val="0"/>
          <w:sz w:val="21"/>
          <w:szCs w:val="21"/>
        </w:rPr>
      </w:pPr>
      <w:r>
        <w:rPr>
          <w:rFonts w:ascii="Times New Roman" w:hAnsi="Times New Roman"/>
          <w:b/>
          <w:color w:val="auto"/>
          <w:kern w:val="0"/>
          <w:sz w:val="21"/>
          <w:szCs w:val="21"/>
        </w:rPr>
        <w:t>表9.1-1</w:t>
      </w:r>
      <w:r>
        <w:rPr>
          <w:rFonts w:hint="eastAsia" w:ascii="Times New Roman" w:hAnsi="Times New Roman"/>
          <w:b/>
          <w:color w:val="auto"/>
          <w:kern w:val="0"/>
          <w:sz w:val="21"/>
          <w:szCs w:val="21"/>
          <w:lang w:val="en-US" w:eastAsia="zh-CN"/>
        </w:rPr>
        <w:t xml:space="preserve"> </w:t>
      </w:r>
      <w:r>
        <w:rPr>
          <w:rFonts w:ascii="Times New Roman" w:hAnsi="Times New Roman"/>
          <w:b/>
          <w:color w:val="auto"/>
          <w:kern w:val="0"/>
          <w:sz w:val="21"/>
          <w:szCs w:val="21"/>
        </w:rPr>
        <w:t>排放源图形</w:t>
      </w:r>
      <w:r>
        <w:rPr>
          <w:rFonts w:hint="eastAsia" w:ascii="Times New Roman" w:hAnsi="Times New Roman"/>
          <w:b/>
          <w:color w:val="auto"/>
          <w:kern w:val="0"/>
          <w:sz w:val="21"/>
          <w:szCs w:val="21"/>
        </w:rPr>
        <w:t>提示</w:t>
      </w:r>
      <w:r>
        <w:rPr>
          <w:rFonts w:ascii="Times New Roman" w:hAnsi="Times New Roman"/>
          <w:b/>
          <w:color w:val="auto"/>
          <w:kern w:val="0"/>
          <w:sz w:val="21"/>
          <w:szCs w:val="21"/>
        </w:rPr>
        <w:t>标识</w:t>
      </w:r>
    </w:p>
    <w:p>
      <w:pPr>
        <w:pStyle w:val="3"/>
        <w:ind w:firstLine="0" w:firstLineChars="0"/>
        <w:jc w:val="center"/>
        <w:rPr>
          <w:color w:val="auto"/>
          <w:kern w:val="0"/>
        </w:rPr>
      </w:pPr>
      <w:r>
        <w:rPr>
          <w:color w:val="auto"/>
          <w:kern w:val="0"/>
        </w:rPr>
        <w:drawing>
          <wp:inline distT="0" distB="0" distL="114300" distR="114300">
            <wp:extent cx="5800090" cy="1741170"/>
            <wp:effectExtent l="0" t="0" r="10160" b="11430"/>
            <wp:docPr id="4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9"/>
                    <pic:cNvPicPr>
                      <a:picLocks noChangeAspect="1"/>
                    </pic:cNvPicPr>
                  </pic:nvPicPr>
                  <pic:blipFill>
                    <a:blip r:embed="rId88"/>
                    <a:stretch>
                      <a:fillRect/>
                    </a:stretch>
                  </pic:blipFill>
                  <pic:spPr>
                    <a:xfrm>
                      <a:off x="0" y="0"/>
                      <a:ext cx="5800090" cy="1741170"/>
                    </a:xfrm>
                    <a:prstGeom prst="rect">
                      <a:avLst/>
                    </a:prstGeom>
                    <a:noFill/>
                    <a:ln>
                      <a:noFill/>
                    </a:ln>
                  </pic:spPr>
                </pic:pic>
              </a:graphicData>
            </a:graphic>
          </wp:inline>
        </w:drawing>
      </w:r>
    </w:p>
    <w:bookmarkEnd w:id="254"/>
    <w:bookmarkEnd w:id="255"/>
    <w:bookmarkEnd w:id="256"/>
    <w:bookmarkEnd w:id="257"/>
    <w:bookmarkEnd w:id="258"/>
    <w:bookmarkEnd w:id="259"/>
    <w:p>
      <w:pPr>
        <w:pStyle w:val="7"/>
        <w:rPr>
          <w:rFonts w:eastAsia="黑体"/>
          <w:color w:val="auto"/>
          <w:sz w:val="32"/>
        </w:rPr>
      </w:pPr>
      <w:bookmarkStart w:id="260" w:name="_Toc458494429"/>
      <w:bookmarkStart w:id="261" w:name="_Toc366"/>
      <w:r>
        <w:rPr>
          <w:rFonts w:eastAsia="黑体"/>
          <w:color w:val="auto"/>
          <w:sz w:val="32"/>
        </w:rPr>
        <w:t>环境监测</w:t>
      </w:r>
      <w:bookmarkEnd w:id="260"/>
      <w:bookmarkEnd w:id="261"/>
    </w:p>
    <w:p>
      <w:pPr>
        <w:pStyle w:val="8"/>
        <w:tabs>
          <w:tab w:val="clear" w:pos="0"/>
        </w:tabs>
        <w:rPr>
          <w:rFonts w:eastAsia="黑体"/>
          <w:color w:val="auto"/>
          <w:sz w:val="28"/>
          <w:szCs w:val="28"/>
        </w:rPr>
      </w:pPr>
      <w:r>
        <w:rPr>
          <w:rFonts w:eastAsia="黑体"/>
          <w:color w:val="auto"/>
          <w:sz w:val="28"/>
          <w:szCs w:val="28"/>
        </w:rPr>
        <w:t>环境监测</w:t>
      </w:r>
      <w:r>
        <w:rPr>
          <w:rFonts w:hint="eastAsia" w:eastAsia="黑体"/>
          <w:color w:val="auto"/>
          <w:sz w:val="28"/>
          <w:szCs w:val="28"/>
        </w:rPr>
        <w:t>的</w:t>
      </w:r>
      <w:r>
        <w:rPr>
          <w:rFonts w:eastAsia="黑体"/>
          <w:color w:val="auto"/>
          <w:sz w:val="28"/>
          <w:szCs w:val="28"/>
        </w:rPr>
        <w:t>意义</w:t>
      </w:r>
    </w:p>
    <w:p>
      <w:pPr>
        <w:ind w:firstLine="480"/>
        <w:rPr>
          <w:color w:val="auto"/>
        </w:rPr>
      </w:pPr>
      <w:r>
        <w:rPr>
          <w:rFonts w:hint="eastAsia"/>
          <w:color w:val="auto"/>
        </w:rPr>
        <w:t>环境监测（包括污染源监测）是企业环境保护的重要组成部分，也是企业的一项规范化制度。通过环境监测，进行数据整理分析，建立监测档案，可为污染源治理、掌握污染物排放变化规律提供依据，为上级环保部门进行区域环境规划、管理执法提供依据。同时，环境监测也是企业实现污染物总量控制，做到清洁生产的重要保证手段之一。</w:t>
      </w:r>
    </w:p>
    <w:p>
      <w:pPr>
        <w:pStyle w:val="8"/>
        <w:tabs>
          <w:tab w:val="clear" w:pos="0"/>
        </w:tabs>
        <w:rPr>
          <w:rFonts w:hint="eastAsia" w:eastAsia="黑体"/>
          <w:color w:val="auto"/>
          <w:sz w:val="28"/>
          <w:szCs w:val="28"/>
        </w:rPr>
      </w:pPr>
      <w:r>
        <w:rPr>
          <w:rFonts w:hint="eastAsia" w:eastAsia="黑体"/>
          <w:color w:val="auto"/>
          <w:sz w:val="28"/>
          <w:szCs w:val="28"/>
        </w:rPr>
        <w:t>环境监测机构</w:t>
      </w:r>
    </w:p>
    <w:p>
      <w:pPr>
        <w:ind w:firstLine="480"/>
        <w:rPr>
          <w:color w:val="auto"/>
        </w:rPr>
      </w:pPr>
      <w:r>
        <w:rPr>
          <w:rFonts w:hint="eastAsia"/>
          <w:color w:val="auto"/>
        </w:rPr>
        <w:t>企业环境管理机构负责厂区环保设施日常监管工作，但是不履行监测职责。</w:t>
      </w:r>
      <w:r>
        <w:rPr>
          <w:color w:val="auto"/>
        </w:rPr>
        <w:t>为及时了解和掌握建设项目营运期主要污染源的污染物的排放状况，建设单位应定期委托有资质的环境监测</w:t>
      </w:r>
      <w:r>
        <w:rPr>
          <w:rFonts w:hint="eastAsia"/>
          <w:color w:val="auto"/>
        </w:rPr>
        <w:t>机构</w:t>
      </w:r>
      <w:r>
        <w:rPr>
          <w:color w:val="auto"/>
        </w:rPr>
        <w:t>对主要污染源的污染物排放情况进行监测。</w:t>
      </w:r>
    </w:p>
    <w:p>
      <w:pPr>
        <w:pStyle w:val="8"/>
        <w:tabs>
          <w:tab w:val="clear" w:pos="0"/>
        </w:tabs>
        <w:rPr>
          <w:rFonts w:hint="eastAsia" w:eastAsia="黑体"/>
          <w:color w:val="auto"/>
          <w:sz w:val="28"/>
          <w:szCs w:val="28"/>
        </w:rPr>
      </w:pPr>
      <w:r>
        <w:rPr>
          <w:rFonts w:hint="eastAsia" w:eastAsia="黑体"/>
          <w:color w:val="auto"/>
          <w:sz w:val="28"/>
          <w:szCs w:val="28"/>
        </w:rPr>
        <w:t>环境监测计划</w:t>
      </w:r>
    </w:p>
    <w:p>
      <w:pPr>
        <w:pStyle w:val="9"/>
        <w:spacing w:before="120" w:beforeLines="50"/>
        <w:rPr>
          <w:rFonts w:hint="eastAsia"/>
          <w:color w:val="auto"/>
        </w:rPr>
      </w:pPr>
      <w:r>
        <w:rPr>
          <w:rFonts w:hint="eastAsia"/>
          <w:color w:val="auto"/>
        </w:rPr>
        <w:t>施工期环境监测</w:t>
      </w:r>
    </w:p>
    <w:p>
      <w:pPr>
        <w:ind w:firstLine="480"/>
        <w:rPr>
          <w:rFonts w:hint="eastAsia"/>
          <w:color w:val="auto"/>
        </w:rPr>
      </w:pPr>
      <w:r>
        <w:rPr>
          <w:rFonts w:hint="eastAsia"/>
          <w:color w:val="auto"/>
        </w:rPr>
        <w:t>施工期主要关注施工噪声和施工扬尘对环境的影响。施工期的噪声监测主要是对施工场界噪声排放和周边敏感目标声环境质量的达标情况进行监控性监测。施工期的大气监测主要是对周边敏感目标环境空气质量TSP因子的达标情况进行监控性监测。</w:t>
      </w:r>
    </w:p>
    <w:p>
      <w:pPr>
        <w:ind w:firstLine="480"/>
        <w:rPr>
          <w:rFonts w:hint="eastAsia"/>
          <w:color w:val="auto"/>
        </w:rPr>
      </w:pPr>
      <w:r>
        <w:rPr>
          <w:rFonts w:hint="eastAsia"/>
          <w:color w:val="auto"/>
        </w:rPr>
        <w:t>施工期环境监测的点位、项目、时间、频次应根据施工现场的实际情况，由环境保护主管部门确定。</w:t>
      </w:r>
    </w:p>
    <w:p>
      <w:pPr>
        <w:pStyle w:val="9"/>
        <w:spacing w:before="120" w:beforeLines="50"/>
        <w:rPr>
          <w:rFonts w:hint="eastAsia"/>
          <w:color w:val="auto"/>
        </w:rPr>
      </w:pPr>
      <w:r>
        <w:rPr>
          <w:rFonts w:hint="eastAsia"/>
          <w:color w:val="auto"/>
        </w:rPr>
        <w:t>运营期环境监测</w:t>
      </w:r>
    </w:p>
    <w:p>
      <w:pPr>
        <w:ind w:firstLine="480"/>
        <w:rPr>
          <w:color w:val="auto"/>
        </w:rPr>
      </w:pPr>
      <w:r>
        <w:rPr>
          <w:rFonts w:hint="eastAsia"/>
          <w:color w:val="auto"/>
        </w:rPr>
        <w:t>根据《排污许可证申请与核发技术规范 畜禽养殖行业》（HJ1029</w:t>
      </w:r>
      <w:r>
        <w:rPr>
          <w:color w:val="auto"/>
        </w:rPr>
        <w:t>-</w:t>
      </w:r>
      <w:r>
        <w:rPr>
          <w:rFonts w:hint="eastAsia"/>
          <w:color w:val="auto"/>
        </w:rPr>
        <w:t>2019）和《排污单位自行监测技术指南 总则》（HJ819</w:t>
      </w:r>
      <w:r>
        <w:rPr>
          <w:color w:val="auto"/>
        </w:rPr>
        <w:t>-</w:t>
      </w:r>
      <w:r>
        <w:rPr>
          <w:rFonts w:hint="eastAsia"/>
          <w:color w:val="auto"/>
        </w:rPr>
        <w:t>2017）设定本项目废气、</w:t>
      </w:r>
      <w:r>
        <w:rPr>
          <w:rFonts w:hint="eastAsia"/>
          <w:color w:val="auto"/>
          <w:lang w:val="en-US" w:eastAsia="zh-CN"/>
        </w:rPr>
        <w:t>地下水、</w:t>
      </w:r>
      <w:r>
        <w:rPr>
          <w:rFonts w:hint="eastAsia"/>
          <w:color w:val="auto"/>
        </w:rPr>
        <w:t>噪声</w:t>
      </w:r>
      <w:r>
        <w:rPr>
          <w:rFonts w:hint="eastAsia"/>
          <w:color w:val="auto"/>
          <w:lang w:eastAsia="zh-CN"/>
        </w:rPr>
        <w:t>、</w:t>
      </w:r>
      <w:r>
        <w:rPr>
          <w:rFonts w:hint="eastAsia"/>
          <w:color w:val="auto"/>
          <w:lang w:val="en-US" w:eastAsia="zh-CN"/>
        </w:rPr>
        <w:t>土壤</w:t>
      </w:r>
      <w:r>
        <w:rPr>
          <w:rFonts w:hint="eastAsia"/>
          <w:color w:val="auto"/>
        </w:rPr>
        <w:t>污染监控监测内容和监测频次。具体监测计划见表9.</w:t>
      </w:r>
      <w:r>
        <w:rPr>
          <w:color w:val="auto"/>
        </w:rPr>
        <w:t>2-</w:t>
      </w:r>
      <w:r>
        <w:rPr>
          <w:rFonts w:hint="eastAsia"/>
          <w:color w:val="auto"/>
        </w:rPr>
        <w:t>1。</w:t>
      </w:r>
    </w:p>
    <w:p>
      <w:pPr>
        <w:pStyle w:val="166"/>
        <w:spacing w:before="120" w:beforeLines="0"/>
        <w:ind w:firstLine="480"/>
        <w:rPr>
          <w:b w:val="0"/>
          <w:bCs/>
          <w:color w:val="auto"/>
          <w:sz w:val="9"/>
          <w:szCs w:val="9"/>
        </w:rPr>
      </w:pPr>
      <w:r>
        <w:rPr>
          <w:rFonts w:hint="eastAsia"/>
          <w:color w:val="auto"/>
        </w:rPr>
        <w:t>表9</w:t>
      </w:r>
      <w:r>
        <w:rPr>
          <w:color w:val="auto"/>
        </w:rPr>
        <w:t>.2-1</w:t>
      </w:r>
      <w:r>
        <w:rPr>
          <w:rFonts w:hint="eastAsia"/>
          <w:color w:val="auto"/>
          <w:lang w:val="en-US" w:eastAsia="zh-CN"/>
        </w:rPr>
        <w:t xml:space="preserve"> </w:t>
      </w:r>
      <w:r>
        <w:rPr>
          <w:rFonts w:hint="eastAsia"/>
          <w:color w:val="auto"/>
        </w:rPr>
        <w:t>环境监测计划一览表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62"/>
        <w:gridCol w:w="2473"/>
        <w:gridCol w:w="199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4" w:type="dxa"/>
            <w:noWrap w:val="0"/>
            <w:vAlign w:val="center"/>
          </w:tcPr>
          <w:p>
            <w:pPr>
              <w:pStyle w:val="274"/>
              <w:spacing w:line="240" w:lineRule="auto"/>
              <w:rPr>
                <w:b/>
                <w:color w:val="auto"/>
                <w:sz w:val="21"/>
                <w:szCs w:val="21"/>
              </w:rPr>
            </w:pPr>
            <w:r>
              <w:rPr>
                <w:rFonts w:hint="eastAsia"/>
                <w:b/>
                <w:color w:val="auto"/>
                <w:sz w:val="21"/>
                <w:szCs w:val="21"/>
              </w:rPr>
              <w:t>环境要素</w:t>
            </w:r>
          </w:p>
        </w:tc>
        <w:tc>
          <w:tcPr>
            <w:tcW w:w="3162" w:type="dxa"/>
            <w:noWrap w:val="0"/>
            <w:vAlign w:val="center"/>
          </w:tcPr>
          <w:p>
            <w:pPr>
              <w:pStyle w:val="274"/>
              <w:spacing w:line="240" w:lineRule="auto"/>
              <w:rPr>
                <w:b/>
                <w:color w:val="auto"/>
                <w:sz w:val="21"/>
                <w:szCs w:val="21"/>
              </w:rPr>
            </w:pPr>
            <w:r>
              <w:rPr>
                <w:rFonts w:hint="eastAsia"/>
                <w:b/>
                <w:color w:val="auto"/>
                <w:sz w:val="21"/>
                <w:szCs w:val="21"/>
              </w:rPr>
              <w:t>监测项目</w:t>
            </w:r>
          </w:p>
        </w:tc>
        <w:tc>
          <w:tcPr>
            <w:tcW w:w="2473" w:type="dxa"/>
            <w:noWrap w:val="0"/>
            <w:vAlign w:val="center"/>
          </w:tcPr>
          <w:p>
            <w:pPr>
              <w:pStyle w:val="274"/>
              <w:spacing w:line="240" w:lineRule="auto"/>
              <w:rPr>
                <w:b/>
                <w:color w:val="auto"/>
                <w:sz w:val="21"/>
                <w:szCs w:val="21"/>
              </w:rPr>
            </w:pPr>
            <w:r>
              <w:rPr>
                <w:rFonts w:hint="eastAsia"/>
                <w:b/>
                <w:color w:val="auto"/>
                <w:sz w:val="21"/>
                <w:szCs w:val="21"/>
              </w:rPr>
              <w:t>监测布点</w:t>
            </w:r>
          </w:p>
        </w:tc>
        <w:tc>
          <w:tcPr>
            <w:tcW w:w="1998" w:type="dxa"/>
            <w:noWrap w:val="0"/>
            <w:vAlign w:val="center"/>
          </w:tcPr>
          <w:p>
            <w:pPr>
              <w:pStyle w:val="274"/>
              <w:spacing w:line="240" w:lineRule="auto"/>
              <w:rPr>
                <w:b/>
                <w:color w:val="auto"/>
                <w:sz w:val="21"/>
                <w:szCs w:val="21"/>
              </w:rPr>
            </w:pPr>
            <w:r>
              <w:rPr>
                <w:rFonts w:hint="eastAsia"/>
                <w:b/>
                <w:color w:val="auto"/>
                <w:sz w:val="21"/>
                <w:szCs w:val="21"/>
              </w:rPr>
              <w:t>监测频率</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4" w:type="dxa"/>
            <w:noWrap w:val="0"/>
            <w:vAlign w:val="center"/>
          </w:tcPr>
          <w:p>
            <w:pPr>
              <w:pStyle w:val="274"/>
              <w:spacing w:line="240" w:lineRule="auto"/>
              <w:rPr>
                <w:color w:val="auto"/>
                <w:sz w:val="21"/>
                <w:szCs w:val="21"/>
              </w:rPr>
            </w:pPr>
            <w:r>
              <w:rPr>
                <w:rFonts w:hint="eastAsia"/>
                <w:color w:val="auto"/>
                <w:sz w:val="21"/>
                <w:szCs w:val="21"/>
              </w:rPr>
              <w:t>废气</w:t>
            </w:r>
          </w:p>
        </w:tc>
        <w:tc>
          <w:tcPr>
            <w:tcW w:w="3162" w:type="dxa"/>
            <w:noWrap w:val="0"/>
            <w:vAlign w:val="center"/>
          </w:tcPr>
          <w:p>
            <w:pPr>
              <w:pStyle w:val="274"/>
              <w:spacing w:line="240" w:lineRule="auto"/>
              <w:rPr>
                <w:color w:val="auto"/>
                <w:sz w:val="21"/>
                <w:szCs w:val="21"/>
              </w:rPr>
            </w:pP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w:t>
            </w:r>
            <w:r>
              <w:rPr>
                <w:color w:val="auto"/>
                <w:sz w:val="21"/>
                <w:szCs w:val="21"/>
              </w:rPr>
              <w:t>NH</w:t>
            </w:r>
            <w:r>
              <w:rPr>
                <w:color w:val="auto"/>
                <w:sz w:val="21"/>
                <w:szCs w:val="21"/>
                <w:vertAlign w:val="subscript"/>
              </w:rPr>
              <w:t>3</w:t>
            </w:r>
            <w:r>
              <w:rPr>
                <w:color w:val="auto"/>
                <w:sz w:val="21"/>
                <w:szCs w:val="21"/>
              </w:rPr>
              <w:t>、臭气浓度</w:t>
            </w:r>
          </w:p>
        </w:tc>
        <w:tc>
          <w:tcPr>
            <w:tcW w:w="2473" w:type="dxa"/>
            <w:noWrap w:val="0"/>
            <w:vAlign w:val="center"/>
          </w:tcPr>
          <w:p>
            <w:pPr>
              <w:pStyle w:val="274"/>
              <w:spacing w:line="240" w:lineRule="auto"/>
              <w:rPr>
                <w:color w:val="auto"/>
                <w:sz w:val="21"/>
                <w:szCs w:val="21"/>
              </w:rPr>
            </w:pPr>
            <w:r>
              <w:rPr>
                <w:rFonts w:hint="eastAsia"/>
                <w:color w:val="auto"/>
                <w:sz w:val="21"/>
                <w:szCs w:val="21"/>
                <w:lang w:val="en-US" w:eastAsia="zh-CN"/>
              </w:rPr>
              <w:t xml:space="preserve">场界外养殖场下风设置 </w:t>
            </w:r>
            <w:r>
              <w:rPr>
                <w:rFonts w:hint="default"/>
                <w:color w:val="auto"/>
                <w:sz w:val="21"/>
                <w:szCs w:val="21"/>
                <w:lang w:val="en-US" w:eastAsia="zh-CN"/>
              </w:rPr>
              <w:t xml:space="preserve">1 </w:t>
            </w:r>
            <w:r>
              <w:rPr>
                <w:rFonts w:hint="eastAsia"/>
                <w:color w:val="auto"/>
                <w:sz w:val="21"/>
                <w:szCs w:val="21"/>
                <w:lang w:val="en-US" w:eastAsia="zh-CN"/>
              </w:rPr>
              <w:t>个监测点位</w:t>
            </w:r>
          </w:p>
        </w:tc>
        <w:tc>
          <w:tcPr>
            <w:tcW w:w="1998" w:type="dxa"/>
            <w:noWrap w:val="0"/>
            <w:vAlign w:val="center"/>
          </w:tcPr>
          <w:p>
            <w:pPr>
              <w:pStyle w:val="274"/>
              <w:spacing w:line="240" w:lineRule="auto"/>
              <w:rPr>
                <w:color w:val="auto"/>
                <w:sz w:val="21"/>
                <w:szCs w:val="21"/>
              </w:rPr>
            </w:pPr>
            <w:r>
              <w:rPr>
                <w:rFonts w:hint="eastAsia"/>
                <w:color w:val="auto"/>
                <w:sz w:val="21"/>
                <w:szCs w:val="21"/>
              </w:rPr>
              <w:t>每年监测</w:t>
            </w:r>
            <w:r>
              <w:rPr>
                <w:color w:val="auto"/>
                <w:sz w:val="21"/>
                <w:szCs w:val="21"/>
              </w:rPr>
              <w:t>1</w:t>
            </w:r>
            <w:r>
              <w:rPr>
                <w:rFonts w:hint="eastAsia"/>
                <w:color w:val="auto"/>
                <w:sz w:val="21"/>
                <w:szCs w:val="21"/>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4" w:type="dxa"/>
            <w:vMerge w:val="restart"/>
            <w:noWrap w:val="0"/>
            <w:vAlign w:val="center"/>
          </w:tcPr>
          <w:p>
            <w:pPr>
              <w:pStyle w:val="274"/>
              <w:spacing w:line="240" w:lineRule="auto"/>
              <w:rPr>
                <w:color w:val="auto"/>
                <w:sz w:val="21"/>
                <w:szCs w:val="21"/>
              </w:rPr>
            </w:pPr>
            <w:r>
              <w:rPr>
                <w:rFonts w:hint="default" w:ascii="Times New Roman" w:hAnsi="Times New Roman" w:cs="Times New Roman"/>
                <w:b w:val="0"/>
                <w:bCs w:val="0"/>
                <w:color w:val="auto"/>
                <w:sz w:val="21"/>
                <w:szCs w:val="21"/>
                <w:lang w:val="en-US" w:eastAsia="zh-CN"/>
              </w:rPr>
              <w:t>土壤</w:t>
            </w:r>
          </w:p>
        </w:tc>
        <w:tc>
          <w:tcPr>
            <w:tcW w:w="3162" w:type="dxa"/>
            <w:noWrap w:val="0"/>
            <w:vAlign w:val="center"/>
          </w:tcPr>
          <w:p>
            <w:pPr>
              <w:pStyle w:val="206"/>
              <w:keepNext w:val="0"/>
              <w:keepLines w:val="0"/>
              <w:suppressLineNumbers w:val="0"/>
              <w:spacing w:before="0" w:beforeAutospacing="0" w:after="0" w:afterAutospacing="0"/>
              <w:ind w:left="0" w:leftChars="0" w:right="0" w:rightChars="0" w:firstLine="0" w:firstLineChars="0"/>
              <w:rPr>
                <w:color w:val="auto"/>
                <w:sz w:val="21"/>
                <w:szCs w:val="21"/>
              </w:rPr>
            </w:pPr>
            <w:r>
              <w:rPr>
                <w:rFonts w:hint="default" w:ascii="Times New Roman" w:hAnsi="Times New Roman" w:cs="Times New Roman"/>
                <w:b w:val="0"/>
                <w:bCs w:val="0"/>
                <w:color w:val="auto"/>
                <w:sz w:val="21"/>
                <w:szCs w:val="21"/>
                <w:lang w:val="en-US" w:eastAsia="zh-CN"/>
              </w:rPr>
              <w:t>pH、</w:t>
            </w:r>
            <w:r>
              <w:rPr>
                <w:rFonts w:hint="default" w:ascii="Times New Roman" w:hAnsi="Times New Roman" w:eastAsia="宋体" w:cs="Times New Roman"/>
                <w:b w:val="0"/>
                <w:bCs w:val="0"/>
                <w:color w:val="auto"/>
                <w:sz w:val="21"/>
                <w:szCs w:val="21"/>
              </w:rPr>
              <w:t>镉、汞、砷、铅、铬（六价）、铜、镍、锌、六六六总量、滴滴涕总量、寄生虫卵数（个/kg土）</w:t>
            </w:r>
          </w:p>
        </w:tc>
        <w:tc>
          <w:tcPr>
            <w:tcW w:w="2473" w:type="dxa"/>
            <w:noWrap w:val="0"/>
            <w:vAlign w:val="center"/>
          </w:tcPr>
          <w:p>
            <w:pPr>
              <w:pStyle w:val="206"/>
              <w:keepNext w:val="0"/>
              <w:keepLines w:val="0"/>
              <w:suppressLineNumbers w:val="0"/>
              <w:spacing w:before="0" w:beforeAutospacing="0" w:after="0" w:afterAutospacing="0"/>
              <w:ind w:left="0" w:leftChars="0" w:right="0" w:rightChars="0" w:firstLine="0" w:firstLineChars="0"/>
              <w:rPr>
                <w:color w:val="auto"/>
                <w:sz w:val="21"/>
                <w:szCs w:val="21"/>
              </w:rPr>
            </w:pPr>
            <w:r>
              <w:rPr>
                <w:rFonts w:hint="default" w:ascii="Times New Roman" w:hAnsi="Times New Roman" w:cs="Times New Roman"/>
                <w:b w:val="0"/>
                <w:bCs w:val="0"/>
                <w:color w:val="auto"/>
                <w:sz w:val="21"/>
                <w:szCs w:val="21"/>
                <w:lang w:val="en-US" w:eastAsia="zh-CN"/>
              </w:rPr>
              <w:t>厂区内</w:t>
            </w:r>
          </w:p>
        </w:tc>
        <w:tc>
          <w:tcPr>
            <w:tcW w:w="1998" w:type="dxa"/>
            <w:vMerge w:val="restart"/>
            <w:noWrap w:val="0"/>
            <w:vAlign w:val="center"/>
          </w:tcPr>
          <w:p>
            <w:pPr>
              <w:pStyle w:val="274"/>
              <w:spacing w:line="240" w:lineRule="auto"/>
              <w:rPr>
                <w:color w:val="auto"/>
                <w:sz w:val="21"/>
                <w:szCs w:val="21"/>
              </w:rPr>
            </w:pPr>
            <w:r>
              <w:rPr>
                <w:rFonts w:hint="default" w:ascii="Times New Roman" w:hAnsi="Times New Roman" w:cs="Times New Roman"/>
                <w:b w:val="0"/>
                <w:bCs w:val="0"/>
                <w:color w:val="auto"/>
                <w:sz w:val="21"/>
                <w:szCs w:val="21"/>
                <w:lang w:eastAsia="zh-CN"/>
              </w:rPr>
              <w:t>每</w:t>
            </w:r>
            <w:r>
              <w:rPr>
                <w:rFonts w:hint="default" w:ascii="Times New Roman" w:hAnsi="Times New Roman" w:cs="Times New Roman"/>
                <w:b w:val="0"/>
                <w:bCs w:val="0"/>
                <w:color w:val="auto"/>
                <w:sz w:val="21"/>
                <w:szCs w:val="21"/>
                <w:lang w:val="en-US" w:eastAsia="zh-CN"/>
              </w:rPr>
              <w:t>5</w:t>
            </w:r>
            <w:r>
              <w:rPr>
                <w:rFonts w:hint="default" w:ascii="Times New Roman" w:hAnsi="Times New Roman" w:cs="Times New Roman"/>
                <w:b w:val="0"/>
                <w:bCs w:val="0"/>
                <w:color w:val="auto"/>
                <w:sz w:val="21"/>
                <w:szCs w:val="21"/>
                <w:lang w:eastAsia="zh-CN"/>
              </w:rPr>
              <w:t>年监测一次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154" w:type="dxa"/>
            <w:vMerge w:val="continue"/>
            <w:noWrap w:val="0"/>
            <w:vAlign w:val="center"/>
          </w:tcPr>
          <w:p>
            <w:pPr>
              <w:pStyle w:val="274"/>
              <w:spacing w:line="240" w:lineRule="auto"/>
              <w:rPr>
                <w:rFonts w:hint="eastAsia"/>
                <w:color w:val="auto"/>
                <w:sz w:val="21"/>
                <w:szCs w:val="21"/>
              </w:rPr>
            </w:pPr>
          </w:p>
        </w:tc>
        <w:tc>
          <w:tcPr>
            <w:tcW w:w="3162" w:type="dxa"/>
            <w:noWrap w:val="0"/>
            <w:vAlign w:val="center"/>
          </w:tcPr>
          <w:p>
            <w:pPr>
              <w:pStyle w:val="206"/>
              <w:keepNext w:val="0"/>
              <w:keepLines w:val="0"/>
              <w:suppressLineNumbers w:val="0"/>
              <w:spacing w:before="0" w:beforeAutospacing="0" w:after="0" w:afterAutospacing="0"/>
              <w:ind w:left="0" w:leftChars="0" w:right="0" w:rightChars="0" w:firstLine="0" w:firstLineChars="0"/>
              <w:rPr>
                <w:rFonts w:hint="eastAsia"/>
                <w:color w:val="auto"/>
                <w:sz w:val="21"/>
                <w:szCs w:val="21"/>
              </w:rPr>
            </w:pPr>
            <w:r>
              <w:rPr>
                <w:rFonts w:hint="default" w:ascii="Times New Roman" w:hAnsi="Times New Roman" w:eastAsia="宋体" w:cs="Times New Roman"/>
                <w:b w:val="0"/>
                <w:bCs w:val="0"/>
                <w:color w:val="auto"/>
                <w:sz w:val="21"/>
                <w:szCs w:val="21"/>
              </w:rPr>
              <w:t>水分、pH、阳离子交换量、镉、汞、砷、铅、铬（六价）、铜、镍、锌、六六六总量、滴滴涕总量、苯并[a]芘</w:t>
            </w:r>
          </w:p>
        </w:tc>
        <w:tc>
          <w:tcPr>
            <w:tcW w:w="2473" w:type="dxa"/>
            <w:noWrap w:val="0"/>
            <w:vAlign w:val="center"/>
          </w:tcPr>
          <w:p>
            <w:pPr>
              <w:pStyle w:val="206"/>
              <w:keepNext w:val="0"/>
              <w:keepLines w:val="0"/>
              <w:suppressLineNumbers w:val="0"/>
              <w:spacing w:before="0" w:beforeAutospacing="0" w:after="0" w:afterAutospacing="0"/>
              <w:ind w:left="0" w:leftChars="0" w:right="0" w:rightChars="0" w:firstLine="0" w:firstLineChars="0"/>
              <w:rPr>
                <w:rFonts w:hint="eastAsia"/>
                <w:color w:val="auto"/>
                <w:sz w:val="21"/>
                <w:szCs w:val="21"/>
              </w:rPr>
            </w:pPr>
            <w:r>
              <w:rPr>
                <w:rFonts w:hint="default" w:ascii="Times New Roman" w:hAnsi="Times New Roman" w:eastAsia="宋体" w:cs="Times New Roman"/>
                <w:b w:val="0"/>
                <w:bCs w:val="0"/>
                <w:color w:val="auto"/>
                <w:sz w:val="21"/>
                <w:szCs w:val="21"/>
              </w:rPr>
              <w:t>施肥农田</w:t>
            </w:r>
          </w:p>
        </w:tc>
        <w:tc>
          <w:tcPr>
            <w:tcW w:w="1998" w:type="dxa"/>
            <w:vMerge w:val="continue"/>
            <w:noWrap w:val="0"/>
            <w:vAlign w:val="center"/>
          </w:tcPr>
          <w:p>
            <w:pPr>
              <w:pStyle w:val="274"/>
              <w:spacing w:line="240" w:lineRule="auto"/>
              <w:rPr>
                <w:rFonts w:hint="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4" w:type="dxa"/>
            <w:noWrap w:val="0"/>
            <w:vAlign w:val="center"/>
          </w:tcPr>
          <w:p>
            <w:pPr>
              <w:pStyle w:val="274"/>
              <w:spacing w:line="240" w:lineRule="auto"/>
              <w:rPr>
                <w:color w:val="auto"/>
                <w:sz w:val="21"/>
                <w:szCs w:val="21"/>
              </w:rPr>
            </w:pPr>
            <w:r>
              <w:rPr>
                <w:rFonts w:hint="eastAsia"/>
                <w:color w:val="auto"/>
                <w:sz w:val="21"/>
                <w:szCs w:val="21"/>
              </w:rPr>
              <w:t>地下水</w:t>
            </w:r>
          </w:p>
        </w:tc>
        <w:tc>
          <w:tcPr>
            <w:tcW w:w="3162" w:type="dxa"/>
            <w:noWrap w:val="0"/>
            <w:vAlign w:val="center"/>
          </w:tcPr>
          <w:p>
            <w:pPr>
              <w:pStyle w:val="274"/>
              <w:spacing w:line="240" w:lineRule="auto"/>
              <w:rPr>
                <w:color w:val="auto"/>
                <w:sz w:val="21"/>
                <w:szCs w:val="21"/>
              </w:rPr>
            </w:pPr>
            <w:r>
              <w:rPr>
                <w:rFonts w:hint="default"/>
                <w:b w:val="0"/>
                <w:bCs w:val="0"/>
                <w:color w:val="auto"/>
                <w:sz w:val="21"/>
                <w:szCs w:val="21"/>
                <w:lang w:val="en-US" w:eastAsia="zh-CN"/>
              </w:rPr>
              <w:t>pH、耗氧量、氨氮、总磷、硝酸盐、亚硝酸盐、总硬度、总大肠菌群</w:t>
            </w:r>
          </w:p>
        </w:tc>
        <w:tc>
          <w:tcPr>
            <w:tcW w:w="2473" w:type="dxa"/>
            <w:noWrap w:val="0"/>
            <w:vAlign w:val="center"/>
          </w:tcPr>
          <w:p>
            <w:pPr>
              <w:pStyle w:val="274"/>
              <w:spacing w:line="240" w:lineRule="auto"/>
              <w:rPr>
                <w:color w:val="auto"/>
                <w:sz w:val="21"/>
                <w:szCs w:val="21"/>
              </w:rPr>
            </w:pPr>
            <w:r>
              <w:rPr>
                <w:rFonts w:hint="eastAsia"/>
                <w:color w:val="auto"/>
                <w:sz w:val="21"/>
                <w:szCs w:val="21"/>
              </w:rPr>
              <w:t>项目所在地下游取水井</w:t>
            </w:r>
          </w:p>
        </w:tc>
        <w:tc>
          <w:tcPr>
            <w:tcW w:w="1998" w:type="dxa"/>
            <w:noWrap w:val="0"/>
            <w:vAlign w:val="center"/>
          </w:tcPr>
          <w:p>
            <w:pPr>
              <w:pStyle w:val="274"/>
              <w:spacing w:line="240" w:lineRule="auto"/>
              <w:rPr>
                <w:color w:val="auto"/>
                <w:sz w:val="21"/>
                <w:szCs w:val="21"/>
              </w:rPr>
            </w:pPr>
            <w:r>
              <w:rPr>
                <w:rFonts w:hint="eastAsia"/>
                <w:color w:val="auto"/>
                <w:sz w:val="21"/>
                <w:szCs w:val="21"/>
              </w:rPr>
              <w:t>每年监测</w:t>
            </w:r>
            <w:r>
              <w:rPr>
                <w:color w:val="auto"/>
                <w:sz w:val="21"/>
                <w:szCs w:val="21"/>
              </w:rPr>
              <w:t>1</w:t>
            </w:r>
            <w:r>
              <w:rPr>
                <w:rFonts w:hint="eastAsia"/>
                <w:color w:val="auto"/>
                <w:sz w:val="21"/>
                <w:szCs w:val="21"/>
              </w:rPr>
              <w:t>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4" w:type="dxa"/>
            <w:noWrap w:val="0"/>
            <w:vAlign w:val="center"/>
          </w:tcPr>
          <w:p>
            <w:pPr>
              <w:pStyle w:val="274"/>
              <w:spacing w:line="240" w:lineRule="auto"/>
              <w:rPr>
                <w:color w:val="auto"/>
                <w:sz w:val="21"/>
                <w:szCs w:val="21"/>
              </w:rPr>
            </w:pPr>
            <w:r>
              <w:rPr>
                <w:rFonts w:hint="eastAsia"/>
                <w:color w:val="auto"/>
                <w:sz w:val="21"/>
                <w:szCs w:val="21"/>
              </w:rPr>
              <w:t>声环境</w:t>
            </w:r>
          </w:p>
        </w:tc>
        <w:tc>
          <w:tcPr>
            <w:tcW w:w="3162" w:type="dxa"/>
            <w:noWrap w:val="0"/>
            <w:vAlign w:val="center"/>
          </w:tcPr>
          <w:p>
            <w:pPr>
              <w:pStyle w:val="274"/>
              <w:spacing w:line="240" w:lineRule="auto"/>
              <w:rPr>
                <w:color w:val="auto"/>
                <w:sz w:val="21"/>
                <w:szCs w:val="21"/>
              </w:rPr>
            </w:pPr>
            <w:r>
              <w:rPr>
                <w:rFonts w:hint="eastAsia"/>
                <w:color w:val="auto"/>
                <w:sz w:val="21"/>
                <w:szCs w:val="21"/>
              </w:rPr>
              <w:t>环境噪声</w:t>
            </w:r>
          </w:p>
        </w:tc>
        <w:tc>
          <w:tcPr>
            <w:tcW w:w="2473" w:type="dxa"/>
            <w:noWrap w:val="0"/>
            <w:vAlign w:val="center"/>
          </w:tcPr>
          <w:p>
            <w:pPr>
              <w:pStyle w:val="274"/>
              <w:spacing w:line="240" w:lineRule="auto"/>
              <w:rPr>
                <w:color w:val="auto"/>
                <w:sz w:val="21"/>
                <w:szCs w:val="21"/>
              </w:rPr>
            </w:pPr>
            <w:r>
              <w:rPr>
                <w:rFonts w:hint="eastAsia"/>
                <w:color w:val="auto"/>
                <w:sz w:val="21"/>
                <w:szCs w:val="21"/>
              </w:rPr>
              <w:t>厂界噪声</w:t>
            </w:r>
          </w:p>
        </w:tc>
        <w:tc>
          <w:tcPr>
            <w:tcW w:w="1998" w:type="dxa"/>
            <w:noWrap w:val="0"/>
            <w:vAlign w:val="center"/>
          </w:tcPr>
          <w:p>
            <w:pPr>
              <w:pStyle w:val="274"/>
              <w:spacing w:line="240" w:lineRule="auto"/>
              <w:rPr>
                <w:color w:val="auto"/>
                <w:sz w:val="21"/>
                <w:szCs w:val="21"/>
              </w:rPr>
            </w:pPr>
            <w:r>
              <w:rPr>
                <w:rFonts w:hint="eastAsia"/>
                <w:color w:val="auto"/>
                <w:sz w:val="21"/>
                <w:szCs w:val="21"/>
              </w:rPr>
              <w:t>每半年监测</w:t>
            </w:r>
            <w:r>
              <w:rPr>
                <w:color w:val="auto"/>
                <w:sz w:val="21"/>
                <w:szCs w:val="21"/>
              </w:rPr>
              <w:t>1</w:t>
            </w:r>
            <w:r>
              <w:rPr>
                <w:rFonts w:hint="eastAsia"/>
                <w:color w:val="auto"/>
                <w:sz w:val="21"/>
                <w:szCs w:val="21"/>
              </w:rPr>
              <w:t>次，昼</w:t>
            </w:r>
          </w:p>
          <w:p>
            <w:pPr>
              <w:pStyle w:val="274"/>
              <w:spacing w:line="240" w:lineRule="auto"/>
              <w:rPr>
                <w:color w:val="auto"/>
                <w:sz w:val="21"/>
                <w:szCs w:val="21"/>
              </w:rPr>
            </w:pPr>
            <w:r>
              <w:rPr>
                <w:rFonts w:hint="eastAsia"/>
                <w:color w:val="auto"/>
                <w:sz w:val="21"/>
                <w:szCs w:val="21"/>
              </w:rPr>
              <w:t>夜各监测</w:t>
            </w:r>
            <w:r>
              <w:rPr>
                <w:color w:val="auto"/>
                <w:sz w:val="21"/>
                <w:szCs w:val="21"/>
              </w:rPr>
              <w:t>1</w:t>
            </w:r>
            <w:r>
              <w:rPr>
                <w:rFonts w:hint="eastAsia"/>
                <w:color w:val="auto"/>
                <w:sz w:val="21"/>
                <w:szCs w:val="21"/>
              </w:rPr>
              <w:t>次</w:t>
            </w:r>
          </w:p>
        </w:tc>
      </w:tr>
    </w:tbl>
    <w:p>
      <w:pPr>
        <w:pStyle w:val="9"/>
        <w:spacing w:before="120" w:beforeLines="50"/>
        <w:rPr>
          <w:rFonts w:hint="eastAsia"/>
          <w:color w:val="auto"/>
        </w:rPr>
      </w:pPr>
      <w:r>
        <w:rPr>
          <w:rFonts w:hint="eastAsia"/>
          <w:color w:val="auto"/>
        </w:rPr>
        <w:t>监测计划的实施及档案管理</w:t>
      </w:r>
    </w:p>
    <w:p>
      <w:pPr>
        <w:ind w:firstLine="480"/>
        <w:rPr>
          <w:rFonts w:hint="eastAsia"/>
          <w:color w:val="auto"/>
        </w:rPr>
      </w:pPr>
      <w:r>
        <w:rPr>
          <w:rFonts w:hint="eastAsia"/>
          <w:color w:val="auto"/>
        </w:rPr>
        <w:t>根据表9.</w:t>
      </w:r>
      <w:r>
        <w:rPr>
          <w:color w:val="auto"/>
        </w:rPr>
        <w:t>2</w:t>
      </w:r>
      <w:r>
        <w:rPr>
          <w:rFonts w:hint="eastAsia"/>
          <w:color w:val="auto"/>
        </w:rPr>
        <w:t>-1的环境监测计划，所有项目监测分析方法均按国家环保局颁布的《环境监测技术》规范中相应项目的监测分析方法执行，评价标准执行环评批复的国家标准。</w:t>
      </w:r>
    </w:p>
    <w:p>
      <w:pPr>
        <w:ind w:firstLine="480"/>
        <w:rPr>
          <w:color w:val="auto"/>
        </w:rPr>
      </w:pPr>
      <w:r>
        <w:rPr>
          <w:rFonts w:hint="eastAsia"/>
          <w:color w:val="auto"/>
        </w:rPr>
        <w:t>企业对自身污染源及污染物排放实行例行监测、控制污染是企业做好环境保护职责之一。监测资料应进行技术分析、分类存档、科学管理为企业防治环境污染途径和治理措施提供必要的依据；同时也是企业的环境保护资料统计上报、查阅、目标管理等必须要做的工作内容之一。</w:t>
      </w:r>
    </w:p>
    <w:p>
      <w:pPr>
        <w:pStyle w:val="8"/>
        <w:tabs>
          <w:tab w:val="clear" w:pos="0"/>
        </w:tabs>
        <w:rPr>
          <w:rFonts w:hint="eastAsia" w:eastAsia="黑体"/>
          <w:color w:val="auto"/>
          <w:sz w:val="28"/>
          <w:szCs w:val="28"/>
        </w:rPr>
      </w:pPr>
      <w:r>
        <w:rPr>
          <w:rFonts w:hint="eastAsia" w:eastAsia="黑体"/>
          <w:color w:val="auto"/>
          <w:sz w:val="28"/>
          <w:szCs w:val="28"/>
        </w:rPr>
        <w:t>环境应急监测计划</w:t>
      </w:r>
    </w:p>
    <w:p>
      <w:pPr>
        <w:ind w:firstLine="480"/>
        <w:rPr>
          <w:rFonts w:hint="eastAsia"/>
          <w:color w:val="auto"/>
        </w:rPr>
      </w:pPr>
      <w:r>
        <w:rPr>
          <w:rFonts w:hint="eastAsia"/>
          <w:color w:val="auto"/>
        </w:rPr>
        <w:t>1、监测项目</w:t>
      </w:r>
    </w:p>
    <w:p>
      <w:pPr>
        <w:ind w:firstLine="480"/>
        <w:rPr>
          <w:rFonts w:hint="eastAsia"/>
          <w:color w:val="auto"/>
        </w:rPr>
      </w:pPr>
      <w:r>
        <w:rPr>
          <w:rFonts w:hint="eastAsia"/>
          <w:color w:val="auto"/>
        </w:rPr>
        <w:t>地表水：根据事故类型和排放物质确定。本项目的地表水事故因子主要为：COD、氨氮、TP、粪大肠菌群、蛔虫卵等。</w:t>
      </w:r>
    </w:p>
    <w:p>
      <w:pPr>
        <w:ind w:firstLine="480"/>
        <w:rPr>
          <w:rFonts w:hint="eastAsia"/>
          <w:color w:val="auto"/>
        </w:rPr>
      </w:pPr>
      <w:r>
        <w:rPr>
          <w:rFonts w:hint="eastAsia"/>
          <w:color w:val="auto"/>
        </w:rPr>
        <w:t>事故现场监测因子应根据现场事故类型和排放物质确定。</w:t>
      </w:r>
    </w:p>
    <w:p>
      <w:pPr>
        <w:ind w:firstLine="480"/>
        <w:rPr>
          <w:rFonts w:hint="eastAsia"/>
          <w:color w:val="auto"/>
        </w:rPr>
      </w:pPr>
      <w:r>
        <w:rPr>
          <w:rFonts w:hint="eastAsia"/>
          <w:color w:val="auto"/>
        </w:rPr>
        <w:t>2、监测区域</w:t>
      </w:r>
    </w:p>
    <w:p>
      <w:pPr>
        <w:ind w:firstLine="480"/>
        <w:rPr>
          <w:color w:val="auto"/>
        </w:rPr>
      </w:pPr>
      <w:r>
        <w:rPr>
          <w:rFonts w:hint="eastAsia"/>
          <w:color w:val="auto"/>
        </w:rPr>
        <w:t>水环境：根据事故类型和事故废水走向，确定监测范围。主要监测点位为：周边河流等。</w:t>
      </w:r>
    </w:p>
    <w:p>
      <w:pPr>
        <w:ind w:firstLine="480"/>
        <w:rPr>
          <w:rFonts w:hint="eastAsia"/>
          <w:color w:val="auto"/>
        </w:rPr>
      </w:pPr>
      <w:r>
        <w:rPr>
          <w:color w:val="auto"/>
        </w:rPr>
        <w:t>3</w:t>
      </w:r>
      <w:r>
        <w:rPr>
          <w:rFonts w:hint="eastAsia"/>
          <w:color w:val="auto"/>
        </w:rPr>
        <w:t>、监测频率</w:t>
      </w:r>
    </w:p>
    <w:p>
      <w:pPr>
        <w:ind w:firstLine="480"/>
        <w:rPr>
          <w:rFonts w:hint="eastAsia"/>
          <w:color w:val="auto"/>
        </w:rPr>
      </w:pPr>
      <w:r>
        <w:rPr>
          <w:rFonts w:hint="eastAsia"/>
          <w:color w:val="auto"/>
        </w:rPr>
        <w:t>环境空气：事故初期，采样1次/30min；随后根据空气中有害物质浓度降低监测频率，按1h、2h等时间间隔采样。</w:t>
      </w:r>
    </w:p>
    <w:p>
      <w:pPr>
        <w:ind w:firstLine="480"/>
        <w:rPr>
          <w:color w:val="auto"/>
        </w:rPr>
      </w:pPr>
      <w:r>
        <w:rPr>
          <w:rFonts w:hint="eastAsia"/>
          <w:color w:val="auto"/>
        </w:rPr>
        <w:t>地表水：采样1次/30min。</w:t>
      </w:r>
    </w:p>
    <w:p>
      <w:pPr>
        <w:pStyle w:val="7"/>
        <w:rPr>
          <w:rFonts w:hint="eastAsia" w:eastAsia="黑体"/>
          <w:color w:val="auto"/>
          <w:sz w:val="32"/>
        </w:rPr>
      </w:pPr>
      <w:bookmarkStart w:id="262" w:name="_Toc23292"/>
      <w:r>
        <w:rPr>
          <w:rFonts w:hint="eastAsia" w:eastAsia="黑体"/>
          <w:color w:val="auto"/>
          <w:sz w:val="32"/>
        </w:rPr>
        <w:t>总量控制</w:t>
      </w:r>
      <w:bookmarkEnd w:id="262"/>
    </w:p>
    <w:p>
      <w:pPr>
        <w:pStyle w:val="8"/>
        <w:tabs>
          <w:tab w:val="clear" w:pos="0"/>
        </w:tabs>
        <w:rPr>
          <w:rFonts w:hint="eastAsia" w:eastAsia="黑体"/>
          <w:color w:val="auto"/>
          <w:sz w:val="28"/>
          <w:szCs w:val="28"/>
        </w:rPr>
      </w:pPr>
      <w:r>
        <w:rPr>
          <w:rFonts w:hint="eastAsia" w:eastAsia="黑体"/>
          <w:color w:val="auto"/>
          <w:sz w:val="28"/>
          <w:szCs w:val="28"/>
        </w:rPr>
        <w:t>总量控制原则</w:t>
      </w:r>
    </w:p>
    <w:p>
      <w:pPr>
        <w:ind w:firstLine="480"/>
        <w:rPr>
          <w:rFonts w:hint="eastAsia"/>
          <w:color w:val="auto"/>
        </w:rPr>
      </w:pPr>
      <w:r>
        <w:rPr>
          <w:rFonts w:hint="eastAsia"/>
          <w:color w:val="auto"/>
        </w:rPr>
        <w:t>总量控制是控制污染、实现区域可持续发展的重要措施，环境污染物总量控制的目的是根据环境质量标准，通过调控污染源分布状况和污染排放方式，把污染物负荷总量控制在自然环境的承载能力范围之内。</w:t>
      </w:r>
    </w:p>
    <w:p>
      <w:pPr>
        <w:ind w:firstLine="480"/>
        <w:rPr>
          <w:rFonts w:hint="eastAsia"/>
          <w:color w:val="auto"/>
        </w:rPr>
      </w:pPr>
      <w:r>
        <w:rPr>
          <w:rFonts w:hint="eastAsia"/>
          <w:color w:val="auto"/>
        </w:rPr>
        <w:t>实施污染物排放总量控制是保证实施环境保护目标的需要。我国环境污染已经十分严重，在不少地区污染物排放总量已明显超过环境承载能力。随着经济和人口的增长，污染物排放总量还会增加。为了实现环境保护目标，必须严格控制污染物排放总量。</w:t>
      </w:r>
    </w:p>
    <w:p>
      <w:pPr>
        <w:ind w:firstLine="480"/>
        <w:rPr>
          <w:rFonts w:hint="eastAsia"/>
          <w:color w:val="auto"/>
        </w:rPr>
      </w:pPr>
      <w:r>
        <w:rPr>
          <w:rFonts w:hint="eastAsia"/>
          <w:color w:val="auto"/>
        </w:rPr>
        <w:t>实施污染物排放总量控制是落实两个根本性转变的需要。我国环境污染严重的症结在于经济增长和经营粗放。实施污染物排放总量控制，将促进资源节约、产生结构调整、技术进步和污染治理，推动经济增长方式的转变。</w:t>
      </w:r>
    </w:p>
    <w:p>
      <w:pPr>
        <w:ind w:firstLine="480"/>
        <w:rPr>
          <w:rFonts w:hint="eastAsia"/>
          <w:color w:val="auto"/>
        </w:rPr>
      </w:pPr>
      <w:r>
        <w:rPr>
          <w:rFonts w:hint="eastAsia"/>
          <w:color w:val="auto"/>
        </w:rPr>
        <w:t>实施污染物总量控制是推行可持续发展战略的需要。实施可持续发展战略已被列为我国未来15年内国民经济和社会发展的重要知道方针。运用环境保护法律和行政手段实施污染物排放总量控制，便于操作和考核，有利于推动可持续发展在我国的实施。</w:t>
      </w:r>
    </w:p>
    <w:p>
      <w:pPr>
        <w:pStyle w:val="8"/>
        <w:tabs>
          <w:tab w:val="clear" w:pos="0"/>
        </w:tabs>
        <w:rPr>
          <w:rFonts w:hint="eastAsia" w:eastAsia="黑体"/>
          <w:color w:val="auto"/>
          <w:sz w:val="28"/>
          <w:szCs w:val="28"/>
        </w:rPr>
      </w:pPr>
      <w:r>
        <w:rPr>
          <w:rFonts w:hint="eastAsia" w:eastAsia="黑体"/>
          <w:color w:val="auto"/>
          <w:sz w:val="28"/>
          <w:szCs w:val="28"/>
        </w:rPr>
        <w:t>总量控制因子</w:t>
      </w:r>
    </w:p>
    <w:p>
      <w:pPr>
        <w:ind w:firstLine="480"/>
        <w:rPr>
          <w:color w:val="auto"/>
        </w:rPr>
      </w:pPr>
      <w:r>
        <w:rPr>
          <w:rFonts w:hint="eastAsia"/>
          <w:color w:val="auto"/>
        </w:rPr>
        <w:t>根据工程分析和国家总量控制指标，本项目确定需要进行总量控制的主要污染物为COD、NH</w:t>
      </w:r>
      <w:r>
        <w:rPr>
          <w:rFonts w:hint="eastAsia"/>
          <w:color w:val="auto"/>
          <w:vertAlign w:val="subscript"/>
        </w:rPr>
        <w:t>3</w:t>
      </w:r>
      <w:r>
        <w:rPr>
          <w:rFonts w:hint="eastAsia"/>
          <w:color w:val="auto"/>
        </w:rPr>
        <w:t>-N。由于废水经污水处理设施处理后全部有效利用，不外排。因此，本项目COD、NH</w:t>
      </w:r>
      <w:r>
        <w:rPr>
          <w:rFonts w:hint="eastAsia"/>
          <w:color w:val="auto"/>
          <w:vertAlign w:val="subscript"/>
        </w:rPr>
        <w:t>3</w:t>
      </w:r>
      <w:r>
        <w:rPr>
          <w:rFonts w:hint="eastAsia"/>
          <w:color w:val="auto"/>
        </w:rPr>
        <w:t>-N排放量为0，不对COD、NH</w:t>
      </w:r>
      <w:r>
        <w:rPr>
          <w:rFonts w:hint="eastAsia"/>
          <w:color w:val="auto"/>
          <w:vertAlign w:val="subscript"/>
        </w:rPr>
        <w:t>3</w:t>
      </w:r>
      <w:r>
        <w:rPr>
          <w:rFonts w:hint="eastAsia"/>
          <w:color w:val="auto"/>
        </w:rPr>
        <w:t>-N进行总量调剂。</w:t>
      </w:r>
    </w:p>
    <w:p>
      <w:pPr>
        <w:pStyle w:val="7"/>
        <w:rPr>
          <w:rFonts w:eastAsia="黑体"/>
          <w:color w:val="auto"/>
          <w:sz w:val="32"/>
        </w:rPr>
      </w:pPr>
      <w:bookmarkStart w:id="263" w:name="_Toc24055"/>
      <w:r>
        <w:rPr>
          <w:rFonts w:eastAsia="黑体"/>
          <w:color w:val="auto"/>
          <w:sz w:val="32"/>
        </w:rPr>
        <w:t>竣工环境保护验收</w:t>
      </w:r>
      <w:bookmarkEnd w:id="263"/>
    </w:p>
    <w:p>
      <w:pPr>
        <w:ind w:firstLine="480"/>
        <w:rPr>
          <w:snapToGrid w:val="0"/>
          <w:color w:val="auto"/>
        </w:rPr>
      </w:pPr>
      <w:r>
        <w:rPr>
          <w:rFonts w:hint="eastAsia"/>
          <w:snapToGrid w:val="0"/>
          <w:color w:val="auto"/>
        </w:rPr>
        <w:t>根据《建设项目竣工环境保护验收暂行办法》规定：建设项目竣工后，建设单位应当如实查验、监测、记载建设项目环境保护设施的建设和调试情况，编制验收监测（调查）报告。验收监测（调查）报告编制完成后，建设单位应当根据验收监测（调查）报告结论，逐一检查是否存在本办法第八条所列验收不合格的情形，提出验收意见。存在问题的，建设单位应当进行整改，整改完成后方可提出验收意见。验收意见包括工程建设基本情况、工程变动情况、环境保护设施落实情况、环境保护设施调试效果、工程建设对环境的影响、验收结论和后续要求等内容，验收结论应当明确该建设项目环境保护设施是否验收合格。建设项目配套建设的环境保护设施经验收合格后，其主体工程方可投入生产或者使用；未经验收或者验收不合格的，不得投入生产或者使用。</w:t>
      </w:r>
    </w:p>
    <w:p>
      <w:pPr>
        <w:pStyle w:val="8"/>
        <w:tabs>
          <w:tab w:val="clear" w:pos="0"/>
        </w:tabs>
        <w:rPr>
          <w:rFonts w:eastAsia="黑体"/>
          <w:color w:val="auto"/>
          <w:sz w:val="28"/>
          <w:szCs w:val="28"/>
        </w:rPr>
      </w:pPr>
      <w:r>
        <w:rPr>
          <w:rFonts w:eastAsia="黑体"/>
          <w:color w:val="auto"/>
          <w:sz w:val="28"/>
          <w:szCs w:val="28"/>
        </w:rPr>
        <w:t>竣工验收主要内容</w:t>
      </w:r>
    </w:p>
    <w:p>
      <w:pPr>
        <w:ind w:firstLine="480"/>
        <w:rPr>
          <w:rFonts w:hint="eastAsia"/>
          <w:snapToGrid w:val="0"/>
          <w:color w:val="auto"/>
        </w:rPr>
      </w:pPr>
      <w:r>
        <w:rPr>
          <w:snapToGrid w:val="0"/>
          <w:color w:val="auto"/>
        </w:rPr>
        <w:t>工程建成后应及时组织竣工环境保护验收，对各项环保工程措施的落实情况、效果以及工程建设对环境的影响进行评估</w:t>
      </w:r>
      <w:r>
        <w:rPr>
          <w:rFonts w:hint="eastAsia"/>
          <w:snapToGrid w:val="0"/>
          <w:color w:val="auto"/>
        </w:rPr>
        <w:t>。</w:t>
      </w:r>
      <w:r>
        <w:rPr>
          <w:snapToGrid w:val="0"/>
          <w:color w:val="auto"/>
        </w:rPr>
        <w:t>验收小组应由</w:t>
      </w:r>
      <w:r>
        <w:rPr>
          <w:rFonts w:hint="eastAsia"/>
          <w:snapToGrid w:val="0"/>
          <w:color w:val="auto"/>
        </w:rPr>
        <w:t>设计单位、施工单位、环评单位、验收监测报告编制机构等单位代表以及专业技术专家等组成。</w:t>
      </w:r>
    </w:p>
    <w:p>
      <w:pPr>
        <w:ind w:firstLine="480"/>
        <w:rPr>
          <w:snapToGrid w:val="0"/>
          <w:color w:val="auto"/>
        </w:rPr>
      </w:pPr>
      <w:r>
        <w:rPr>
          <w:rFonts w:hint="eastAsia"/>
          <w:snapToGrid w:val="0"/>
          <w:color w:val="auto"/>
        </w:rPr>
        <w:t>根据《建设项目环境保护管理条例》（2017.10.1）国务院第682号令、《建设项目竣工环境保护验收暂行办法》（2017.11.20）的有关规定，本项目的水污染防治措施、大气污染防治措施、噪声污染防治措施由建设单位自主验收。新《中华人民共和国固体废物污染环境防治法》修改完成前应依法由环境保护部门对建设项目固体废物污染防治设施进行验收。</w:t>
      </w:r>
    </w:p>
    <w:p>
      <w:pPr>
        <w:pStyle w:val="8"/>
        <w:tabs>
          <w:tab w:val="clear" w:pos="0"/>
        </w:tabs>
        <w:rPr>
          <w:rFonts w:hint="eastAsia" w:eastAsia="黑体"/>
          <w:color w:val="auto"/>
          <w:sz w:val="28"/>
          <w:szCs w:val="28"/>
        </w:rPr>
      </w:pPr>
      <w:r>
        <w:rPr>
          <w:rFonts w:hint="eastAsia" w:eastAsia="黑体"/>
          <w:color w:val="auto"/>
          <w:sz w:val="28"/>
          <w:szCs w:val="28"/>
        </w:rPr>
        <w:t>建设单位自主验收相关规定</w:t>
      </w:r>
    </w:p>
    <w:p>
      <w:pPr>
        <w:ind w:firstLine="480"/>
        <w:rPr>
          <w:rFonts w:hint="eastAsia"/>
          <w:snapToGrid w:val="0"/>
          <w:color w:val="auto"/>
        </w:rPr>
      </w:pPr>
      <w:r>
        <w:rPr>
          <w:rFonts w:hint="eastAsia"/>
          <w:snapToGrid w:val="0"/>
          <w:color w:val="auto"/>
        </w:rPr>
        <w:t>（1）竣工环境保护验收实行由企业法人负责的自行验收管理。企业自行验收严格按照环境保护主管部门制定的规定程序执行，验收过程完整，验收程序合法。企业自行验收严格落实环境影响报告书（表）及其批复文件要求，验收材料齐全，验收内容全面，适用标准规范，内容不缺项，标准不降低。建设项目主体工程竣工后、正式投产或运行前，企业应自行组织开展建设项目竣工环境保护验收，并编制建设项目竣工环境保护验收调查（监测）报告。</w:t>
      </w:r>
    </w:p>
    <w:p>
      <w:pPr>
        <w:ind w:firstLine="480"/>
        <w:rPr>
          <w:snapToGrid w:val="0"/>
          <w:color w:val="auto"/>
        </w:rPr>
      </w:pPr>
      <w:r>
        <w:rPr>
          <w:rFonts w:hint="eastAsia"/>
          <w:snapToGrid w:val="0"/>
          <w:color w:val="auto"/>
        </w:rPr>
        <w:t>（2）建设项目竣工环境保护企业自行验收范围：</w:t>
      </w:r>
    </w:p>
    <w:p>
      <w:pPr>
        <w:ind w:firstLine="480"/>
        <w:rPr>
          <w:rFonts w:hint="eastAsia"/>
          <w:snapToGrid w:val="0"/>
          <w:color w:val="auto"/>
        </w:rPr>
      </w:pPr>
      <w:r>
        <w:rPr>
          <w:rFonts w:hint="eastAsia"/>
          <w:snapToGrid w:val="0"/>
          <w:color w:val="auto"/>
        </w:rPr>
        <w:t>①环境影响报告书及其批复文件规定的与建设项目有关的各项环境保护设施，包括为防治污染和保护环境所建成或配备的工程、设备、装置和监测手段，各项生态保护设施。</w:t>
      </w:r>
    </w:p>
    <w:p>
      <w:pPr>
        <w:ind w:firstLine="480"/>
        <w:rPr>
          <w:rFonts w:hint="eastAsia"/>
          <w:snapToGrid w:val="0"/>
          <w:color w:val="auto"/>
        </w:rPr>
      </w:pPr>
      <w:r>
        <w:rPr>
          <w:rFonts w:hint="eastAsia"/>
          <w:snapToGrid w:val="0"/>
          <w:color w:val="auto"/>
        </w:rPr>
        <w:t>②环境影响报告书及其批复文件和有关项目设计文件规定应采取的其他各项环境保护措施。</w:t>
      </w:r>
    </w:p>
    <w:p>
      <w:pPr>
        <w:ind w:firstLine="480"/>
        <w:rPr>
          <w:rFonts w:hint="eastAsia"/>
          <w:snapToGrid w:val="0"/>
          <w:color w:val="auto"/>
        </w:rPr>
      </w:pPr>
      <w:r>
        <w:rPr>
          <w:rFonts w:hint="eastAsia"/>
          <w:snapToGrid w:val="0"/>
          <w:color w:val="auto"/>
        </w:rPr>
        <w:t>③与建设项目有关的各项环境保护设施、环境保护措施运行效果。</w:t>
      </w:r>
    </w:p>
    <w:p>
      <w:pPr>
        <w:ind w:firstLine="480"/>
        <w:rPr>
          <w:rFonts w:hint="eastAsia"/>
          <w:snapToGrid w:val="0"/>
          <w:color w:val="auto"/>
        </w:rPr>
      </w:pPr>
      <w:r>
        <w:rPr>
          <w:rFonts w:hint="eastAsia"/>
          <w:snapToGrid w:val="0"/>
          <w:color w:val="auto"/>
        </w:rPr>
        <w:t>（3）建设项目竣工环境保护企业自行验收依据：</w:t>
      </w:r>
    </w:p>
    <w:p>
      <w:pPr>
        <w:ind w:firstLine="480"/>
        <w:rPr>
          <w:rFonts w:hint="eastAsia"/>
          <w:snapToGrid w:val="0"/>
          <w:color w:val="auto"/>
        </w:rPr>
      </w:pPr>
      <w:r>
        <w:rPr>
          <w:rFonts w:hint="eastAsia"/>
          <w:snapToGrid w:val="0"/>
          <w:color w:val="auto"/>
        </w:rPr>
        <w:t>①《建设项目环境保护管理条例》等相关法律规定。</w:t>
      </w:r>
    </w:p>
    <w:p>
      <w:pPr>
        <w:ind w:firstLine="480"/>
        <w:rPr>
          <w:rFonts w:hint="eastAsia"/>
          <w:snapToGrid w:val="0"/>
          <w:color w:val="auto"/>
        </w:rPr>
      </w:pPr>
      <w:r>
        <w:rPr>
          <w:rFonts w:hint="eastAsia"/>
          <w:snapToGrid w:val="0"/>
          <w:color w:val="auto"/>
        </w:rPr>
        <w:t>②环境影响报告书及其批复文件。</w:t>
      </w:r>
    </w:p>
    <w:p>
      <w:pPr>
        <w:ind w:firstLine="480"/>
        <w:rPr>
          <w:rFonts w:hint="eastAsia"/>
          <w:snapToGrid w:val="0"/>
          <w:color w:val="auto"/>
        </w:rPr>
      </w:pPr>
      <w:r>
        <w:rPr>
          <w:rFonts w:hint="eastAsia"/>
          <w:snapToGrid w:val="0"/>
          <w:color w:val="auto"/>
        </w:rPr>
        <w:t>③工程《初步设计》环保篇。</w:t>
      </w:r>
    </w:p>
    <w:p>
      <w:pPr>
        <w:ind w:firstLine="480"/>
        <w:rPr>
          <w:rFonts w:hint="eastAsia"/>
          <w:snapToGrid w:val="0"/>
          <w:color w:val="auto"/>
        </w:rPr>
      </w:pPr>
      <w:r>
        <w:rPr>
          <w:rFonts w:hint="eastAsia"/>
          <w:snapToGrid w:val="0"/>
          <w:color w:val="auto"/>
        </w:rPr>
        <w:t>④建设项目竣工环境保护技术规范等相关标准。</w:t>
      </w:r>
    </w:p>
    <w:p>
      <w:pPr>
        <w:ind w:firstLine="480"/>
        <w:rPr>
          <w:rFonts w:hint="eastAsia"/>
          <w:snapToGrid w:val="0"/>
          <w:color w:val="auto"/>
        </w:rPr>
      </w:pPr>
      <w:r>
        <w:rPr>
          <w:rFonts w:hint="eastAsia"/>
          <w:snapToGrid w:val="0"/>
          <w:color w:val="auto"/>
        </w:rPr>
        <w:t>⑤环境保护主管部门印发的其他相关文件要求。</w:t>
      </w:r>
    </w:p>
    <w:p>
      <w:pPr>
        <w:ind w:firstLine="480"/>
        <w:rPr>
          <w:rFonts w:hint="eastAsia"/>
          <w:snapToGrid w:val="0"/>
          <w:color w:val="auto"/>
        </w:rPr>
      </w:pPr>
      <w:r>
        <w:rPr>
          <w:rFonts w:hint="eastAsia"/>
          <w:snapToGrid w:val="0"/>
          <w:color w:val="auto"/>
        </w:rPr>
        <w:t>（4）建设项目竣工环境保护企业自行验收工作程序：</w:t>
      </w:r>
    </w:p>
    <w:p>
      <w:pPr>
        <w:ind w:firstLine="480"/>
        <w:rPr>
          <w:rFonts w:hint="eastAsia"/>
          <w:snapToGrid w:val="0"/>
          <w:color w:val="auto"/>
        </w:rPr>
      </w:pPr>
      <w:r>
        <w:rPr>
          <w:rFonts w:hint="eastAsia"/>
          <w:snapToGrid w:val="0"/>
          <w:color w:val="auto"/>
        </w:rPr>
        <w:t>①在建设项目竣工后、正式投入生产或运行前，企业按照环境影响报告书及其批复文件要求，对与主体工程配套建设的环境保护设施落实情况进行查验。</w:t>
      </w:r>
    </w:p>
    <w:p>
      <w:pPr>
        <w:ind w:firstLine="480"/>
        <w:rPr>
          <w:rFonts w:hint="eastAsia"/>
          <w:snapToGrid w:val="0"/>
          <w:color w:val="auto"/>
        </w:rPr>
      </w:pPr>
      <w:r>
        <w:rPr>
          <w:rFonts w:hint="eastAsia"/>
          <w:snapToGrid w:val="0"/>
          <w:color w:val="auto"/>
        </w:rPr>
        <w:t>②按照环境保护主管部门制定的竣工环境保护验收技术规范，企业自行编制或委托具备相应技术能力的机构，对建设项目环境保护设施落实情况进行调查，开展相关环境监测，编制竣工环境保护验收监测报告。企业、验收监测机构及其相关人员对验收监测报告结论终身负责。</w:t>
      </w:r>
    </w:p>
    <w:p>
      <w:pPr>
        <w:ind w:firstLine="480"/>
        <w:rPr>
          <w:rFonts w:hint="eastAsia"/>
          <w:snapToGrid w:val="0"/>
          <w:color w:val="auto"/>
        </w:rPr>
      </w:pPr>
      <w:r>
        <w:rPr>
          <w:rFonts w:hint="eastAsia"/>
          <w:snapToGrid w:val="0"/>
          <w:color w:val="auto"/>
        </w:rPr>
        <w:t>③验收监测报告编制完成后，由企业法人组织对建设项目环境保护设施和环境保护措施进行验收，形成书面报告备查，并向社会公开。</w:t>
      </w:r>
    </w:p>
    <w:p>
      <w:pPr>
        <w:ind w:firstLine="480"/>
        <w:rPr>
          <w:rFonts w:hint="eastAsia"/>
          <w:snapToGrid w:val="0"/>
          <w:color w:val="auto"/>
        </w:rPr>
      </w:pPr>
      <w:r>
        <w:rPr>
          <w:rFonts w:hint="eastAsia"/>
          <w:snapToGrid w:val="0"/>
          <w:color w:val="auto"/>
        </w:rPr>
        <w:t>④企业自行组织竣工环境保护验收时，应成立验收组，对建设项目环境保护设施及其他环境保护措施进行资料审查、现场踏勘，形成验收意见，验收组成员名单附后。验收组应由建设单位、设计单位、施工单位、环境监理单位、环境监测单位、环境影响报告书编制单位、变更环境影响报告书编制单位、验收监测报告编制单位代表，以及专业技术专家组成。</w:t>
      </w:r>
    </w:p>
    <w:p>
      <w:pPr>
        <w:ind w:firstLine="480"/>
        <w:rPr>
          <w:snapToGrid w:val="0"/>
          <w:color w:val="auto"/>
        </w:rPr>
      </w:pPr>
      <w:r>
        <w:rPr>
          <w:rFonts w:hint="eastAsia"/>
          <w:snapToGrid w:val="0"/>
          <w:color w:val="auto"/>
        </w:rPr>
        <w:t>⑤企业应对验收意见中提出的环保问题进行整改。环境保护设施未经验收或者验收不合格的，建设项目主体工程不得投入生产或者使用。</w:t>
      </w:r>
    </w:p>
    <w:p>
      <w:pPr>
        <w:ind w:firstLine="480"/>
        <w:rPr>
          <w:rFonts w:hint="eastAsia"/>
          <w:snapToGrid w:val="0"/>
          <w:color w:val="auto"/>
        </w:rPr>
      </w:pPr>
      <w:r>
        <w:rPr>
          <w:rFonts w:hint="eastAsia"/>
          <w:snapToGrid w:val="0"/>
          <w:color w:val="auto"/>
        </w:rPr>
        <w:t>⑥企业应自验收通过之日起30个工作日内，制作竣工环境保护验收意见书，并将验收意见书、验收监测报告和“三同时”验收登记表上传至建设项目竣工环境保护企业自行验收信息平台，并如实向社会公开。</w:t>
      </w:r>
    </w:p>
    <w:p>
      <w:pPr>
        <w:ind w:firstLine="480"/>
        <w:rPr>
          <w:rFonts w:hint="eastAsia"/>
          <w:snapToGrid w:val="0"/>
          <w:color w:val="auto"/>
        </w:rPr>
      </w:pPr>
      <w:r>
        <w:rPr>
          <w:rFonts w:hint="eastAsia"/>
          <w:snapToGrid w:val="0"/>
          <w:color w:val="auto"/>
        </w:rPr>
        <w:t>（5）企业应通过网站以及报纸、媒体平台，向社会及时建设项目环境保护设施和环境保护措施落实情况、竣工环境保护验收情况，并接受社会监督。</w:t>
      </w:r>
    </w:p>
    <w:p>
      <w:pPr>
        <w:ind w:firstLine="480"/>
        <w:rPr>
          <w:rFonts w:hint="eastAsia"/>
          <w:snapToGrid w:val="0"/>
          <w:color w:val="auto"/>
        </w:rPr>
      </w:pPr>
      <w:r>
        <w:rPr>
          <w:rFonts w:hint="eastAsia"/>
          <w:snapToGrid w:val="0"/>
          <w:color w:val="auto"/>
        </w:rPr>
        <w:t>①在施工建设期间应主动公开下列信息：主要环境保护设施实施情况；施工期环境保护措施落实情况；施工期环境监测情况及监测结果。</w:t>
      </w:r>
    </w:p>
    <w:p>
      <w:pPr>
        <w:ind w:firstLine="480"/>
        <w:rPr>
          <w:rFonts w:hint="eastAsia"/>
          <w:snapToGrid w:val="0"/>
          <w:color w:val="auto"/>
        </w:rPr>
      </w:pPr>
      <w:r>
        <w:rPr>
          <w:rFonts w:hint="eastAsia"/>
          <w:snapToGrid w:val="0"/>
          <w:color w:val="auto"/>
        </w:rPr>
        <w:t>②在投入生产或者使用前应主动公开下列信息：各项环境保护设施落实情况；环境保护措施落实情况；环境监测和监理报告；突发环境事件应急预案及备案情况；竣工环境保护验收监测报告；竣工环境保护企业自行验收意见。</w:t>
      </w:r>
    </w:p>
    <w:p>
      <w:pPr>
        <w:ind w:firstLine="480"/>
        <w:rPr>
          <w:color w:val="auto"/>
        </w:rPr>
      </w:pPr>
      <w:r>
        <w:rPr>
          <w:rFonts w:hint="eastAsia"/>
          <w:snapToGrid w:val="0"/>
          <w:color w:val="auto"/>
        </w:rPr>
        <w:t>③在运行期间应定期公开下列信息：各项环境保护设施运行情况；主要污染物排放情况；突发环境事件应急演练和应急预案完善情况；环境影响后评价开展情况。</w:t>
      </w:r>
    </w:p>
    <w:bookmarkEnd w:id="246"/>
    <w:bookmarkEnd w:id="247"/>
    <w:p>
      <w:pPr>
        <w:pStyle w:val="8"/>
        <w:tabs>
          <w:tab w:val="clear" w:pos="0"/>
        </w:tabs>
        <w:rPr>
          <w:rFonts w:eastAsia="黑体"/>
          <w:color w:val="auto"/>
          <w:sz w:val="28"/>
          <w:szCs w:val="28"/>
        </w:rPr>
      </w:pPr>
      <w:bookmarkStart w:id="264" w:name="_Toc436035726"/>
      <w:r>
        <w:rPr>
          <w:rFonts w:eastAsia="黑体"/>
          <w:color w:val="auto"/>
          <w:sz w:val="28"/>
          <w:szCs w:val="28"/>
        </w:rPr>
        <w:t>竣工</w:t>
      </w:r>
      <w:bookmarkEnd w:id="264"/>
      <w:r>
        <w:rPr>
          <w:rFonts w:eastAsia="黑体"/>
          <w:color w:val="auto"/>
          <w:sz w:val="28"/>
          <w:szCs w:val="28"/>
        </w:rPr>
        <w:t>验收一览表</w:t>
      </w:r>
    </w:p>
    <w:p>
      <w:pPr>
        <w:ind w:firstLine="480"/>
        <w:rPr>
          <w:rFonts w:hint="eastAsia"/>
          <w:color w:val="auto"/>
        </w:rPr>
      </w:pPr>
      <w:r>
        <w:rPr>
          <w:rFonts w:hint="eastAsia"/>
          <w:color w:val="auto"/>
        </w:rPr>
        <w:t>本</w:t>
      </w:r>
      <w:r>
        <w:rPr>
          <w:color w:val="auto"/>
        </w:rPr>
        <w:t>项目竣工环境保护验收一览表见表</w:t>
      </w:r>
      <w:r>
        <w:rPr>
          <w:rFonts w:hint="eastAsia"/>
          <w:color w:val="auto"/>
        </w:rPr>
        <w:t>9</w:t>
      </w:r>
      <w:r>
        <w:rPr>
          <w:color w:val="auto"/>
        </w:rPr>
        <w:t>.4-1。</w:t>
      </w:r>
    </w:p>
    <w:p>
      <w:pPr>
        <w:pStyle w:val="16"/>
        <w:ind w:firstLine="480"/>
        <w:rPr>
          <w:color w:val="auto"/>
        </w:rPr>
        <w:sectPr>
          <w:headerReference r:id="rId22" w:type="default"/>
          <w:pgSz w:w="11906" w:h="16838"/>
          <w:pgMar w:top="1418" w:right="1418" w:bottom="1418" w:left="1701" w:header="851" w:footer="992" w:gutter="0"/>
          <w:cols w:space="720" w:num="1"/>
          <w:docGrid w:linePitch="312" w:charSpace="0"/>
        </w:sectPr>
      </w:pPr>
    </w:p>
    <w:p>
      <w:pPr>
        <w:pStyle w:val="166"/>
        <w:spacing w:before="120" w:beforeLines="0"/>
        <w:ind w:firstLine="480"/>
        <w:rPr>
          <w:color w:val="auto"/>
        </w:rPr>
      </w:pPr>
      <w:r>
        <w:rPr>
          <w:rFonts w:hint="eastAsia"/>
          <w:color w:val="auto"/>
        </w:rPr>
        <w:t>表</w:t>
      </w:r>
      <w:r>
        <w:rPr>
          <w:color w:val="auto"/>
        </w:rPr>
        <w:t>9.4-1</w:t>
      </w:r>
      <w:r>
        <w:rPr>
          <w:rFonts w:hint="eastAsia"/>
          <w:color w:val="auto"/>
          <w:lang w:val="en-US" w:eastAsia="zh-CN"/>
        </w:rPr>
        <w:t xml:space="preserve"> </w:t>
      </w:r>
      <w:r>
        <w:rPr>
          <w:rFonts w:hint="eastAsia"/>
          <w:color w:val="auto"/>
        </w:rPr>
        <w:t>项目“三同时”竣工验收一览表</w:t>
      </w:r>
    </w:p>
    <w:tbl>
      <w:tblPr>
        <w:tblStyle w:val="5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Layout w:type="fixed"/>
        <w:tblCellMar>
          <w:top w:w="0" w:type="dxa"/>
          <w:left w:w="0" w:type="dxa"/>
          <w:bottom w:w="0" w:type="dxa"/>
          <w:right w:w="0" w:type="dxa"/>
        </w:tblCellMar>
      </w:tblPr>
      <w:tblGrid>
        <w:gridCol w:w="1133"/>
        <w:gridCol w:w="1594"/>
        <w:gridCol w:w="1566"/>
        <w:gridCol w:w="4990"/>
        <w:gridCol w:w="4691"/>
        <w:gridCol w:w="14"/>
        <w:gridCol w:w="14"/>
      </w:tblGrid>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tblHeader/>
          <w:jc w:val="center"/>
        </w:trPr>
        <w:tc>
          <w:tcPr>
            <w:tcW w:w="1133" w:type="dxa"/>
            <w:noWrap w:val="0"/>
            <w:vAlign w:val="center"/>
          </w:tcPr>
          <w:p>
            <w:pPr>
              <w:pStyle w:val="274"/>
              <w:spacing w:line="240" w:lineRule="auto"/>
              <w:rPr>
                <w:b/>
                <w:color w:val="auto"/>
                <w:sz w:val="21"/>
                <w:szCs w:val="21"/>
              </w:rPr>
            </w:pPr>
            <w:r>
              <w:rPr>
                <w:rFonts w:hint="eastAsia"/>
                <w:b/>
                <w:color w:val="auto"/>
                <w:sz w:val="21"/>
                <w:szCs w:val="21"/>
              </w:rPr>
              <w:t>环境因子</w:t>
            </w:r>
          </w:p>
        </w:tc>
        <w:tc>
          <w:tcPr>
            <w:tcW w:w="1594" w:type="dxa"/>
            <w:noWrap w:val="0"/>
            <w:vAlign w:val="center"/>
          </w:tcPr>
          <w:p>
            <w:pPr>
              <w:pStyle w:val="274"/>
              <w:spacing w:line="240" w:lineRule="auto"/>
              <w:rPr>
                <w:b/>
                <w:color w:val="auto"/>
                <w:sz w:val="21"/>
                <w:szCs w:val="21"/>
              </w:rPr>
            </w:pPr>
            <w:r>
              <w:rPr>
                <w:rFonts w:hint="eastAsia"/>
                <w:b/>
                <w:color w:val="auto"/>
                <w:sz w:val="21"/>
                <w:szCs w:val="21"/>
              </w:rPr>
              <w:t>污染源</w:t>
            </w:r>
          </w:p>
        </w:tc>
        <w:tc>
          <w:tcPr>
            <w:tcW w:w="1566" w:type="dxa"/>
            <w:noWrap w:val="0"/>
            <w:vAlign w:val="center"/>
          </w:tcPr>
          <w:p>
            <w:pPr>
              <w:pStyle w:val="274"/>
              <w:spacing w:line="240" w:lineRule="auto"/>
              <w:rPr>
                <w:b/>
                <w:color w:val="auto"/>
                <w:sz w:val="21"/>
                <w:szCs w:val="21"/>
              </w:rPr>
            </w:pPr>
            <w:r>
              <w:rPr>
                <w:rFonts w:hint="eastAsia"/>
                <w:b/>
                <w:color w:val="auto"/>
                <w:sz w:val="21"/>
                <w:szCs w:val="21"/>
              </w:rPr>
              <w:t>污染物</w:t>
            </w:r>
            <w:r>
              <w:rPr>
                <w:b/>
                <w:color w:val="auto"/>
                <w:sz w:val="21"/>
                <w:szCs w:val="21"/>
              </w:rPr>
              <w:t xml:space="preserve"> </w:t>
            </w:r>
            <w:r>
              <w:rPr>
                <w:rFonts w:hint="eastAsia"/>
                <w:b/>
                <w:color w:val="auto"/>
                <w:sz w:val="21"/>
                <w:szCs w:val="21"/>
              </w:rPr>
              <w:t>名称</w:t>
            </w:r>
          </w:p>
        </w:tc>
        <w:tc>
          <w:tcPr>
            <w:tcW w:w="4990" w:type="dxa"/>
            <w:noWrap w:val="0"/>
            <w:vAlign w:val="center"/>
          </w:tcPr>
          <w:p>
            <w:pPr>
              <w:pStyle w:val="274"/>
              <w:spacing w:line="240" w:lineRule="auto"/>
              <w:rPr>
                <w:b/>
                <w:color w:val="auto"/>
                <w:sz w:val="21"/>
                <w:szCs w:val="21"/>
              </w:rPr>
            </w:pPr>
            <w:r>
              <w:rPr>
                <w:rFonts w:hint="eastAsia"/>
                <w:b/>
                <w:color w:val="auto"/>
                <w:sz w:val="21"/>
                <w:szCs w:val="21"/>
              </w:rPr>
              <w:t>防治措施</w:t>
            </w:r>
          </w:p>
        </w:tc>
        <w:tc>
          <w:tcPr>
            <w:tcW w:w="4719" w:type="dxa"/>
            <w:gridSpan w:val="3"/>
            <w:noWrap w:val="0"/>
            <w:vAlign w:val="center"/>
          </w:tcPr>
          <w:p>
            <w:pPr>
              <w:pStyle w:val="274"/>
              <w:spacing w:line="240" w:lineRule="auto"/>
              <w:rPr>
                <w:b/>
                <w:color w:val="auto"/>
                <w:sz w:val="21"/>
                <w:szCs w:val="21"/>
              </w:rPr>
            </w:pPr>
            <w:r>
              <w:rPr>
                <w:rFonts w:hint="eastAsia"/>
                <w:b/>
                <w:color w:val="auto"/>
                <w:sz w:val="21"/>
                <w:szCs w:val="21"/>
              </w:rPr>
              <w:t>处理效果、执行标准或拟达要求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restart"/>
            <w:noWrap w:val="0"/>
            <w:vAlign w:val="center"/>
          </w:tcPr>
          <w:p>
            <w:pPr>
              <w:pStyle w:val="274"/>
              <w:spacing w:line="240" w:lineRule="auto"/>
              <w:rPr>
                <w:color w:val="auto"/>
                <w:sz w:val="21"/>
                <w:szCs w:val="21"/>
              </w:rPr>
            </w:pPr>
            <w:r>
              <w:rPr>
                <w:rFonts w:hint="eastAsia"/>
                <w:color w:val="auto"/>
                <w:sz w:val="21"/>
                <w:szCs w:val="21"/>
              </w:rPr>
              <w:t>大</w:t>
            </w:r>
          </w:p>
          <w:p>
            <w:pPr>
              <w:pStyle w:val="274"/>
              <w:spacing w:line="240" w:lineRule="auto"/>
              <w:rPr>
                <w:color w:val="auto"/>
                <w:sz w:val="21"/>
                <w:szCs w:val="21"/>
              </w:rPr>
            </w:pPr>
            <w:r>
              <w:rPr>
                <w:rFonts w:hint="eastAsia"/>
                <w:color w:val="auto"/>
                <w:sz w:val="21"/>
                <w:szCs w:val="21"/>
              </w:rPr>
              <w:t>气</w:t>
            </w:r>
          </w:p>
          <w:p>
            <w:pPr>
              <w:pStyle w:val="274"/>
              <w:spacing w:line="240" w:lineRule="auto"/>
              <w:rPr>
                <w:color w:val="auto"/>
                <w:sz w:val="21"/>
                <w:szCs w:val="21"/>
              </w:rPr>
            </w:pPr>
            <w:r>
              <w:rPr>
                <w:rFonts w:hint="eastAsia"/>
                <w:color w:val="auto"/>
                <w:sz w:val="21"/>
                <w:szCs w:val="21"/>
              </w:rPr>
              <w:t>环</w:t>
            </w:r>
          </w:p>
          <w:p>
            <w:pPr>
              <w:pStyle w:val="274"/>
              <w:spacing w:line="240" w:lineRule="auto"/>
              <w:rPr>
                <w:color w:val="auto"/>
                <w:sz w:val="21"/>
                <w:szCs w:val="21"/>
              </w:rPr>
            </w:pPr>
            <w:r>
              <w:rPr>
                <w:rFonts w:hint="eastAsia"/>
                <w:color w:val="auto"/>
                <w:sz w:val="21"/>
                <w:szCs w:val="21"/>
              </w:rPr>
              <w:t>境</w:t>
            </w:r>
          </w:p>
        </w:tc>
        <w:tc>
          <w:tcPr>
            <w:tcW w:w="1594" w:type="dxa"/>
            <w:noWrap w:val="0"/>
            <w:vAlign w:val="center"/>
          </w:tcPr>
          <w:p>
            <w:pPr>
              <w:pStyle w:val="274"/>
              <w:spacing w:line="240" w:lineRule="auto"/>
              <w:rPr>
                <w:color w:val="auto"/>
                <w:sz w:val="21"/>
                <w:szCs w:val="21"/>
              </w:rPr>
            </w:pPr>
            <w:r>
              <w:rPr>
                <w:rFonts w:hint="eastAsia"/>
                <w:color w:val="auto"/>
                <w:sz w:val="21"/>
                <w:szCs w:val="21"/>
              </w:rPr>
              <w:t>沼气火炬烟气</w:t>
            </w:r>
          </w:p>
        </w:tc>
        <w:tc>
          <w:tcPr>
            <w:tcW w:w="1566" w:type="dxa"/>
            <w:noWrap w:val="0"/>
            <w:vAlign w:val="center"/>
          </w:tcPr>
          <w:p>
            <w:pPr>
              <w:pStyle w:val="274"/>
              <w:spacing w:line="240" w:lineRule="auto"/>
              <w:rPr>
                <w:color w:val="auto"/>
                <w:sz w:val="21"/>
                <w:szCs w:val="21"/>
              </w:rPr>
            </w:pPr>
            <w:r>
              <w:rPr>
                <w:color w:val="auto"/>
                <w:sz w:val="21"/>
                <w:szCs w:val="21"/>
              </w:rPr>
              <w:t>SO</w:t>
            </w:r>
            <w:r>
              <w:rPr>
                <w:color w:val="auto"/>
                <w:sz w:val="21"/>
                <w:szCs w:val="21"/>
                <w:vertAlign w:val="subscript"/>
              </w:rPr>
              <w:t>2</w:t>
            </w:r>
            <w:r>
              <w:rPr>
                <w:rFonts w:hint="eastAsia"/>
                <w:color w:val="auto"/>
                <w:sz w:val="21"/>
                <w:szCs w:val="21"/>
              </w:rPr>
              <w:t>、</w:t>
            </w:r>
            <w:r>
              <w:rPr>
                <w:color w:val="auto"/>
                <w:sz w:val="21"/>
                <w:szCs w:val="21"/>
              </w:rPr>
              <w:t>NOx</w:t>
            </w:r>
          </w:p>
        </w:tc>
        <w:tc>
          <w:tcPr>
            <w:tcW w:w="4990" w:type="dxa"/>
            <w:noWrap w:val="0"/>
            <w:vAlign w:val="center"/>
          </w:tcPr>
          <w:p>
            <w:pPr>
              <w:pStyle w:val="274"/>
              <w:spacing w:line="240" w:lineRule="auto"/>
              <w:rPr>
                <w:color w:val="auto"/>
                <w:sz w:val="21"/>
                <w:szCs w:val="21"/>
              </w:rPr>
            </w:pPr>
            <w:r>
              <w:rPr>
                <w:rFonts w:hint="eastAsia"/>
                <w:color w:val="auto"/>
                <w:sz w:val="21"/>
                <w:szCs w:val="21"/>
              </w:rPr>
              <w:t>沼气脱水、脱硫+食堂燃料或火炬燃烧</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满足《大气污染物综合排放标准》（ GB16297</w:t>
            </w:r>
            <w:r>
              <w:rPr>
                <w:color w:val="auto"/>
                <w:sz w:val="21"/>
                <w:szCs w:val="21"/>
              </w:rPr>
              <w:t>-</w:t>
            </w:r>
            <w:r>
              <w:rPr>
                <w:rFonts w:hint="eastAsia"/>
                <w:color w:val="auto"/>
                <w:sz w:val="21"/>
                <w:szCs w:val="21"/>
              </w:rPr>
              <w:t>1996）表2二级标准的要求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食堂</w:t>
            </w:r>
          </w:p>
        </w:tc>
        <w:tc>
          <w:tcPr>
            <w:tcW w:w="1566" w:type="dxa"/>
            <w:noWrap w:val="0"/>
            <w:vAlign w:val="center"/>
          </w:tcPr>
          <w:p>
            <w:pPr>
              <w:pStyle w:val="274"/>
              <w:spacing w:line="240" w:lineRule="auto"/>
              <w:rPr>
                <w:color w:val="auto"/>
                <w:sz w:val="21"/>
                <w:szCs w:val="21"/>
              </w:rPr>
            </w:pPr>
            <w:r>
              <w:rPr>
                <w:rFonts w:hint="eastAsia"/>
                <w:color w:val="auto"/>
                <w:sz w:val="21"/>
                <w:szCs w:val="21"/>
              </w:rPr>
              <w:t>油烟</w:t>
            </w:r>
          </w:p>
        </w:tc>
        <w:tc>
          <w:tcPr>
            <w:tcW w:w="4990" w:type="dxa"/>
            <w:noWrap w:val="0"/>
            <w:vAlign w:val="center"/>
          </w:tcPr>
          <w:p>
            <w:pPr>
              <w:pStyle w:val="274"/>
              <w:spacing w:line="240" w:lineRule="auto"/>
              <w:rPr>
                <w:color w:val="auto"/>
                <w:sz w:val="21"/>
                <w:szCs w:val="21"/>
              </w:rPr>
            </w:pPr>
            <w:r>
              <w:rPr>
                <w:color w:val="auto"/>
                <w:sz w:val="21"/>
                <w:szCs w:val="21"/>
              </w:rPr>
              <w:t>经油烟罩收集后，再经油烟净化器处理处理（去除率大于</w:t>
            </w:r>
            <w:r>
              <w:rPr>
                <w:rFonts w:hint="eastAsia"/>
                <w:color w:val="auto"/>
                <w:sz w:val="21"/>
                <w:szCs w:val="21"/>
                <w:lang w:val="en-US" w:eastAsia="zh-CN"/>
              </w:rPr>
              <w:t>60</w:t>
            </w:r>
            <w:r>
              <w:rPr>
                <w:color w:val="auto"/>
                <w:sz w:val="21"/>
                <w:szCs w:val="21"/>
              </w:rPr>
              <w:t>%，风机风量约</w:t>
            </w:r>
            <w:r>
              <w:rPr>
                <w:rFonts w:hint="eastAsia"/>
                <w:color w:val="auto"/>
                <w:sz w:val="21"/>
                <w:szCs w:val="21"/>
                <w:lang w:val="en-US" w:eastAsia="zh-CN"/>
              </w:rPr>
              <w:t>3</w:t>
            </w:r>
            <w:r>
              <w:rPr>
                <w:color w:val="auto"/>
                <w:sz w:val="21"/>
                <w:szCs w:val="21"/>
              </w:rPr>
              <w:t>000m</w:t>
            </w:r>
            <w:r>
              <w:rPr>
                <w:color w:val="auto"/>
                <w:sz w:val="21"/>
                <w:szCs w:val="21"/>
                <w:vertAlign w:val="superscript"/>
              </w:rPr>
              <w:t>3</w:t>
            </w:r>
            <w:r>
              <w:rPr>
                <w:color w:val="auto"/>
                <w:sz w:val="21"/>
                <w:szCs w:val="21"/>
              </w:rPr>
              <w:t>/h）</w:t>
            </w:r>
            <w:r>
              <w:rPr>
                <w:rFonts w:hint="eastAsia"/>
                <w:color w:val="auto"/>
                <w:sz w:val="21"/>
                <w:szCs w:val="21"/>
                <w:lang w:val="en-US" w:eastAsia="zh-CN"/>
              </w:rPr>
              <w:t>,</w:t>
            </w:r>
            <w:r>
              <w:rPr>
                <w:color w:val="auto"/>
                <w:sz w:val="21"/>
                <w:szCs w:val="21"/>
              </w:rPr>
              <w:t>由专用内置强制排烟道至食堂楼顶排放</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油烟执行《饮食业油烟排放标准（试行）》（</w:t>
            </w:r>
            <w:r>
              <w:rPr>
                <w:color w:val="auto"/>
                <w:sz w:val="21"/>
                <w:szCs w:val="21"/>
              </w:rPr>
              <w:t>GB18483-2001</w:t>
            </w:r>
            <w:r>
              <w:rPr>
                <w:rFonts w:hint="eastAsia"/>
                <w:color w:val="auto"/>
                <w:sz w:val="21"/>
                <w:szCs w:val="21"/>
              </w:rPr>
              <w:t>）中相关标准，最高允许排放浓度</w:t>
            </w:r>
            <w:r>
              <w:rPr>
                <w:color w:val="auto"/>
                <w:sz w:val="21"/>
                <w:szCs w:val="21"/>
              </w:rPr>
              <w:t>2.0mg/m</w:t>
            </w:r>
            <w:r>
              <w:rPr>
                <w:color w:val="auto"/>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color w:val="auto"/>
                <w:sz w:val="21"/>
                <w:szCs w:val="21"/>
              </w:rPr>
              <w:t>猪舍</w:t>
            </w:r>
            <w:r>
              <w:rPr>
                <w:rFonts w:hint="eastAsia"/>
                <w:color w:val="auto"/>
                <w:sz w:val="21"/>
                <w:szCs w:val="21"/>
                <w:lang w:eastAsia="zh-CN"/>
              </w:rPr>
              <w:t>、</w:t>
            </w:r>
            <w:r>
              <w:rPr>
                <w:rFonts w:hint="eastAsia"/>
                <w:color w:val="auto"/>
                <w:sz w:val="21"/>
                <w:szCs w:val="21"/>
                <w:lang w:val="en-US" w:eastAsia="zh-CN"/>
              </w:rPr>
              <w:t>干粪堆场</w:t>
            </w:r>
          </w:p>
        </w:tc>
        <w:tc>
          <w:tcPr>
            <w:tcW w:w="1566" w:type="dxa"/>
            <w:vMerge w:val="restart"/>
            <w:noWrap w:val="0"/>
            <w:vAlign w:val="center"/>
          </w:tcPr>
          <w:p>
            <w:pPr>
              <w:pStyle w:val="274"/>
              <w:spacing w:line="240" w:lineRule="auto"/>
              <w:rPr>
                <w:color w:val="auto"/>
                <w:sz w:val="21"/>
                <w:szCs w:val="21"/>
              </w:rPr>
            </w:pPr>
            <w:r>
              <w:rPr>
                <w:color w:val="auto"/>
                <w:sz w:val="21"/>
                <w:szCs w:val="21"/>
              </w:rPr>
              <w:t>NH</w:t>
            </w:r>
            <w:r>
              <w:rPr>
                <w:color w:val="auto"/>
                <w:sz w:val="21"/>
                <w:szCs w:val="21"/>
                <w:vertAlign w:val="subscript"/>
              </w:rPr>
              <w:t>3</w:t>
            </w:r>
            <w:r>
              <w:rPr>
                <w:rFonts w:hint="eastAsia"/>
                <w:color w:val="auto"/>
                <w:sz w:val="21"/>
                <w:szCs w:val="21"/>
              </w:rPr>
              <w:t>、</w:t>
            </w: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、臭气浓度</w:t>
            </w:r>
          </w:p>
        </w:tc>
        <w:tc>
          <w:tcPr>
            <w:tcW w:w="4990" w:type="dxa"/>
            <w:noWrap w:val="0"/>
            <w:vAlign w:val="center"/>
          </w:tcPr>
          <w:p>
            <w:pPr>
              <w:pStyle w:val="274"/>
              <w:spacing w:line="240" w:lineRule="auto"/>
              <w:rPr>
                <w:color w:val="auto"/>
                <w:sz w:val="21"/>
                <w:szCs w:val="21"/>
              </w:rPr>
            </w:pPr>
            <w:r>
              <w:rPr>
                <w:rFonts w:hint="eastAsia"/>
                <w:color w:val="auto"/>
                <w:sz w:val="21"/>
                <w:szCs w:val="21"/>
                <w:lang w:val="en-US" w:eastAsia="zh-CN"/>
              </w:rPr>
              <w:t>科学设计日粮，</w:t>
            </w:r>
            <w:r>
              <w:rPr>
                <w:rFonts w:hint="eastAsia"/>
                <w:color w:val="auto"/>
                <w:sz w:val="21"/>
                <w:szCs w:val="21"/>
              </w:rPr>
              <w:t>选用益生菌配方饲料</w:t>
            </w:r>
            <w:r>
              <w:rPr>
                <w:rFonts w:hint="eastAsia"/>
                <w:color w:val="auto"/>
                <w:sz w:val="21"/>
                <w:szCs w:val="21"/>
                <w:lang w:eastAsia="zh-CN"/>
              </w:rPr>
              <w:t>；</w:t>
            </w:r>
            <w:r>
              <w:rPr>
                <w:rFonts w:hint="eastAsia"/>
                <w:color w:val="auto"/>
                <w:sz w:val="21"/>
                <w:szCs w:val="21"/>
                <w:lang w:val="en-US" w:eastAsia="zh-CN"/>
              </w:rPr>
              <w:t>采用干清粪工艺，</w:t>
            </w:r>
            <w:r>
              <w:rPr>
                <w:rFonts w:hint="eastAsia"/>
                <w:color w:val="auto"/>
                <w:sz w:val="21"/>
                <w:szCs w:val="21"/>
                <w:lang w:eastAsia="zh-CN"/>
              </w:rPr>
              <w:t>猪舍、</w:t>
            </w:r>
            <w:r>
              <w:rPr>
                <w:rFonts w:hint="eastAsia"/>
                <w:color w:val="auto"/>
                <w:sz w:val="21"/>
                <w:szCs w:val="21"/>
                <w:lang w:val="en-US" w:eastAsia="zh-CN"/>
              </w:rPr>
              <w:t>干粪堆场及时清运粪污并喷洒除臭剂；加强绿化；污水管道地埋式；猪舍密闭，安装负压通风机，加强舍内通风；保持圈舍清洁卫生</w:t>
            </w:r>
          </w:p>
        </w:tc>
        <w:tc>
          <w:tcPr>
            <w:tcW w:w="4719" w:type="dxa"/>
            <w:gridSpan w:val="3"/>
            <w:vMerge w:val="restart"/>
            <w:noWrap w:val="0"/>
            <w:vAlign w:val="center"/>
          </w:tcPr>
          <w:p>
            <w:pPr>
              <w:pStyle w:val="274"/>
              <w:spacing w:line="240" w:lineRule="auto"/>
              <w:rPr>
                <w:color w:val="auto"/>
                <w:sz w:val="21"/>
                <w:szCs w:val="21"/>
              </w:rPr>
            </w:pPr>
            <w:r>
              <w:rPr>
                <w:color w:val="auto"/>
                <w:sz w:val="21"/>
                <w:szCs w:val="21"/>
              </w:rPr>
              <w:t>NH</w:t>
            </w:r>
            <w:r>
              <w:rPr>
                <w:color w:val="auto"/>
                <w:sz w:val="21"/>
                <w:szCs w:val="21"/>
                <w:vertAlign w:val="subscript"/>
              </w:rPr>
              <w:t>3</w:t>
            </w:r>
            <w:r>
              <w:rPr>
                <w:rFonts w:hint="eastAsia"/>
                <w:color w:val="auto"/>
                <w:sz w:val="21"/>
                <w:szCs w:val="21"/>
              </w:rPr>
              <w:t>、</w:t>
            </w: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执行《恶臭污染物排放标准》（</w:t>
            </w:r>
            <w:r>
              <w:rPr>
                <w:color w:val="auto"/>
                <w:sz w:val="21"/>
                <w:szCs w:val="21"/>
              </w:rPr>
              <w:t>GB14554-93</w:t>
            </w:r>
            <w:r>
              <w:rPr>
                <w:rFonts w:hint="eastAsia"/>
                <w:color w:val="auto"/>
                <w:sz w:val="21"/>
                <w:szCs w:val="21"/>
              </w:rPr>
              <w:t>）表</w:t>
            </w:r>
            <w:r>
              <w:rPr>
                <w:color w:val="auto"/>
                <w:sz w:val="21"/>
                <w:szCs w:val="21"/>
              </w:rPr>
              <w:t>1</w:t>
            </w:r>
            <w:r>
              <w:rPr>
                <w:rFonts w:hint="eastAsia"/>
                <w:color w:val="auto"/>
                <w:sz w:val="21"/>
                <w:szCs w:val="21"/>
              </w:rPr>
              <w:t>恶臭污染物厂界标准值的规定；臭气浓度执行《畜禽养殖</w:t>
            </w:r>
            <w:r>
              <w:rPr>
                <w:color w:val="auto"/>
                <w:sz w:val="21"/>
                <w:szCs w:val="21"/>
              </w:rPr>
              <w:t xml:space="preserve"> </w:t>
            </w:r>
            <w:r>
              <w:rPr>
                <w:rFonts w:hint="eastAsia"/>
                <w:color w:val="auto"/>
                <w:sz w:val="21"/>
                <w:szCs w:val="21"/>
              </w:rPr>
              <w:t>业污染物排放标准》（</w:t>
            </w:r>
            <w:r>
              <w:rPr>
                <w:color w:val="auto"/>
                <w:sz w:val="21"/>
                <w:szCs w:val="21"/>
              </w:rPr>
              <w:t>GB18596-2001</w:t>
            </w:r>
            <w:r>
              <w:rPr>
                <w:rFonts w:hint="eastAsia"/>
                <w:color w:val="auto"/>
                <w:sz w:val="21"/>
                <w:szCs w:val="21"/>
              </w:rPr>
              <w:t>）中表</w:t>
            </w:r>
            <w:r>
              <w:rPr>
                <w:color w:val="auto"/>
                <w:sz w:val="21"/>
                <w:szCs w:val="21"/>
              </w:rPr>
              <w:t>7</w:t>
            </w:r>
            <w:r>
              <w:rPr>
                <w:rFonts w:hint="eastAsia"/>
                <w:color w:val="auto"/>
                <w:sz w:val="21"/>
                <w:szCs w:val="21"/>
              </w:rPr>
              <w:t>集约化畜禽养殖业恶臭污染物排放标准的规定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污水处理区</w:t>
            </w:r>
          </w:p>
        </w:tc>
        <w:tc>
          <w:tcPr>
            <w:tcW w:w="1566" w:type="dxa"/>
            <w:vMerge w:val="continue"/>
            <w:noWrap w:val="0"/>
            <w:vAlign w:val="center"/>
          </w:tcPr>
          <w:p>
            <w:pPr>
              <w:pStyle w:val="274"/>
              <w:spacing w:line="240" w:lineRule="auto"/>
              <w:rPr>
                <w:color w:val="auto"/>
                <w:sz w:val="21"/>
                <w:szCs w:val="21"/>
              </w:rPr>
            </w:pPr>
          </w:p>
        </w:tc>
        <w:tc>
          <w:tcPr>
            <w:tcW w:w="4990" w:type="dxa"/>
            <w:noWrap w:val="0"/>
            <w:vAlign w:val="center"/>
          </w:tcPr>
          <w:p>
            <w:pPr>
              <w:pStyle w:val="274"/>
              <w:spacing w:line="240" w:lineRule="auto"/>
              <w:rPr>
                <w:color w:val="auto"/>
                <w:sz w:val="21"/>
                <w:szCs w:val="21"/>
              </w:rPr>
            </w:pPr>
            <w:r>
              <w:rPr>
                <w:rFonts w:hint="eastAsia"/>
                <w:color w:val="auto"/>
                <w:sz w:val="21"/>
                <w:szCs w:val="21"/>
              </w:rPr>
              <w:t>收集池加盖；黑膜沼气池采取黑膜加盖封闭；</w:t>
            </w:r>
            <w:r>
              <w:rPr>
                <w:rFonts w:hint="eastAsia"/>
                <w:color w:val="auto"/>
                <w:sz w:val="21"/>
                <w:szCs w:val="21"/>
                <w:lang w:eastAsia="zh-CN"/>
              </w:rPr>
              <w:t>沼液暂存池</w:t>
            </w:r>
            <w:r>
              <w:rPr>
                <w:rFonts w:hint="eastAsia"/>
                <w:color w:val="auto"/>
                <w:sz w:val="21"/>
                <w:szCs w:val="21"/>
              </w:rPr>
              <w:t>加盖；恶臭产气区域喷洒除臭剂</w:t>
            </w:r>
          </w:p>
        </w:tc>
        <w:tc>
          <w:tcPr>
            <w:tcW w:w="4719" w:type="dxa"/>
            <w:gridSpan w:val="3"/>
            <w:vMerge w:val="continue"/>
            <w:noWrap w:val="0"/>
            <w:vAlign w:val="center"/>
          </w:tcPr>
          <w:p>
            <w:pPr>
              <w:pStyle w:val="274"/>
              <w:spacing w:line="240" w:lineRule="auto"/>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干粪堆场</w:t>
            </w:r>
          </w:p>
        </w:tc>
        <w:tc>
          <w:tcPr>
            <w:tcW w:w="1566" w:type="dxa"/>
            <w:vMerge w:val="continue"/>
            <w:noWrap w:val="0"/>
            <w:vAlign w:val="center"/>
          </w:tcPr>
          <w:p>
            <w:pPr>
              <w:pStyle w:val="274"/>
              <w:spacing w:line="240" w:lineRule="auto"/>
              <w:rPr>
                <w:color w:val="auto"/>
                <w:sz w:val="21"/>
                <w:szCs w:val="21"/>
              </w:rPr>
            </w:pPr>
          </w:p>
        </w:tc>
        <w:tc>
          <w:tcPr>
            <w:tcW w:w="4990" w:type="dxa"/>
            <w:noWrap w:val="0"/>
            <w:vAlign w:val="center"/>
          </w:tcPr>
          <w:p>
            <w:pPr>
              <w:pStyle w:val="274"/>
              <w:spacing w:line="240" w:lineRule="auto"/>
              <w:rPr>
                <w:color w:val="auto"/>
                <w:sz w:val="21"/>
                <w:szCs w:val="21"/>
              </w:rPr>
            </w:pPr>
            <w:r>
              <w:rPr>
                <w:rFonts w:hint="eastAsia"/>
                <w:color w:val="auto"/>
                <w:sz w:val="21"/>
                <w:szCs w:val="21"/>
              </w:rPr>
              <w:t>喷洒除臭剂</w:t>
            </w:r>
          </w:p>
        </w:tc>
        <w:tc>
          <w:tcPr>
            <w:tcW w:w="4719" w:type="dxa"/>
            <w:gridSpan w:val="3"/>
            <w:vMerge w:val="continue"/>
            <w:noWrap w:val="0"/>
            <w:vAlign w:val="center"/>
          </w:tcPr>
          <w:p>
            <w:pPr>
              <w:pStyle w:val="274"/>
              <w:spacing w:line="240" w:lineRule="auto"/>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color w:val="auto"/>
                <w:sz w:val="21"/>
                <w:szCs w:val="21"/>
              </w:rPr>
              <w:t>发电机废气</w:t>
            </w:r>
          </w:p>
        </w:tc>
        <w:tc>
          <w:tcPr>
            <w:tcW w:w="1566" w:type="dxa"/>
            <w:noWrap w:val="0"/>
            <w:vAlign w:val="center"/>
          </w:tcPr>
          <w:p>
            <w:pPr>
              <w:pStyle w:val="274"/>
              <w:spacing w:line="240" w:lineRule="auto"/>
              <w:rPr>
                <w:color w:val="auto"/>
                <w:sz w:val="21"/>
                <w:szCs w:val="21"/>
              </w:rPr>
            </w:pPr>
            <w:r>
              <w:rPr>
                <w:color w:val="auto"/>
                <w:sz w:val="21"/>
                <w:szCs w:val="21"/>
              </w:rPr>
              <w:t>CO、HC、NOx</w:t>
            </w:r>
          </w:p>
        </w:tc>
        <w:tc>
          <w:tcPr>
            <w:tcW w:w="4990" w:type="dxa"/>
            <w:noWrap w:val="0"/>
            <w:vAlign w:val="center"/>
          </w:tcPr>
          <w:p>
            <w:pPr>
              <w:pStyle w:val="274"/>
              <w:spacing w:line="240" w:lineRule="auto"/>
              <w:rPr>
                <w:color w:val="auto"/>
                <w:sz w:val="21"/>
                <w:szCs w:val="21"/>
              </w:rPr>
            </w:pPr>
            <w:r>
              <w:rPr>
                <w:color w:val="auto"/>
                <w:sz w:val="21"/>
                <w:szCs w:val="21"/>
              </w:rPr>
              <w:t>由自身携带的废气净化装置处理，处理后经抽排风系统抽至</w:t>
            </w:r>
            <w:r>
              <w:rPr>
                <w:rFonts w:hint="eastAsia"/>
                <w:color w:val="auto"/>
                <w:sz w:val="21"/>
                <w:szCs w:val="21"/>
              </w:rPr>
              <w:t>排风口处</w:t>
            </w:r>
            <w:r>
              <w:rPr>
                <w:color w:val="auto"/>
                <w:sz w:val="21"/>
                <w:szCs w:val="21"/>
              </w:rPr>
              <w:t>排放</w:t>
            </w:r>
          </w:p>
        </w:tc>
        <w:tc>
          <w:tcPr>
            <w:tcW w:w="4719" w:type="dxa"/>
            <w:gridSpan w:val="3"/>
            <w:noWrap w:val="0"/>
            <w:vAlign w:val="center"/>
          </w:tcPr>
          <w:p>
            <w:pPr>
              <w:pStyle w:val="274"/>
              <w:spacing w:line="240" w:lineRule="auto"/>
              <w:rPr>
                <w:rFonts w:hint="eastAsia" w:eastAsia="宋体"/>
                <w:color w:val="auto"/>
                <w:sz w:val="21"/>
                <w:szCs w:val="21"/>
                <w:lang w:val="en-US" w:eastAsia="zh-CN"/>
              </w:rPr>
            </w:pPr>
            <w:r>
              <w:rPr>
                <w:rFonts w:hint="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运输车辆</w:t>
            </w:r>
          </w:p>
        </w:tc>
        <w:tc>
          <w:tcPr>
            <w:tcW w:w="1566" w:type="dxa"/>
            <w:noWrap w:val="0"/>
            <w:vAlign w:val="center"/>
          </w:tcPr>
          <w:p>
            <w:pPr>
              <w:pStyle w:val="274"/>
              <w:spacing w:line="240" w:lineRule="auto"/>
              <w:rPr>
                <w:color w:val="auto"/>
                <w:sz w:val="21"/>
                <w:szCs w:val="21"/>
              </w:rPr>
            </w:pPr>
            <w:r>
              <w:rPr>
                <w:rFonts w:hint="eastAsia"/>
                <w:color w:val="auto"/>
                <w:sz w:val="21"/>
                <w:szCs w:val="21"/>
              </w:rPr>
              <w:t>恶臭、尾气</w:t>
            </w:r>
          </w:p>
        </w:tc>
        <w:tc>
          <w:tcPr>
            <w:tcW w:w="4990" w:type="dxa"/>
            <w:noWrap w:val="0"/>
            <w:vAlign w:val="center"/>
          </w:tcPr>
          <w:p>
            <w:pPr>
              <w:pStyle w:val="274"/>
              <w:spacing w:line="240" w:lineRule="auto"/>
              <w:rPr>
                <w:color w:val="auto"/>
                <w:sz w:val="21"/>
                <w:szCs w:val="21"/>
              </w:rPr>
            </w:pPr>
            <w:r>
              <w:rPr>
                <w:rFonts w:hint="eastAsia"/>
                <w:color w:val="auto"/>
                <w:sz w:val="21"/>
                <w:szCs w:val="21"/>
              </w:rPr>
              <w:t>合理安排路线，自由扩散</w:t>
            </w:r>
          </w:p>
        </w:tc>
        <w:tc>
          <w:tcPr>
            <w:tcW w:w="4705" w:type="dxa"/>
            <w:gridSpan w:val="2"/>
            <w:noWrap w:val="0"/>
            <w:vAlign w:val="center"/>
          </w:tcPr>
          <w:p>
            <w:pPr>
              <w:pStyle w:val="274"/>
              <w:spacing w:line="240" w:lineRule="auto"/>
              <w:rPr>
                <w:color w:val="auto"/>
                <w:sz w:val="21"/>
                <w:szCs w:val="21"/>
              </w:rPr>
            </w:pP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restart"/>
            <w:noWrap w:val="0"/>
            <w:vAlign w:val="center"/>
          </w:tcPr>
          <w:p>
            <w:pPr>
              <w:pStyle w:val="274"/>
              <w:spacing w:line="240" w:lineRule="auto"/>
              <w:rPr>
                <w:color w:val="auto"/>
                <w:sz w:val="21"/>
                <w:szCs w:val="21"/>
              </w:rPr>
            </w:pPr>
            <w:r>
              <w:rPr>
                <w:rFonts w:hint="eastAsia"/>
                <w:color w:val="auto"/>
                <w:sz w:val="21"/>
                <w:szCs w:val="21"/>
              </w:rPr>
              <w:t>水环境</w:t>
            </w:r>
          </w:p>
        </w:tc>
        <w:tc>
          <w:tcPr>
            <w:tcW w:w="1594" w:type="dxa"/>
            <w:noWrap w:val="0"/>
            <w:vAlign w:val="center"/>
          </w:tcPr>
          <w:p>
            <w:pPr>
              <w:pStyle w:val="274"/>
              <w:spacing w:line="240" w:lineRule="auto"/>
              <w:rPr>
                <w:color w:val="auto"/>
                <w:sz w:val="21"/>
                <w:szCs w:val="21"/>
              </w:rPr>
            </w:pPr>
            <w:r>
              <w:rPr>
                <w:rFonts w:hint="eastAsia"/>
                <w:color w:val="auto"/>
                <w:sz w:val="21"/>
                <w:szCs w:val="21"/>
              </w:rPr>
              <w:t>猪舍</w:t>
            </w:r>
          </w:p>
        </w:tc>
        <w:tc>
          <w:tcPr>
            <w:tcW w:w="1566" w:type="dxa"/>
            <w:noWrap w:val="0"/>
            <w:vAlign w:val="center"/>
          </w:tcPr>
          <w:p>
            <w:pPr>
              <w:pStyle w:val="274"/>
              <w:spacing w:line="240" w:lineRule="auto"/>
              <w:rPr>
                <w:rFonts w:hint="default" w:eastAsia="宋体"/>
                <w:color w:val="auto"/>
                <w:sz w:val="21"/>
                <w:szCs w:val="21"/>
                <w:lang w:val="en-US" w:eastAsia="zh-CN"/>
              </w:rPr>
            </w:pPr>
            <w:r>
              <w:rPr>
                <w:rFonts w:hint="eastAsia"/>
                <w:color w:val="auto"/>
                <w:sz w:val="21"/>
                <w:szCs w:val="21"/>
              </w:rPr>
              <w:t>猪尿、冲洗废水</w:t>
            </w:r>
            <w:r>
              <w:rPr>
                <w:rFonts w:hint="eastAsia"/>
                <w:color w:val="auto"/>
                <w:sz w:val="21"/>
                <w:szCs w:val="21"/>
                <w:lang w:eastAsia="zh-CN"/>
              </w:rPr>
              <w:t>、</w:t>
            </w:r>
            <w:r>
              <w:rPr>
                <w:rFonts w:hint="eastAsia"/>
                <w:color w:val="auto"/>
                <w:sz w:val="21"/>
                <w:szCs w:val="21"/>
                <w:lang w:val="en-US" w:eastAsia="zh-CN"/>
              </w:rPr>
              <w:t>猪粪脱水</w:t>
            </w:r>
          </w:p>
        </w:tc>
        <w:tc>
          <w:tcPr>
            <w:tcW w:w="4990" w:type="dxa"/>
            <w:vMerge w:val="restart"/>
            <w:noWrap w:val="0"/>
            <w:vAlign w:val="center"/>
          </w:tcPr>
          <w:p>
            <w:pPr>
              <w:pStyle w:val="274"/>
              <w:spacing w:line="240" w:lineRule="auto"/>
              <w:rPr>
                <w:color w:val="auto"/>
                <w:sz w:val="21"/>
                <w:szCs w:val="21"/>
              </w:rPr>
            </w:pPr>
            <w:r>
              <w:rPr>
                <w:rFonts w:hint="eastAsia"/>
                <w:color w:val="auto"/>
                <w:sz w:val="21"/>
                <w:szCs w:val="21"/>
              </w:rPr>
              <w:t>食堂废水经隔油处理后与其它所有污废水全部收集进入收集池（容积为</w:t>
            </w:r>
            <w:r>
              <w:rPr>
                <w:color w:val="auto"/>
                <w:sz w:val="21"/>
                <w:szCs w:val="21"/>
              </w:rPr>
              <w:t>1000</w:t>
            </w:r>
            <w:r>
              <w:rPr>
                <w:rFonts w:hint="eastAsia"/>
                <w:color w:val="auto"/>
                <w:sz w:val="21"/>
                <w:szCs w:val="21"/>
              </w:rPr>
              <w:t>m</w:t>
            </w:r>
            <w:r>
              <w:rPr>
                <w:rFonts w:hint="eastAsia"/>
                <w:color w:val="auto"/>
                <w:sz w:val="21"/>
                <w:szCs w:val="21"/>
                <w:vertAlign w:val="superscript"/>
              </w:rPr>
              <w:t>3</w:t>
            </w:r>
            <w:r>
              <w:rPr>
                <w:rFonts w:hint="eastAsia"/>
                <w:color w:val="auto"/>
                <w:sz w:val="21"/>
                <w:szCs w:val="21"/>
              </w:rPr>
              <w:t>），通过固液分离之后，通过管道送至厂内污水治理区，经过全封闭厌氧塘（黑膜沼气池）厌氧发酵之后，农肥利用；非施肥季节或者雨季，则在场内</w:t>
            </w:r>
            <w:r>
              <w:rPr>
                <w:rFonts w:hint="eastAsia"/>
                <w:color w:val="auto"/>
                <w:sz w:val="21"/>
                <w:szCs w:val="21"/>
                <w:lang w:eastAsia="zh-CN"/>
              </w:rPr>
              <w:t>沼液暂存池</w:t>
            </w:r>
            <w:r>
              <w:rPr>
                <w:rFonts w:hint="eastAsia"/>
                <w:color w:val="auto"/>
                <w:sz w:val="21"/>
                <w:szCs w:val="21"/>
              </w:rPr>
              <w:t>（容积为</w:t>
            </w:r>
            <w:r>
              <w:rPr>
                <w:color w:val="auto"/>
                <w:sz w:val="21"/>
                <w:szCs w:val="21"/>
              </w:rPr>
              <w:t>12</w:t>
            </w:r>
            <w:r>
              <w:rPr>
                <w:rFonts w:hint="eastAsia"/>
                <w:color w:val="auto"/>
                <w:sz w:val="21"/>
                <w:szCs w:val="21"/>
              </w:rPr>
              <w:t>000m</w:t>
            </w:r>
            <w:r>
              <w:rPr>
                <w:rFonts w:hint="eastAsia"/>
                <w:color w:val="auto"/>
                <w:sz w:val="21"/>
                <w:szCs w:val="21"/>
                <w:vertAlign w:val="superscript"/>
              </w:rPr>
              <w:t>3</w:t>
            </w:r>
            <w:r>
              <w:rPr>
                <w:rFonts w:hint="eastAsia"/>
                <w:color w:val="auto"/>
                <w:sz w:val="21"/>
                <w:szCs w:val="21"/>
              </w:rPr>
              <w:t>）暂存。</w:t>
            </w:r>
          </w:p>
        </w:tc>
        <w:tc>
          <w:tcPr>
            <w:tcW w:w="4705" w:type="dxa"/>
            <w:gridSpan w:val="2"/>
            <w:vMerge w:val="restart"/>
            <w:noWrap w:val="0"/>
            <w:vAlign w:val="center"/>
          </w:tcPr>
          <w:p>
            <w:pPr>
              <w:pStyle w:val="274"/>
              <w:spacing w:line="240" w:lineRule="auto"/>
              <w:rPr>
                <w:rFonts w:hint="eastAsia"/>
                <w:color w:val="auto"/>
                <w:sz w:val="21"/>
                <w:szCs w:val="21"/>
              </w:rPr>
            </w:pPr>
            <w:r>
              <w:rPr>
                <w:rFonts w:hint="eastAsia"/>
                <w:color w:val="auto"/>
                <w:sz w:val="21"/>
                <w:szCs w:val="21"/>
              </w:rPr>
              <w:t>满足无害化处理要求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食堂</w:t>
            </w:r>
          </w:p>
        </w:tc>
        <w:tc>
          <w:tcPr>
            <w:tcW w:w="1566" w:type="dxa"/>
            <w:noWrap w:val="0"/>
            <w:vAlign w:val="center"/>
          </w:tcPr>
          <w:p>
            <w:pPr>
              <w:pStyle w:val="274"/>
              <w:spacing w:line="240" w:lineRule="auto"/>
              <w:rPr>
                <w:color w:val="auto"/>
                <w:sz w:val="21"/>
                <w:szCs w:val="21"/>
              </w:rPr>
            </w:pPr>
            <w:r>
              <w:rPr>
                <w:rFonts w:hint="eastAsia"/>
                <w:color w:val="auto"/>
                <w:sz w:val="21"/>
                <w:szCs w:val="21"/>
              </w:rPr>
              <w:t>食堂废水</w:t>
            </w:r>
          </w:p>
        </w:tc>
        <w:tc>
          <w:tcPr>
            <w:tcW w:w="4990" w:type="dxa"/>
            <w:vMerge w:val="continue"/>
            <w:noWrap w:val="0"/>
            <w:vAlign w:val="center"/>
          </w:tcPr>
          <w:p>
            <w:pPr>
              <w:pStyle w:val="274"/>
              <w:spacing w:line="240" w:lineRule="auto"/>
              <w:rPr>
                <w:color w:val="auto"/>
                <w:sz w:val="21"/>
                <w:szCs w:val="21"/>
              </w:rPr>
            </w:pPr>
          </w:p>
        </w:tc>
        <w:tc>
          <w:tcPr>
            <w:tcW w:w="4705" w:type="dxa"/>
            <w:gridSpan w:val="2"/>
            <w:vMerge w:val="continue"/>
            <w:noWrap w:val="0"/>
            <w:vAlign w:val="center"/>
          </w:tcPr>
          <w:p>
            <w:pPr>
              <w:pStyle w:val="274"/>
              <w:spacing w:line="240" w:lineRule="auto"/>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职工生活</w:t>
            </w:r>
          </w:p>
        </w:tc>
        <w:tc>
          <w:tcPr>
            <w:tcW w:w="1566" w:type="dxa"/>
            <w:noWrap w:val="0"/>
            <w:vAlign w:val="center"/>
          </w:tcPr>
          <w:p>
            <w:pPr>
              <w:pStyle w:val="274"/>
              <w:spacing w:line="240" w:lineRule="auto"/>
              <w:rPr>
                <w:color w:val="auto"/>
                <w:sz w:val="21"/>
                <w:szCs w:val="21"/>
              </w:rPr>
            </w:pPr>
            <w:r>
              <w:rPr>
                <w:rFonts w:hint="eastAsia"/>
                <w:color w:val="auto"/>
                <w:sz w:val="21"/>
                <w:szCs w:val="21"/>
              </w:rPr>
              <w:t>生活污水</w:t>
            </w:r>
          </w:p>
        </w:tc>
        <w:tc>
          <w:tcPr>
            <w:tcW w:w="4990" w:type="dxa"/>
            <w:vMerge w:val="continue"/>
            <w:noWrap w:val="0"/>
            <w:vAlign w:val="center"/>
          </w:tcPr>
          <w:p>
            <w:pPr>
              <w:pStyle w:val="274"/>
              <w:spacing w:line="240" w:lineRule="auto"/>
              <w:rPr>
                <w:color w:val="auto"/>
                <w:sz w:val="21"/>
                <w:szCs w:val="21"/>
              </w:rPr>
            </w:pPr>
          </w:p>
        </w:tc>
        <w:tc>
          <w:tcPr>
            <w:tcW w:w="4705" w:type="dxa"/>
            <w:gridSpan w:val="2"/>
            <w:vMerge w:val="continue"/>
            <w:noWrap w:val="0"/>
            <w:vAlign w:val="center"/>
          </w:tcPr>
          <w:p>
            <w:pPr>
              <w:pStyle w:val="274"/>
              <w:spacing w:line="240" w:lineRule="auto"/>
              <w:rPr>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noWrap w:val="0"/>
            <w:vAlign w:val="center"/>
          </w:tcPr>
          <w:p>
            <w:pPr>
              <w:pStyle w:val="274"/>
              <w:spacing w:line="240" w:lineRule="auto"/>
              <w:rPr>
                <w:color w:val="auto"/>
                <w:sz w:val="21"/>
                <w:szCs w:val="21"/>
              </w:rPr>
            </w:pPr>
            <w:r>
              <w:rPr>
                <w:rFonts w:hint="eastAsia"/>
                <w:color w:val="auto"/>
                <w:sz w:val="21"/>
                <w:szCs w:val="21"/>
              </w:rPr>
              <w:t>声环境</w:t>
            </w:r>
          </w:p>
        </w:tc>
        <w:tc>
          <w:tcPr>
            <w:tcW w:w="1594" w:type="dxa"/>
            <w:noWrap w:val="0"/>
            <w:vAlign w:val="center"/>
          </w:tcPr>
          <w:p>
            <w:pPr>
              <w:pStyle w:val="274"/>
              <w:spacing w:line="240" w:lineRule="auto"/>
              <w:rPr>
                <w:color w:val="auto"/>
                <w:sz w:val="21"/>
                <w:szCs w:val="21"/>
              </w:rPr>
            </w:pPr>
            <w:r>
              <w:rPr>
                <w:rFonts w:hint="eastAsia"/>
                <w:color w:val="auto"/>
                <w:sz w:val="21"/>
                <w:szCs w:val="21"/>
              </w:rPr>
              <w:t>猪叫声、风机、水泵等</w:t>
            </w:r>
          </w:p>
        </w:tc>
        <w:tc>
          <w:tcPr>
            <w:tcW w:w="1566" w:type="dxa"/>
            <w:noWrap w:val="0"/>
            <w:vAlign w:val="center"/>
          </w:tcPr>
          <w:p>
            <w:pPr>
              <w:pStyle w:val="274"/>
              <w:spacing w:line="240" w:lineRule="auto"/>
              <w:rPr>
                <w:color w:val="auto"/>
                <w:sz w:val="21"/>
                <w:szCs w:val="21"/>
              </w:rPr>
            </w:pPr>
            <w:r>
              <w:rPr>
                <w:rFonts w:hint="eastAsia"/>
                <w:color w:val="auto"/>
                <w:sz w:val="21"/>
                <w:szCs w:val="21"/>
              </w:rPr>
              <w:t>噪声</w:t>
            </w:r>
          </w:p>
        </w:tc>
        <w:tc>
          <w:tcPr>
            <w:tcW w:w="4990" w:type="dxa"/>
            <w:noWrap w:val="0"/>
            <w:vAlign w:val="center"/>
          </w:tcPr>
          <w:p>
            <w:pPr>
              <w:pStyle w:val="274"/>
              <w:spacing w:line="240" w:lineRule="auto"/>
              <w:rPr>
                <w:color w:val="auto"/>
                <w:sz w:val="21"/>
                <w:szCs w:val="21"/>
              </w:rPr>
            </w:pPr>
            <w:r>
              <w:rPr>
                <w:color w:val="auto"/>
                <w:sz w:val="21"/>
                <w:szCs w:val="21"/>
              </w:rPr>
              <w:t>加装减振垫、墙体隔声、距离衰减；对于 运输车辆合理安排行驶路线，减速慢行、严禁鸣笛</w:t>
            </w:r>
          </w:p>
        </w:tc>
        <w:tc>
          <w:tcPr>
            <w:tcW w:w="4705" w:type="dxa"/>
            <w:gridSpan w:val="2"/>
            <w:noWrap w:val="0"/>
            <w:vAlign w:val="center"/>
          </w:tcPr>
          <w:p>
            <w:pPr>
              <w:pStyle w:val="274"/>
              <w:spacing w:line="240" w:lineRule="auto"/>
              <w:rPr>
                <w:color w:val="auto"/>
                <w:sz w:val="21"/>
                <w:szCs w:val="21"/>
              </w:rPr>
            </w:pPr>
            <w:r>
              <w:rPr>
                <w:rFonts w:hint="eastAsia"/>
                <w:color w:val="auto"/>
                <w:sz w:val="21"/>
                <w:szCs w:val="21"/>
              </w:rPr>
              <w:t>《工业企业厂界环境噪声排放标准》（</w:t>
            </w:r>
            <w:r>
              <w:rPr>
                <w:color w:val="auto"/>
                <w:sz w:val="21"/>
                <w:szCs w:val="21"/>
              </w:rPr>
              <w:t>GB12348-2008</w:t>
            </w:r>
            <w:r>
              <w:rPr>
                <w:rFonts w:hint="eastAsia"/>
                <w:color w:val="auto"/>
                <w:sz w:val="21"/>
                <w:szCs w:val="21"/>
              </w:rPr>
              <w:t>）中</w:t>
            </w:r>
            <w:r>
              <w:rPr>
                <w:color w:val="auto"/>
                <w:sz w:val="21"/>
                <w:szCs w:val="21"/>
              </w:rPr>
              <w:t>2</w:t>
            </w:r>
            <w:r>
              <w:rPr>
                <w:rFonts w:hint="eastAsia"/>
                <w:color w:val="auto"/>
                <w:sz w:val="21"/>
                <w:szCs w:val="21"/>
              </w:rPr>
              <w:t>类：昼间</w:t>
            </w:r>
            <w:r>
              <w:rPr>
                <w:color w:val="auto"/>
                <w:sz w:val="21"/>
                <w:szCs w:val="21"/>
              </w:rPr>
              <w:t>60dB</w:t>
            </w:r>
            <w:r>
              <w:rPr>
                <w:rFonts w:hint="eastAsia"/>
                <w:color w:val="auto"/>
                <w:sz w:val="21"/>
                <w:szCs w:val="21"/>
              </w:rPr>
              <w:t>，夜间</w:t>
            </w:r>
            <w:r>
              <w:rPr>
                <w:color w:val="auto"/>
                <w:sz w:val="21"/>
                <w:szCs w:val="21"/>
              </w:rPr>
              <w:t>50dB</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restart"/>
            <w:noWrap w:val="0"/>
            <w:vAlign w:val="center"/>
          </w:tcPr>
          <w:p>
            <w:pPr>
              <w:pStyle w:val="274"/>
              <w:spacing w:line="240" w:lineRule="auto"/>
              <w:rPr>
                <w:color w:val="auto"/>
                <w:sz w:val="21"/>
                <w:szCs w:val="21"/>
              </w:rPr>
            </w:pPr>
            <w:r>
              <w:rPr>
                <w:rFonts w:hint="eastAsia"/>
                <w:color w:val="auto"/>
                <w:sz w:val="21"/>
                <w:szCs w:val="21"/>
              </w:rPr>
              <w:t>固体废物</w:t>
            </w:r>
          </w:p>
        </w:tc>
        <w:tc>
          <w:tcPr>
            <w:tcW w:w="1594" w:type="dxa"/>
            <w:noWrap w:val="0"/>
            <w:vAlign w:val="center"/>
          </w:tcPr>
          <w:p>
            <w:pPr>
              <w:pStyle w:val="274"/>
              <w:spacing w:line="240" w:lineRule="auto"/>
              <w:rPr>
                <w:color w:val="auto"/>
                <w:sz w:val="21"/>
                <w:szCs w:val="21"/>
              </w:rPr>
            </w:pPr>
            <w:r>
              <w:rPr>
                <w:rFonts w:hint="eastAsia"/>
                <w:color w:val="auto"/>
                <w:sz w:val="21"/>
                <w:szCs w:val="21"/>
              </w:rPr>
              <w:t>猪舍</w:t>
            </w:r>
          </w:p>
        </w:tc>
        <w:tc>
          <w:tcPr>
            <w:tcW w:w="1566" w:type="dxa"/>
            <w:vMerge w:val="restart"/>
            <w:noWrap w:val="0"/>
            <w:vAlign w:val="center"/>
          </w:tcPr>
          <w:p>
            <w:pPr>
              <w:pStyle w:val="274"/>
              <w:spacing w:line="240" w:lineRule="auto"/>
              <w:rPr>
                <w:rFonts w:hint="eastAsia"/>
                <w:color w:val="auto"/>
                <w:sz w:val="21"/>
                <w:szCs w:val="21"/>
              </w:rPr>
            </w:pPr>
            <w:r>
              <w:rPr>
                <w:rFonts w:hint="eastAsia"/>
                <w:color w:val="auto"/>
                <w:sz w:val="21"/>
                <w:szCs w:val="21"/>
                <w:lang w:val="zh-CN"/>
              </w:rPr>
              <w:t>猪粪污泥（沼渣）</w:t>
            </w:r>
          </w:p>
        </w:tc>
        <w:tc>
          <w:tcPr>
            <w:tcW w:w="4990" w:type="dxa"/>
            <w:vMerge w:val="restart"/>
            <w:noWrap w:val="0"/>
            <w:vAlign w:val="center"/>
          </w:tcPr>
          <w:p>
            <w:pPr>
              <w:pStyle w:val="274"/>
              <w:spacing w:line="240" w:lineRule="auto"/>
              <w:rPr>
                <w:color w:val="auto"/>
                <w:sz w:val="21"/>
                <w:szCs w:val="21"/>
              </w:rPr>
            </w:pPr>
            <w:r>
              <w:rPr>
                <w:rFonts w:hint="eastAsia"/>
                <w:color w:val="auto"/>
                <w:sz w:val="21"/>
                <w:szCs w:val="21"/>
              </w:rPr>
              <w:t>干粪堆场临时堆存，定期运至专门的堆肥厂进行综合利用</w:t>
            </w:r>
          </w:p>
        </w:tc>
        <w:tc>
          <w:tcPr>
            <w:tcW w:w="4705" w:type="dxa"/>
            <w:gridSpan w:val="2"/>
            <w:vMerge w:val="restart"/>
            <w:noWrap w:val="0"/>
            <w:vAlign w:val="center"/>
          </w:tcPr>
          <w:p>
            <w:pPr>
              <w:pStyle w:val="274"/>
              <w:spacing w:line="240" w:lineRule="auto"/>
              <w:rPr>
                <w:color w:val="auto"/>
                <w:sz w:val="21"/>
                <w:szCs w:val="21"/>
              </w:rPr>
            </w:pPr>
            <w:r>
              <w:rPr>
                <w:rFonts w:hint="eastAsia"/>
                <w:color w:val="auto"/>
                <w:sz w:val="21"/>
                <w:szCs w:val="21"/>
              </w:rPr>
              <w:t>综合利用（无外排）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rFonts w:hint="eastAsia"/>
                <w:color w:val="auto"/>
                <w:sz w:val="21"/>
                <w:szCs w:val="21"/>
              </w:rPr>
            </w:pPr>
          </w:p>
        </w:tc>
        <w:tc>
          <w:tcPr>
            <w:tcW w:w="1594" w:type="dxa"/>
            <w:noWrap w:val="0"/>
            <w:vAlign w:val="center"/>
          </w:tcPr>
          <w:p>
            <w:pPr>
              <w:pStyle w:val="274"/>
              <w:spacing w:line="240" w:lineRule="auto"/>
              <w:rPr>
                <w:rFonts w:hint="eastAsia"/>
                <w:color w:val="auto"/>
                <w:sz w:val="21"/>
                <w:szCs w:val="21"/>
              </w:rPr>
            </w:pPr>
            <w:r>
              <w:rPr>
                <w:rFonts w:hint="eastAsia"/>
                <w:color w:val="auto"/>
                <w:sz w:val="21"/>
                <w:szCs w:val="21"/>
              </w:rPr>
              <w:t>沼气池</w:t>
            </w:r>
          </w:p>
        </w:tc>
        <w:tc>
          <w:tcPr>
            <w:tcW w:w="1566" w:type="dxa"/>
            <w:vMerge w:val="continue"/>
            <w:noWrap w:val="0"/>
            <w:vAlign w:val="center"/>
          </w:tcPr>
          <w:p>
            <w:pPr>
              <w:pStyle w:val="274"/>
              <w:spacing w:line="240" w:lineRule="auto"/>
              <w:rPr>
                <w:rFonts w:hint="eastAsia"/>
                <w:color w:val="auto"/>
                <w:sz w:val="21"/>
                <w:szCs w:val="21"/>
              </w:rPr>
            </w:pPr>
          </w:p>
        </w:tc>
        <w:tc>
          <w:tcPr>
            <w:tcW w:w="4990" w:type="dxa"/>
            <w:vMerge w:val="continue"/>
            <w:noWrap w:val="0"/>
            <w:vAlign w:val="center"/>
          </w:tcPr>
          <w:p>
            <w:pPr>
              <w:pStyle w:val="274"/>
              <w:spacing w:line="240" w:lineRule="auto"/>
              <w:rPr>
                <w:rFonts w:hint="eastAsia"/>
                <w:color w:val="auto"/>
                <w:sz w:val="21"/>
                <w:szCs w:val="21"/>
              </w:rPr>
            </w:pPr>
          </w:p>
        </w:tc>
        <w:tc>
          <w:tcPr>
            <w:tcW w:w="4705" w:type="dxa"/>
            <w:gridSpan w:val="2"/>
            <w:vMerge w:val="continue"/>
            <w:noWrap w:val="0"/>
            <w:vAlign w:val="center"/>
          </w:tcPr>
          <w:p>
            <w:pPr>
              <w:pStyle w:val="274"/>
              <w:spacing w:line="240" w:lineRule="auto"/>
              <w:rPr>
                <w:rFonts w:hint="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猪舍</w:t>
            </w:r>
          </w:p>
        </w:tc>
        <w:tc>
          <w:tcPr>
            <w:tcW w:w="1566" w:type="dxa"/>
            <w:noWrap w:val="0"/>
            <w:vAlign w:val="center"/>
          </w:tcPr>
          <w:p>
            <w:pPr>
              <w:pStyle w:val="274"/>
              <w:spacing w:line="240" w:lineRule="auto"/>
              <w:rPr>
                <w:color w:val="auto"/>
                <w:sz w:val="21"/>
                <w:szCs w:val="21"/>
              </w:rPr>
            </w:pPr>
            <w:r>
              <w:rPr>
                <w:rFonts w:hint="eastAsia"/>
                <w:color w:val="auto"/>
                <w:sz w:val="21"/>
                <w:szCs w:val="21"/>
              </w:rPr>
              <w:t>病死猪</w:t>
            </w:r>
          </w:p>
        </w:tc>
        <w:tc>
          <w:tcPr>
            <w:tcW w:w="4990" w:type="dxa"/>
            <w:noWrap w:val="0"/>
            <w:vAlign w:val="center"/>
          </w:tcPr>
          <w:p>
            <w:pPr>
              <w:pStyle w:val="274"/>
              <w:spacing w:line="240" w:lineRule="auto"/>
              <w:rPr>
                <w:color w:val="auto"/>
                <w:sz w:val="21"/>
                <w:szCs w:val="21"/>
              </w:rPr>
            </w:pPr>
            <w:r>
              <w:rPr>
                <w:rFonts w:hint="eastAsia"/>
                <w:color w:val="auto"/>
                <w:sz w:val="21"/>
                <w:szCs w:val="21"/>
              </w:rPr>
              <w:t>委托三台县盛德祥生物科技有限公司处理</w:t>
            </w:r>
          </w:p>
        </w:tc>
        <w:tc>
          <w:tcPr>
            <w:tcW w:w="4705" w:type="dxa"/>
            <w:gridSpan w:val="2"/>
            <w:noWrap w:val="0"/>
            <w:vAlign w:val="center"/>
          </w:tcPr>
          <w:p>
            <w:pPr>
              <w:pStyle w:val="274"/>
              <w:spacing w:line="240" w:lineRule="auto"/>
              <w:rPr>
                <w:color w:val="auto"/>
                <w:sz w:val="21"/>
                <w:szCs w:val="21"/>
              </w:rPr>
            </w:pPr>
            <w:r>
              <w:rPr>
                <w:rFonts w:hint="eastAsia"/>
                <w:color w:val="auto"/>
                <w:sz w:val="21"/>
                <w:szCs w:val="21"/>
              </w:rPr>
              <w:t>农业部《病死及病害动物无害化处理技术规范》中相关规定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猪舍</w:t>
            </w:r>
          </w:p>
        </w:tc>
        <w:tc>
          <w:tcPr>
            <w:tcW w:w="1566" w:type="dxa"/>
            <w:noWrap w:val="0"/>
            <w:vAlign w:val="center"/>
          </w:tcPr>
          <w:p>
            <w:pPr>
              <w:pStyle w:val="274"/>
              <w:spacing w:line="240" w:lineRule="auto"/>
              <w:rPr>
                <w:color w:val="auto"/>
                <w:sz w:val="21"/>
                <w:szCs w:val="21"/>
              </w:rPr>
            </w:pPr>
            <w:r>
              <w:rPr>
                <w:rFonts w:hint="eastAsia"/>
                <w:color w:val="auto"/>
                <w:sz w:val="21"/>
                <w:szCs w:val="21"/>
              </w:rPr>
              <w:t>畜禽医疗废物</w:t>
            </w:r>
          </w:p>
        </w:tc>
        <w:tc>
          <w:tcPr>
            <w:tcW w:w="4990" w:type="dxa"/>
            <w:noWrap w:val="0"/>
            <w:vAlign w:val="center"/>
          </w:tcPr>
          <w:p>
            <w:pPr>
              <w:pStyle w:val="274"/>
              <w:spacing w:line="240" w:lineRule="auto"/>
              <w:rPr>
                <w:color w:val="auto"/>
                <w:sz w:val="21"/>
                <w:szCs w:val="21"/>
              </w:rPr>
            </w:pPr>
            <w:r>
              <w:rPr>
                <w:rFonts w:hint="eastAsia"/>
                <w:color w:val="auto"/>
                <w:sz w:val="21"/>
                <w:szCs w:val="21"/>
              </w:rPr>
              <w:t>危废暂存间收集，交由具有相应资质类别的危险废物</w:t>
            </w:r>
            <w:r>
              <w:rPr>
                <w:color w:val="auto"/>
                <w:sz w:val="21"/>
                <w:szCs w:val="21"/>
              </w:rPr>
              <w:t>处置单位进行处置</w:t>
            </w:r>
          </w:p>
        </w:tc>
        <w:tc>
          <w:tcPr>
            <w:tcW w:w="4705" w:type="dxa"/>
            <w:gridSpan w:val="2"/>
            <w:noWrap w:val="0"/>
            <w:vAlign w:val="center"/>
          </w:tcPr>
          <w:p>
            <w:pPr>
              <w:pStyle w:val="274"/>
              <w:spacing w:line="240" w:lineRule="auto"/>
              <w:rPr>
                <w:color w:val="auto"/>
                <w:sz w:val="21"/>
                <w:szCs w:val="21"/>
              </w:rPr>
            </w:pPr>
            <w:r>
              <w:rPr>
                <w:rFonts w:hint="eastAsia"/>
                <w:color w:val="auto"/>
                <w:sz w:val="21"/>
                <w:szCs w:val="21"/>
              </w:rPr>
              <w:t>《危险废物贮存污染控制标准》（</w:t>
            </w:r>
            <w:r>
              <w:rPr>
                <w:color w:val="auto"/>
                <w:sz w:val="21"/>
                <w:szCs w:val="21"/>
              </w:rPr>
              <w:t>GB18597-2001</w:t>
            </w:r>
            <w:r>
              <w:rPr>
                <w:rFonts w:hint="eastAsia"/>
                <w:color w:val="auto"/>
                <w:sz w:val="21"/>
                <w:szCs w:val="21"/>
              </w:rPr>
              <w:t>）（</w:t>
            </w:r>
            <w:r>
              <w:rPr>
                <w:color w:val="auto"/>
                <w:sz w:val="21"/>
                <w:szCs w:val="21"/>
              </w:rPr>
              <w:t>2013</w:t>
            </w:r>
            <w:r>
              <w:rPr>
                <w:rFonts w:hint="eastAsia"/>
                <w:color w:val="auto"/>
                <w:sz w:val="21"/>
                <w:szCs w:val="21"/>
              </w:rPr>
              <w:t>年修改单）</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生产区</w:t>
            </w:r>
          </w:p>
        </w:tc>
        <w:tc>
          <w:tcPr>
            <w:tcW w:w="1566" w:type="dxa"/>
            <w:noWrap w:val="0"/>
            <w:vAlign w:val="center"/>
          </w:tcPr>
          <w:p>
            <w:pPr>
              <w:pStyle w:val="274"/>
              <w:spacing w:line="240" w:lineRule="auto"/>
              <w:rPr>
                <w:color w:val="auto"/>
                <w:sz w:val="21"/>
                <w:szCs w:val="21"/>
              </w:rPr>
            </w:pPr>
            <w:r>
              <w:rPr>
                <w:rFonts w:hint="eastAsia"/>
                <w:color w:val="auto"/>
                <w:sz w:val="21"/>
                <w:szCs w:val="21"/>
              </w:rPr>
              <w:t>废包装材料</w:t>
            </w:r>
          </w:p>
        </w:tc>
        <w:tc>
          <w:tcPr>
            <w:tcW w:w="4990" w:type="dxa"/>
            <w:noWrap w:val="0"/>
            <w:vAlign w:val="center"/>
          </w:tcPr>
          <w:p>
            <w:pPr>
              <w:pStyle w:val="274"/>
              <w:spacing w:line="240" w:lineRule="auto"/>
              <w:rPr>
                <w:color w:val="auto"/>
                <w:sz w:val="21"/>
                <w:szCs w:val="21"/>
              </w:rPr>
            </w:pPr>
            <w:r>
              <w:rPr>
                <w:color w:val="auto"/>
                <w:sz w:val="21"/>
                <w:szCs w:val="21"/>
              </w:rPr>
              <w:t>统一收集后送至废品回收站收购</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综合利用（无外排）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rFonts w:hint="eastAsia"/>
                <w:color w:val="auto"/>
                <w:sz w:val="21"/>
                <w:szCs w:val="21"/>
              </w:rPr>
            </w:pPr>
            <w:r>
              <w:rPr>
                <w:rFonts w:hint="eastAsia"/>
                <w:color w:val="auto"/>
                <w:sz w:val="21"/>
                <w:szCs w:val="21"/>
              </w:rPr>
              <w:t>生活区</w:t>
            </w:r>
          </w:p>
        </w:tc>
        <w:tc>
          <w:tcPr>
            <w:tcW w:w="1566" w:type="dxa"/>
            <w:noWrap w:val="0"/>
            <w:vAlign w:val="center"/>
          </w:tcPr>
          <w:p>
            <w:pPr>
              <w:pStyle w:val="110"/>
              <w:spacing w:line="240" w:lineRule="auto"/>
              <w:ind w:firstLine="0" w:firstLineChars="0"/>
              <w:rPr>
                <w:rFonts w:hint="eastAsia"/>
                <w:color w:val="auto"/>
                <w:sz w:val="21"/>
                <w:szCs w:val="21"/>
              </w:rPr>
            </w:pPr>
            <w:r>
              <w:rPr>
                <w:rFonts w:hint="eastAsia"/>
                <w:color w:val="auto"/>
                <w:sz w:val="21"/>
                <w:szCs w:val="21"/>
              </w:rPr>
              <w:t>餐厨垃圾</w:t>
            </w:r>
          </w:p>
        </w:tc>
        <w:tc>
          <w:tcPr>
            <w:tcW w:w="4990" w:type="dxa"/>
            <w:noWrap w:val="0"/>
            <w:vAlign w:val="center"/>
          </w:tcPr>
          <w:p>
            <w:pPr>
              <w:pStyle w:val="110"/>
              <w:spacing w:line="240" w:lineRule="auto"/>
              <w:ind w:firstLine="0" w:firstLineChars="0"/>
              <w:rPr>
                <w:color w:val="auto"/>
                <w:sz w:val="21"/>
                <w:szCs w:val="21"/>
              </w:rPr>
            </w:pPr>
            <w:r>
              <w:rPr>
                <w:rFonts w:hint="eastAsia"/>
                <w:color w:val="auto"/>
                <w:sz w:val="21"/>
                <w:szCs w:val="21"/>
              </w:rPr>
              <w:t>委托餐厨垃圾收运单位收运、处理</w:t>
            </w:r>
          </w:p>
        </w:tc>
        <w:tc>
          <w:tcPr>
            <w:tcW w:w="4719" w:type="dxa"/>
            <w:gridSpan w:val="3"/>
            <w:noWrap w:val="0"/>
            <w:vAlign w:val="center"/>
          </w:tcPr>
          <w:p>
            <w:pPr>
              <w:pStyle w:val="274"/>
              <w:spacing w:line="240" w:lineRule="auto"/>
              <w:rPr>
                <w:rFonts w:hint="eastAsia"/>
                <w:color w:val="auto"/>
                <w:sz w:val="21"/>
                <w:szCs w:val="21"/>
              </w:rPr>
            </w:pPr>
            <w:r>
              <w:rPr>
                <w:rFonts w:hint="eastAsia"/>
                <w:color w:val="auto"/>
                <w:sz w:val="21"/>
                <w:szCs w:val="21"/>
              </w:rPr>
              <w:t>合理处置，不外排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生活区</w:t>
            </w:r>
          </w:p>
        </w:tc>
        <w:tc>
          <w:tcPr>
            <w:tcW w:w="1566" w:type="dxa"/>
            <w:noWrap w:val="0"/>
            <w:vAlign w:val="center"/>
          </w:tcPr>
          <w:p>
            <w:pPr>
              <w:pStyle w:val="274"/>
              <w:spacing w:line="240" w:lineRule="auto"/>
              <w:rPr>
                <w:color w:val="auto"/>
                <w:sz w:val="21"/>
                <w:szCs w:val="21"/>
              </w:rPr>
            </w:pPr>
            <w:r>
              <w:rPr>
                <w:rFonts w:hint="eastAsia"/>
                <w:color w:val="auto"/>
                <w:sz w:val="21"/>
                <w:szCs w:val="21"/>
              </w:rPr>
              <w:t>生活垃圾</w:t>
            </w:r>
          </w:p>
        </w:tc>
        <w:tc>
          <w:tcPr>
            <w:tcW w:w="4990" w:type="dxa"/>
            <w:noWrap w:val="0"/>
            <w:vAlign w:val="center"/>
          </w:tcPr>
          <w:p>
            <w:pPr>
              <w:pStyle w:val="274"/>
              <w:spacing w:line="240" w:lineRule="auto"/>
              <w:rPr>
                <w:color w:val="auto"/>
                <w:sz w:val="21"/>
                <w:szCs w:val="21"/>
              </w:rPr>
            </w:pPr>
            <w:r>
              <w:rPr>
                <w:color w:val="auto"/>
                <w:sz w:val="21"/>
                <w:szCs w:val="21"/>
              </w:rPr>
              <w:t>袋装收集后暂存于生活垃圾暂存间，由环卫部门统一清运处置</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合理处置，不外排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vMerge w:val="continue"/>
            <w:noWrap w:val="0"/>
            <w:vAlign w:val="center"/>
          </w:tcPr>
          <w:p>
            <w:pPr>
              <w:pStyle w:val="274"/>
              <w:spacing w:line="240" w:lineRule="auto"/>
              <w:rPr>
                <w:color w:val="auto"/>
                <w:sz w:val="21"/>
                <w:szCs w:val="21"/>
              </w:rPr>
            </w:pPr>
          </w:p>
        </w:tc>
        <w:tc>
          <w:tcPr>
            <w:tcW w:w="1594" w:type="dxa"/>
            <w:noWrap w:val="0"/>
            <w:vAlign w:val="center"/>
          </w:tcPr>
          <w:p>
            <w:pPr>
              <w:pStyle w:val="274"/>
              <w:spacing w:line="240" w:lineRule="auto"/>
              <w:rPr>
                <w:color w:val="auto"/>
                <w:sz w:val="21"/>
                <w:szCs w:val="21"/>
              </w:rPr>
            </w:pPr>
            <w:r>
              <w:rPr>
                <w:rFonts w:hint="eastAsia"/>
                <w:color w:val="auto"/>
                <w:sz w:val="21"/>
                <w:szCs w:val="21"/>
              </w:rPr>
              <w:t>污水处理区（沼气利用）</w:t>
            </w:r>
          </w:p>
        </w:tc>
        <w:tc>
          <w:tcPr>
            <w:tcW w:w="1566" w:type="dxa"/>
            <w:noWrap w:val="0"/>
            <w:vAlign w:val="center"/>
          </w:tcPr>
          <w:p>
            <w:pPr>
              <w:pStyle w:val="274"/>
              <w:spacing w:line="240" w:lineRule="auto"/>
              <w:rPr>
                <w:color w:val="auto"/>
                <w:sz w:val="21"/>
                <w:szCs w:val="21"/>
              </w:rPr>
            </w:pPr>
            <w:r>
              <w:rPr>
                <w:rFonts w:hint="eastAsia"/>
                <w:color w:val="auto"/>
                <w:sz w:val="21"/>
                <w:szCs w:val="21"/>
              </w:rPr>
              <w:t>废脱硫剂</w:t>
            </w:r>
          </w:p>
        </w:tc>
        <w:tc>
          <w:tcPr>
            <w:tcW w:w="4990" w:type="dxa"/>
            <w:noWrap w:val="0"/>
            <w:vAlign w:val="center"/>
          </w:tcPr>
          <w:p>
            <w:pPr>
              <w:pStyle w:val="274"/>
              <w:spacing w:line="240" w:lineRule="auto"/>
              <w:rPr>
                <w:color w:val="auto"/>
                <w:sz w:val="21"/>
                <w:szCs w:val="21"/>
              </w:rPr>
            </w:pPr>
            <w:r>
              <w:rPr>
                <w:rFonts w:hint="eastAsia"/>
                <w:color w:val="auto"/>
                <w:sz w:val="21"/>
                <w:szCs w:val="21"/>
              </w:rPr>
              <w:t>交由原厂家回收再利用</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合理处置，不外排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wBefore w:w="0" w:type="auto"/>
          <w:wAfter w:w="0" w:type="auto"/>
          <w:trHeight w:val="340" w:hRule="atLeast"/>
          <w:jc w:val="center"/>
        </w:trPr>
        <w:tc>
          <w:tcPr>
            <w:tcW w:w="1133" w:type="dxa"/>
            <w:noWrap w:val="0"/>
            <w:vAlign w:val="center"/>
          </w:tcPr>
          <w:p>
            <w:pPr>
              <w:pStyle w:val="274"/>
              <w:spacing w:line="240" w:lineRule="auto"/>
              <w:rPr>
                <w:color w:val="auto"/>
                <w:sz w:val="21"/>
                <w:szCs w:val="21"/>
              </w:rPr>
            </w:pPr>
            <w:r>
              <w:rPr>
                <w:rFonts w:hint="eastAsia"/>
                <w:color w:val="auto"/>
                <w:sz w:val="21"/>
                <w:szCs w:val="21"/>
              </w:rPr>
              <w:t>地下水</w:t>
            </w:r>
          </w:p>
        </w:tc>
        <w:tc>
          <w:tcPr>
            <w:tcW w:w="1594" w:type="dxa"/>
            <w:noWrap w:val="0"/>
            <w:vAlign w:val="center"/>
          </w:tcPr>
          <w:p>
            <w:pPr>
              <w:pStyle w:val="274"/>
              <w:spacing w:line="240" w:lineRule="auto"/>
              <w:rPr>
                <w:color w:val="auto"/>
                <w:sz w:val="21"/>
                <w:szCs w:val="21"/>
              </w:rPr>
            </w:pPr>
            <w:r>
              <w:rPr>
                <w:rFonts w:hint="eastAsia"/>
                <w:color w:val="auto"/>
                <w:sz w:val="21"/>
                <w:szCs w:val="21"/>
              </w:rPr>
              <w:t>全场</w:t>
            </w:r>
          </w:p>
        </w:tc>
        <w:tc>
          <w:tcPr>
            <w:tcW w:w="1566" w:type="dxa"/>
            <w:noWrap w:val="0"/>
            <w:vAlign w:val="center"/>
          </w:tcPr>
          <w:p>
            <w:pPr>
              <w:pStyle w:val="274"/>
              <w:spacing w:line="240" w:lineRule="auto"/>
              <w:rPr>
                <w:color w:val="auto"/>
                <w:sz w:val="21"/>
                <w:szCs w:val="21"/>
              </w:rPr>
            </w:pPr>
            <w:r>
              <w:rPr>
                <w:rFonts w:hint="eastAsia"/>
                <w:color w:val="auto"/>
                <w:sz w:val="21"/>
                <w:szCs w:val="21"/>
              </w:rPr>
              <w:t>生产废水、粪便、畜禽医疗废物等固废</w:t>
            </w:r>
          </w:p>
        </w:tc>
        <w:tc>
          <w:tcPr>
            <w:tcW w:w="4990" w:type="dxa"/>
            <w:noWrap w:val="0"/>
            <w:vAlign w:val="center"/>
          </w:tcPr>
          <w:p>
            <w:pPr>
              <w:pStyle w:val="274"/>
              <w:spacing w:line="240" w:lineRule="auto"/>
              <w:rPr>
                <w:color w:val="auto"/>
                <w:sz w:val="21"/>
                <w:szCs w:val="21"/>
              </w:rPr>
            </w:pPr>
            <w:r>
              <w:rPr>
                <w:rFonts w:hint="eastAsia"/>
                <w:color w:val="auto"/>
                <w:sz w:val="21"/>
                <w:szCs w:val="21"/>
                <w:lang w:val="en-US" w:eastAsia="zh-CN"/>
              </w:rPr>
              <w:t>干粪堆场</w:t>
            </w:r>
            <w:r>
              <w:rPr>
                <w:rFonts w:hint="eastAsia"/>
                <w:color w:val="auto"/>
                <w:sz w:val="21"/>
                <w:szCs w:val="21"/>
              </w:rPr>
              <w:t>、危废暂存间、污水处理系统</w:t>
            </w:r>
            <w:r>
              <w:rPr>
                <w:rFonts w:hint="eastAsia"/>
                <w:color w:val="auto"/>
                <w:sz w:val="21"/>
                <w:szCs w:val="21"/>
                <w:lang w:eastAsia="zh-CN"/>
              </w:rPr>
              <w:t>（</w:t>
            </w:r>
            <w:r>
              <w:rPr>
                <w:rFonts w:hint="eastAsia"/>
                <w:color w:val="auto"/>
                <w:sz w:val="21"/>
                <w:szCs w:val="21"/>
                <w:lang w:val="en-US" w:eastAsia="zh-CN"/>
              </w:rPr>
              <w:t>收集池、沼气池、沼液暂存池、田间暂存池、污水管</w:t>
            </w:r>
            <w:r>
              <w:rPr>
                <w:rFonts w:hint="eastAsia"/>
                <w:color w:val="auto"/>
                <w:sz w:val="21"/>
                <w:szCs w:val="21"/>
                <w:lang w:eastAsia="zh-CN"/>
              </w:rPr>
              <w:t>）</w:t>
            </w:r>
            <w:r>
              <w:rPr>
                <w:rFonts w:hint="eastAsia"/>
                <w:color w:val="auto"/>
                <w:sz w:val="21"/>
                <w:szCs w:val="21"/>
              </w:rPr>
              <w:t>、发电机房（含储油间）</w:t>
            </w:r>
            <w:r>
              <w:rPr>
                <w:rFonts w:hint="eastAsia"/>
                <w:color w:val="auto"/>
                <w:sz w:val="21"/>
                <w:szCs w:val="21"/>
                <w:lang w:eastAsia="zh-CN"/>
              </w:rPr>
              <w:t>、防疫室</w:t>
            </w:r>
            <w:r>
              <w:rPr>
                <w:color w:val="auto"/>
                <w:sz w:val="21"/>
                <w:szCs w:val="21"/>
              </w:rPr>
              <w:t>等进行重点防渗</w:t>
            </w:r>
            <w:r>
              <w:rPr>
                <w:rFonts w:hint="eastAsia"/>
                <w:color w:val="auto"/>
                <w:sz w:val="21"/>
                <w:szCs w:val="21"/>
              </w:rPr>
              <w:t>处理；</w:t>
            </w:r>
            <w:r>
              <w:rPr>
                <w:rFonts w:hint="eastAsia"/>
                <w:color w:val="auto"/>
                <w:sz w:val="21"/>
                <w:szCs w:val="21"/>
                <w:lang w:val="en-US" w:eastAsia="zh-CN"/>
              </w:rPr>
              <w:t>猪舍、</w:t>
            </w:r>
            <w:r>
              <w:rPr>
                <w:rFonts w:hint="eastAsia"/>
                <w:color w:val="auto"/>
                <w:sz w:val="21"/>
                <w:szCs w:val="21"/>
                <w:lang w:eastAsia="zh-CN"/>
              </w:rPr>
              <w:t>消毒区、卫生间</w:t>
            </w:r>
            <w:r>
              <w:rPr>
                <w:rFonts w:hint="eastAsia"/>
                <w:color w:val="auto"/>
                <w:sz w:val="21"/>
                <w:szCs w:val="21"/>
              </w:rPr>
              <w:t>等需采取一般防渗；</w:t>
            </w:r>
            <w:r>
              <w:rPr>
                <w:rStyle w:val="178"/>
                <w:rFonts w:hint="default" w:ascii="Times New Roman" w:hAnsi="Times New Roman"/>
                <w:color w:val="auto"/>
                <w:sz w:val="21"/>
                <w:szCs w:val="21"/>
              </w:rPr>
              <w:t>办公生活区、场内道路地面</w:t>
            </w:r>
            <w:r>
              <w:rPr>
                <w:rFonts w:hint="eastAsia"/>
                <w:color w:val="auto"/>
                <w:sz w:val="21"/>
                <w:szCs w:val="21"/>
              </w:rPr>
              <w:t>等一般路面硬化。</w:t>
            </w:r>
          </w:p>
        </w:tc>
        <w:tc>
          <w:tcPr>
            <w:tcW w:w="4719" w:type="dxa"/>
            <w:gridSpan w:val="3"/>
            <w:noWrap w:val="0"/>
            <w:vAlign w:val="center"/>
          </w:tcPr>
          <w:p>
            <w:pPr>
              <w:pStyle w:val="274"/>
              <w:spacing w:line="240" w:lineRule="auto"/>
              <w:rPr>
                <w:color w:val="auto"/>
                <w:sz w:val="21"/>
                <w:szCs w:val="21"/>
              </w:rPr>
            </w:pPr>
            <w:r>
              <w:rPr>
                <w:rFonts w:hint="eastAsia"/>
                <w:color w:val="auto"/>
                <w:sz w:val="21"/>
                <w:szCs w:val="21"/>
              </w:rPr>
              <w:t>满足相应防渗标准要求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1"/>
          <w:wBefore w:w="0" w:type="auto"/>
          <w:wAfter w:w="14" w:type="dxa"/>
          <w:trHeight w:val="340" w:hRule="atLeast"/>
          <w:jc w:val="center"/>
        </w:trPr>
        <w:tc>
          <w:tcPr>
            <w:tcW w:w="1133" w:type="dxa"/>
            <w:noWrap w:val="0"/>
            <w:vAlign w:val="center"/>
          </w:tcPr>
          <w:p>
            <w:pPr>
              <w:pStyle w:val="274"/>
              <w:spacing w:line="240" w:lineRule="auto"/>
              <w:rPr>
                <w:color w:val="auto"/>
                <w:sz w:val="21"/>
                <w:szCs w:val="21"/>
              </w:rPr>
            </w:pPr>
            <w:r>
              <w:rPr>
                <w:rFonts w:hint="eastAsia"/>
                <w:color w:val="auto"/>
                <w:sz w:val="21"/>
                <w:szCs w:val="21"/>
              </w:rPr>
              <w:t>环境风险防范及应急措施</w:t>
            </w:r>
          </w:p>
        </w:tc>
        <w:tc>
          <w:tcPr>
            <w:tcW w:w="3160" w:type="dxa"/>
            <w:gridSpan w:val="2"/>
            <w:noWrap w:val="0"/>
            <w:vAlign w:val="center"/>
          </w:tcPr>
          <w:p>
            <w:pPr>
              <w:pStyle w:val="274"/>
              <w:spacing w:line="240" w:lineRule="auto"/>
              <w:rPr>
                <w:color w:val="auto"/>
                <w:sz w:val="21"/>
                <w:szCs w:val="21"/>
              </w:rPr>
            </w:pPr>
            <w:r>
              <w:rPr>
                <w:rFonts w:hint="eastAsia"/>
                <w:color w:val="auto"/>
                <w:sz w:val="21"/>
                <w:szCs w:val="21"/>
              </w:rPr>
              <w:t>废水的事故外排；沼气泄漏，柴油泄漏；</w:t>
            </w:r>
          </w:p>
        </w:tc>
        <w:tc>
          <w:tcPr>
            <w:tcW w:w="4990" w:type="dxa"/>
            <w:noWrap w:val="0"/>
            <w:vAlign w:val="center"/>
          </w:tcPr>
          <w:p>
            <w:pPr>
              <w:pStyle w:val="274"/>
              <w:spacing w:line="240" w:lineRule="auto"/>
              <w:rPr>
                <w:color w:val="auto"/>
                <w:sz w:val="21"/>
                <w:szCs w:val="21"/>
              </w:rPr>
            </w:pPr>
            <w:r>
              <w:rPr>
                <w:rFonts w:hint="eastAsia"/>
                <w:color w:val="auto"/>
                <w:sz w:val="21"/>
                <w:szCs w:val="21"/>
              </w:rPr>
              <w:t>建立事故应急措施和管理体系，配备应急物资</w:t>
            </w:r>
          </w:p>
        </w:tc>
        <w:tc>
          <w:tcPr>
            <w:tcW w:w="4705" w:type="dxa"/>
            <w:gridSpan w:val="2"/>
            <w:noWrap w:val="0"/>
            <w:vAlign w:val="center"/>
          </w:tcPr>
          <w:p>
            <w:pPr>
              <w:pStyle w:val="274"/>
              <w:spacing w:line="240" w:lineRule="auto"/>
              <w:rPr>
                <w:rFonts w:hint="eastAsia"/>
                <w:color w:val="auto"/>
                <w:sz w:val="21"/>
                <w:szCs w:val="21"/>
              </w:rPr>
            </w:pPr>
            <w:r>
              <w:rPr>
                <w:rFonts w:hint="eastAsia"/>
                <w:color w:val="auto"/>
                <w:sz w:val="21"/>
                <w:szCs w:val="21"/>
              </w:rPr>
              <w:t>事故及时启动，能控制和处理</w:t>
            </w:r>
          </w:p>
          <w:p>
            <w:pPr>
              <w:pStyle w:val="274"/>
              <w:spacing w:line="240" w:lineRule="auto"/>
              <w:rPr>
                <w:color w:val="auto"/>
                <w:sz w:val="21"/>
                <w:szCs w:val="21"/>
              </w:rPr>
            </w:pPr>
            <w:r>
              <w:rPr>
                <w:rFonts w:hint="eastAsia"/>
                <w:color w:val="auto"/>
                <w:sz w:val="21"/>
                <w:szCs w:val="21"/>
              </w:rPr>
              <w:t>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2"/>
          <w:wBefore w:w="0" w:type="auto"/>
          <w:wAfter w:w="28" w:type="dxa"/>
          <w:trHeight w:val="340" w:hRule="atLeast"/>
          <w:jc w:val="center"/>
        </w:trPr>
        <w:tc>
          <w:tcPr>
            <w:tcW w:w="1133" w:type="dxa"/>
            <w:noWrap w:val="0"/>
            <w:vAlign w:val="center"/>
          </w:tcPr>
          <w:p>
            <w:pPr>
              <w:pStyle w:val="274"/>
              <w:spacing w:line="240" w:lineRule="auto"/>
              <w:rPr>
                <w:color w:val="auto"/>
                <w:sz w:val="21"/>
                <w:szCs w:val="21"/>
              </w:rPr>
            </w:pPr>
            <w:r>
              <w:rPr>
                <w:rFonts w:hint="eastAsia"/>
                <w:color w:val="auto"/>
                <w:sz w:val="21"/>
                <w:szCs w:val="21"/>
              </w:rPr>
              <w:t>绿化</w:t>
            </w:r>
          </w:p>
        </w:tc>
        <w:tc>
          <w:tcPr>
            <w:tcW w:w="12841" w:type="dxa"/>
            <w:gridSpan w:val="4"/>
            <w:noWrap w:val="0"/>
            <w:vAlign w:val="center"/>
          </w:tcPr>
          <w:p>
            <w:pPr>
              <w:pStyle w:val="274"/>
              <w:spacing w:line="240" w:lineRule="auto"/>
              <w:rPr>
                <w:color w:val="auto"/>
                <w:sz w:val="21"/>
                <w:szCs w:val="21"/>
              </w:rPr>
            </w:pPr>
            <w:r>
              <w:rPr>
                <w:rFonts w:hint="eastAsia"/>
                <w:color w:val="auto"/>
                <w:sz w:val="21"/>
                <w:szCs w:val="21"/>
              </w:rPr>
              <w:t>厂区周围设置乔木、灌木绿化，猪舍周围种植牧草绿化，厂区绿化面积为</w:t>
            </w:r>
            <w:r>
              <w:rPr>
                <w:color w:val="auto"/>
                <w:sz w:val="21"/>
                <w:szCs w:val="21"/>
              </w:rPr>
              <w:t>500</w:t>
            </w:r>
            <w:r>
              <w:rPr>
                <w:rFonts w:hint="eastAsia"/>
                <w:color w:val="auto"/>
                <w:sz w:val="21"/>
                <w:szCs w:val="21"/>
              </w:rPr>
              <w:t>0</w:t>
            </w:r>
            <w:r>
              <w:rPr>
                <w:color w:val="auto"/>
                <w:sz w:val="21"/>
                <w:szCs w:val="21"/>
              </w:rPr>
              <w:t>m</w:t>
            </w:r>
            <w:r>
              <w:rPr>
                <w:color w:val="auto"/>
                <w:sz w:val="21"/>
                <w:szCs w:val="21"/>
                <w:vertAlign w:val="super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2"/>
          <w:wBefore w:w="0" w:type="auto"/>
          <w:wAfter w:w="28" w:type="dxa"/>
          <w:trHeight w:val="340" w:hRule="atLeast"/>
          <w:jc w:val="center"/>
        </w:trPr>
        <w:tc>
          <w:tcPr>
            <w:tcW w:w="1133" w:type="dxa"/>
            <w:noWrap w:val="0"/>
            <w:vAlign w:val="center"/>
          </w:tcPr>
          <w:p>
            <w:pPr>
              <w:pStyle w:val="274"/>
              <w:spacing w:line="240" w:lineRule="auto"/>
              <w:rPr>
                <w:rFonts w:hint="eastAsia"/>
                <w:color w:val="auto"/>
                <w:sz w:val="21"/>
                <w:szCs w:val="21"/>
              </w:rPr>
            </w:pPr>
            <w:r>
              <w:rPr>
                <w:rFonts w:hint="eastAsia"/>
                <w:color w:val="auto"/>
                <w:sz w:val="21"/>
                <w:szCs w:val="21"/>
              </w:rPr>
              <w:t>清污分流、排污口规范化设置</w:t>
            </w:r>
          </w:p>
        </w:tc>
        <w:tc>
          <w:tcPr>
            <w:tcW w:w="12841" w:type="dxa"/>
            <w:gridSpan w:val="4"/>
            <w:noWrap w:val="0"/>
            <w:vAlign w:val="center"/>
          </w:tcPr>
          <w:p>
            <w:pPr>
              <w:pStyle w:val="274"/>
              <w:spacing w:line="240" w:lineRule="auto"/>
              <w:jc w:val="left"/>
              <w:rPr>
                <w:color w:val="auto"/>
                <w:sz w:val="21"/>
                <w:szCs w:val="21"/>
              </w:rPr>
            </w:pPr>
            <w:r>
              <w:rPr>
                <w:color w:val="auto"/>
                <w:sz w:val="21"/>
                <w:szCs w:val="21"/>
              </w:rPr>
              <w:t>1</w:t>
            </w:r>
            <w:r>
              <w:rPr>
                <w:rFonts w:hint="eastAsia"/>
                <w:color w:val="auto"/>
                <w:sz w:val="21"/>
                <w:szCs w:val="21"/>
              </w:rPr>
              <w:t>、污水管网及雨水管网按照雨污分流进行设置；</w:t>
            </w:r>
          </w:p>
          <w:p>
            <w:pPr>
              <w:pStyle w:val="274"/>
              <w:spacing w:line="240" w:lineRule="auto"/>
              <w:jc w:val="left"/>
              <w:rPr>
                <w:rFonts w:hint="eastAsia"/>
                <w:color w:val="auto"/>
                <w:sz w:val="21"/>
                <w:szCs w:val="21"/>
              </w:rPr>
            </w:pPr>
            <w:r>
              <w:rPr>
                <w:color w:val="auto"/>
                <w:sz w:val="21"/>
                <w:szCs w:val="21"/>
              </w:rPr>
              <w:t>2</w:t>
            </w:r>
            <w:r>
              <w:rPr>
                <w:rFonts w:hint="eastAsia"/>
                <w:color w:val="auto"/>
                <w:sz w:val="21"/>
                <w:szCs w:val="21"/>
              </w:rPr>
              <w:t>、噪声按照《环境保护图形标志—排放口（源）》（GB15562.1-1995）规定，设置统一制作的环境保护图形标志牌；固体废物按照《环境保护图形标志 固体废物贮存（处置）场》（GB15562.2-1995）设置环境保护图形标志牌。</w:t>
            </w:r>
          </w:p>
        </w:tc>
      </w:tr>
      <w:tr>
        <w:tblPrEx>
          <w:tblBorders>
            <w:top w:val="single" w:color="auto" w:sz="12" w:space="0"/>
            <w:left w:val="none" w:color="auto" w:sz="0" w:space="0"/>
            <w:bottom w:val="single" w:color="auto" w:sz="12" w:space="0"/>
            <w:right w:val="none" w:color="auto" w:sz="0" w:space="0"/>
            <w:insideH w:val="single" w:color="auto" w:sz="4" w:space="0"/>
            <w:insideV w:val="single" w:color="000000" w:sz="2" w:space="0"/>
          </w:tblBorders>
          <w:tblCellMar>
            <w:top w:w="0" w:type="dxa"/>
            <w:left w:w="0" w:type="dxa"/>
            <w:bottom w:w="0" w:type="dxa"/>
            <w:right w:w="0" w:type="dxa"/>
          </w:tblCellMar>
        </w:tblPrEx>
        <w:trPr>
          <w:gridAfter w:val="2"/>
          <w:wBefore w:w="0" w:type="auto"/>
          <w:wAfter w:w="28" w:type="dxa"/>
          <w:trHeight w:val="340" w:hRule="atLeast"/>
          <w:jc w:val="center"/>
        </w:trPr>
        <w:tc>
          <w:tcPr>
            <w:tcW w:w="1133" w:type="dxa"/>
            <w:noWrap w:val="0"/>
            <w:vAlign w:val="center"/>
          </w:tcPr>
          <w:p>
            <w:pPr>
              <w:pStyle w:val="274"/>
              <w:spacing w:line="240" w:lineRule="auto"/>
              <w:rPr>
                <w:rFonts w:hint="eastAsia"/>
                <w:color w:val="auto"/>
                <w:sz w:val="21"/>
                <w:szCs w:val="21"/>
              </w:rPr>
            </w:pPr>
            <w:r>
              <w:rPr>
                <w:rFonts w:hint="eastAsia"/>
                <w:color w:val="auto"/>
                <w:sz w:val="21"/>
                <w:szCs w:val="21"/>
              </w:rPr>
              <w:t>防护</w:t>
            </w:r>
          </w:p>
          <w:p>
            <w:pPr>
              <w:pStyle w:val="274"/>
              <w:spacing w:line="240" w:lineRule="auto"/>
              <w:rPr>
                <w:color w:val="auto"/>
                <w:sz w:val="21"/>
                <w:szCs w:val="21"/>
              </w:rPr>
            </w:pPr>
            <w:r>
              <w:rPr>
                <w:rFonts w:hint="eastAsia"/>
                <w:color w:val="auto"/>
                <w:sz w:val="21"/>
                <w:szCs w:val="21"/>
              </w:rPr>
              <w:t>距离设置</w:t>
            </w:r>
          </w:p>
        </w:tc>
        <w:tc>
          <w:tcPr>
            <w:tcW w:w="12841" w:type="dxa"/>
            <w:gridSpan w:val="4"/>
            <w:noWrap w:val="0"/>
            <w:vAlign w:val="center"/>
          </w:tcPr>
          <w:p>
            <w:pPr>
              <w:pStyle w:val="274"/>
              <w:spacing w:line="240" w:lineRule="auto"/>
              <w:rPr>
                <w:color w:val="auto"/>
                <w:sz w:val="21"/>
                <w:szCs w:val="21"/>
              </w:rPr>
            </w:pPr>
            <w:r>
              <w:rPr>
                <w:rFonts w:hint="eastAsia"/>
                <w:color w:val="auto"/>
                <w:sz w:val="21"/>
                <w:szCs w:val="21"/>
              </w:rPr>
              <w:t>本项目不设大气环境防护距离。推荐卫生防护距离为治污区、猪舍周围</w:t>
            </w:r>
            <w:r>
              <w:rPr>
                <w:rFonts w:hint="eastAsia"/>
                <w:color w:val="auto"/>
                <w:sz w:val="21"/>
                <w:szCs w:val="21"/>
                <w:lang w:val="en-US" w:eastAsia="zh-CN"/>
              </w:rPr>
              <w:t>1</w:t>
            </w:r>
            <w:r>
              <w:rPr>
                <w:rFonts w:hint="eastAsia"/>
                <w:color w:val="auto"/>
                <w:sz w:val="21"/>
                <w:szCs w:val="21"/>
              </w:rPr>
              <w:t>00m范围，本项目卫生防护距离范围内无人口集中居住区等环境敏感目标，今后也不得规划建设居民区、学校、医院等环境敏感目标。</w:t>
            </w:r>
          </w:p>
        </w:tc>
      </w:tr>
    </w:tbl>
    <w:p>
      <w:pPr>
        <w:pStyle w:val="16"/>
        <w:ind w:firstLine="480"/>
        <w:rPr>
          <w:rFonts w:hint="eastAsia"/>
          <w:color w:val="auto"/>
        </w:rPr>
      </w:pPr>
    </w:p>
    <w:p>
      <w:pPr>
        <w:pStyle w:val="16"/>
        <w:ind w:firstLine="480"/>
        <w:rPr>
          <w:color w:val="auto"/>
        </w:rPr>
      </w:pPr>
    </w:p>
    <w:p>
      <w:pPr>
        <w:pStyle w:val="16"/>
        <w:ind w:firstLine="480"/>
        <w:rPr>
          <w:rFonts w:hint="eastAsia"/>
          <w:color w:val="auto"/>
        </w:rPr>
        <w:sectPr>
          <w:headerReference r:id="rId23" w:type="default"/>
          <w:pgSz w:w="16838" w:h="11906" w:orient="landscape"/>
          <w:pgMar w:top="1701" w:right="1418" w:bottom="1418" w:left="1418" w:header="851" w:footer="992" w:gutter="0"/>
          <w:cols w:space="720" w:num="1"/>
          <w:docGrid w:linePitch="326" w:charSpace="0"/>
        </w:sectPr>
      </w:pPr>
    </w:p>
    <w:p>
      <w:pPr>
        <w:pStyle w:val="6"/>
        <w:rPr>
          <w:rFonts w:eastAsia="黑体"/>
          <w:color w:val="auto"/>
          <w:sz w:val="44"/>
        </w:rPr>
      </w:pPr>
      <w:bookmarkStart w:id="265" w:name="_Toc6530"/>
      <w:bookmarkStart w:id="266" w:name="_Toc488738035"/>
      <w:r>
        <w:rPr>
          <w:rFonts w:eastAsia="黑体"/>
          <w:color w:val="auto"/>
          <w:sz w:val="44"/>
        </w:rPr>
        <w:t>结论及建议</w:t>
      </w:r>
      <w:bookmarkEnd w:id="265"/>
      <w:bookmarkEnd w:id="266"/>
    </w:p>
    <w:p>
      <w:pPr>
        <w:pStyle w:val="7"/>
        <w:rPr>
          <w:rFonts w:eastAsia="黑体"/>
          <w:color w:val="auto"/>
          <w:sz w:val="32"/>
        </w:rPr>
      </w:pPr>
      <w:bookmarkStart w:id="267" w:name="_Toc432251353"/>
      <w:bookmarkStart w:id="268" w:name="_Toc488738036"/>
      <w:bookmarkStart w:id="269" w:name="_Toc32538"/>
      <w:r>
        <w:rPr>
          <w:rFonts w:eastAsia="黑体"/>
          <w:color w:val="auto"/>
          <w:sz w:val="32"/>
        </w:rPr>
        <w:t>环境影响评价结论</w:t>
      </w:r>
      <w:bookmarkEnd w:id="267"/>
      <w:bookmarkEnd w:id="268"/>
      <w:bookmarkEnd w:id="269"/>
    </w:p>
    <w:p>
      <w:pPr>
        <w:pStyle w:val="8"/>
        <w:tabs>
          <w:tab w:val="clear" w:pos="0"/>
        </w:tabs>
        <w:rPr>
          <w:rFonts w:eastAsia="黑体"/>
          <w:color w:val="auto"/>
          <w:sz w:val="28"/>
          <w:szCs w:val="28"/>
        </w:rPr>
      </w:pPr>
      <w:r>
        <w:rPr>
          <w:rFonts w:eastAsia="黑体"/>
          <w:color w:val="auto"/>
          <w:sz w:val="28"/>
          <w:szCs w:val="28"/>
        </w:rPr>
        <w:t>工程概况</w:t>
      </w:r>
    </w:p>
    <w:p>
      <w:pPr>
        <w:ind w:firstLine="480"/>
        <w:rPr>
          <w:bCs/>
          <w:color w:val="auto"/>
        </w:rPr>
      </w:pPr>
      <w:r>
        <w:rPr>
          <w:rFonts w:hint="eastAsia"/>
          <w:bCs/>
          <w:color w:val="auto"/>
          <w:lang w:eastAsia="zh-CN"/>
        </w:rPr>
        <w:t>绵阳市硕牧云康畜牧养殖有限责任公司</w:t>
      </w:r>
      <w:r>
        <w:rPr>
          <w:rFonts w:hint="eastAsia"/>
          <w:bCs/>
          <w:color w:val="auto"/>
        </w:rPr>
        <w:t>拟在四川省</w:t>
      </w:r>
      <w:r>
        <w:rPr>
          <w:rFonts w:hint="eastAsia"/>
          <w:bCs/>
          <w:color w:val="auto"/>
          <w:lang w:eastAsia="zh-CN"/>
        </w:rPr>
        <w:t>绵阳市游仙区盐泉镇通远村（原葫芦村4社）</w:t>
      </w:r>
      <w:r>
        <w:rPr>
          <w:rFonts w:hint="eastAsia"/>
          <w:bCs/>
          <w:color w:val="auto"/>
        </w:rPr>
        <w:t>山上建设“</w:t>
      </w:r>
      <w:r>
        <w:rPr>
          <w:rFonts w:hint="eastAsia"/>
          <w:bCs/>
          <w:color w:val="auto"/>
          <w:lang w:eastAsia="zh-CN"/>
        </w:rPr>
        <w:t>绵阳市硕牧云康畜牧养殖有限责任公司 绵阳市硕牧云康畜牧养殖有限责任公司生猪养殖项目</w:t>
      </w:r>
      <w:r>
        <w:rPr>
          <w:rFonts w:hint="eastAsia"/>
          <w:bCs/>
          <w:color w:val="auto"/>
        </w:rPr>
        <w:t>”，</w:t>
      </w:r>
      <w:r>
        <w:rPr>
          <w:rFonts w:hint="eastAsia"/>
          <w:color w:val="auto"/>
        </w:rPr>
        <w:t>项目占地38.57亩，建设圈舍、配套设施、管理用房、蓄水池及污水处理环保设施等，计划年出栏14000头育肥猪。</w:t>
      </w:r>
      <w:r>
        <w:rPr>
          <w:rFonts w:hint="eastAsia"/>
          <w:color w:val="auto"/>
          <w:lang w:eastAsia="zh-CN"/>
        </w:rPr>
        <w:t>新建育肥栏舍</w:t>
      </w:r>
      <w:r>
        <w:rPr>
          <w:rFonts w:hint="eastAsia"/>
          <w:color w:val="auto"/>
          <w:lang w:val="en-US" w:eastAsia="zh-CN"/>
        </w:rPr>
        <w:t>6</w:t>
      </w:r>
      <w:r>
        <w:rPr>
          <w:rFonts w:hint="eastAsia"/>
          <w:color w:val="auto"/>
          <w:lang w:eastAsia="zh-CN"/>
        </w:rPr>
        <w:t>栋，并配套建设供电、供水等公用和辅助工程以及污粪处理等环保设施。</w:t>
      </w:r>
      <w:r>
        <w:rPr>
          <w:rFonts w:hint="eastAsia"/>
          <w:color w:val="auto"/>
        </w:rPr>
        <w:t>建成后达到年出栏育肥猪</w:t>
      </w:r>
      <w:r>
        <w:rPr>
          <w:rFonts w:hint="eastAsia"/>
          <w:color w:val="auto"/>
          <w:lang w:val="en-US" w:eastAsia="zh-CN"/>
        </w:rPr>
        <w:t>1.4万</w:t>
      </w:r>
      <w:r>
        <w:rPr>
          <w:rFonts w:hint="eastAsia"/>
          <w:color w:val="auto"/>
        </w:rPr>
        <w:t>头的</w:t>
      </w:r>
      <w:r>
        <w:rPr>
          <w:rFonts w:hint="eastAsia"/>
          <w:color w:val="auto"/>
          <w:lang w:val="en-US" w:eastAsia="zh-CN"/>
        </w:rPr>
        <w:t>养殖能力</w:t>
      </w:r>
      <w:r>
        <w:rPr>
          <w:rFonts w:hint="eastAsia"/>
          <w:color w:val="auto"/>
          <w:lang w:eastAsia="zh-CN"/>
        </w:rPr>
        <w:t>。本项目为育肥猪养殖项目，养殖场内不进行饲料加工和生猪屠宰</w:t>
      </w:r>
      <w:r>
        <w:rPr>
          <w:rFonts w:hint="eastAsia"/>
          <w:bCs/>
          <w:color w:val="auto"/>
        </w:rPr>
        <w:t>；劳动定员</w:t>
      </w:r>
      <w:r>
        <w:rPr>
          <w:rFonts w:hint="eastAsia"/>
          <w:bCs/>
          <w:color w:val="auto"/>
          <w:lang w:val="en-US" w:eastAsia="zh-CN"/>
        </w:rPr>
        <w:t>7</w:t>
      </w:r>
      <w:r>
        <w:rPr>
          <w:rFonts w:hint="eastAsia"/>
          <w:bCs/>
          <w:color w:val="auto"/>
        </w:rPr>
        <w:t>人，实行单班制，每班工作8小时，全年工作3</w:t>
      </w:r>
      <w:r>
        <w:rPr>
          <w:bCs/>
          <w:color w:val="auto"/>
        </w:rPr>
        <w:t>65</w:t>
      </w:r>
      <w:r>
        <w:rPr>
          <w:rFonts w:hint="eastAsia"/>
          <w:bCs/>
          <w:color w:val="auto"/>
        </w:rPr>
        <w:t>天。</w:t>
      </w:r>
    </w:p>
    <w:p>
      <w:pPr>
        <w:ind w:firstLine="480"/>
        <w:rPr>
          <w:rFonts w:hint="eastAsia"/>
          <w:bCs/>
          <w:color w:val="auto"/>
        </w:rPr>
      </w:pPr>
      <w:r>
        <w:rPr>
          <w:rFonts w:hint="eastAsia"/>
          <w:bCs/>
          <w:color w:val="auto"/>
        </w:rPr>
        <w:t>项目总投资</w:t>
      </w:r>
      <w:r>
        <w:rPr>
          <w:rFonts w:hint="eastAsia"/>
          <w:bCs/>
          <w:color w:val="auto"/>
          <w:lang w:val="en-US" w:eastAsia="zh-CN"/>
        </w:rPr>
        <w:t>4</w:t>
      </w:r>
      <w:r>
        <w:rPr>
          <w:rFonts w:hint="eastAsia"/>
          <w:bCs/>
          <w:color w:val="auto"/>
          <w:lang w:val="en-US" w:eastAsia="zh-CN"/>
        </w:rPr>
        <w:t>6</w:t>
      </w:r>
      <w:r>
        <w:rPr>
          <w:bCs/>
          <w:color w:val="auto"/>
        </w:rPr>
        <w:t>00</w:t>
      </w:r>
      <w:r>
        <w:rPr>
          <w:rFonts w:hint="eastAsia"/>
          <w:bCs/>
          <w:color w:val="auto"/>
        </w:rPr>
        <w:t>万元，其中环保投资</w:t>
      </w:r>
      <w:r>
        <w:rPr>
          <w:rFonts w:hint="default"/>
          <w:color w:val="auto"/>
        </w:rPr>
        <w:fldChar w:fldCharType="begin"/>
      </w:r>
      <w:r>
        <w:rPr>
          <w:rFonts w:hint="default"/>
          <w:color w:val="auto"/>
        </w:rPr>
        <w:instrText xml:space="preserve"> = SUM（ABOVE） \* MERGEFORMAT </w:instrText>
      </w:r>
      <w:r>
        <w:rPr>
          <w:rFonts w:hint="default"/>
          <w:color w:val="auto"/>
        </w:rPr>
        <w:fldChar w:fldCharType="separate"/>
      </w:r>
      <w:r>
        <w:rPr>
          <w:rFonts w:hint="default"/>
          <w:color w:val="auto"/>
        </w:rPr>
        <w:t>446.2</w:t>
      </w:r>
      <w:r>
        <w:rPr>
          <w:rFonts w:hint="default"/>
          <w:color w:val="auto"/>
        </w:rPr>
        <w:fldChar w:fldCharType="end"/>
      </w:r>
      <w:r>
        <w:rPr>
          <w:color w:val="auto"/>
        </w:rPr>
        <w:t>万元，占工程总投资的</w:t>
      </w:r>
      <w:r>
        <w:rPr>
          <w:rFonts w:hint="eastAsia"/>
          <w:color w:val="auto"/>
          <w:lang w:val="en-US" w:eastAsia="zh-CN"/>
        </w:rPr>
        <w:t>9.7</w:t>
      </w:r>
      <w:r>
        <w:rPr>
          <w:color w:val="auto"/>
        </w:rPr>
        <w:t>%。</w:t>
      </w:r>
    </w:p>
    <w:p>
      <w:pPr>
        <w:pStyle w:val="8"/>
        <w:tabs>
          <w:tab w:val="clear" w:pos="0"/>
        </w:tabs>
        <w:rPr>
          <w:rFonts w:eastAsia="黑体"/>
          <w:color w:val="auto"/>
          <w:sz w:val="28"/>
          <w:szCs w:val="28"/>
        </w:rPr>
      </w:pPr>
      <w:r>
        <w:rPr>
          <w:rFonts w:eastAsia="黑体"/>
          <w:color w:val="auto"/>
          <w:sz w:val="28"/>
          <w:szCs w:val="28"/>
        </w:rPr>
        <w:t>产业政策符合性分析</w:t>
      </w:r>
    </w:p>
    <w:p>
      <w:pPr>
        <w:ind w:firstLine="480"/>
        <w:rPr>
          <w:color w:val="auto"/>
        </w:rPr>
      </w:pPr>
      <w:r>
        <w:rPr>
          <w:color w:val="auto"/>
        </w:rPr>
        <w:t>本项目为新建的标准化和规模化养猪场，属于国家发展和改革委员会令第29号《产业结构调整指导目录（2019年本）》中第一类</w:t>
      </w:r>
      <w:r>
        <w:rPr>
          <w:rFonts w:hint="eastAsia"/>
          <w:color w:val="auto"/>
        </w:rPr>
        <w:t>“</w:t>
      </w:r>
      <w:r>
        <w:rPr>
          <w:color w:val="auto"/>
        </w:rPr>
        <w:t>鼓励类</w:t>
      </w:r>
      <w:r>
        <w:rPr>
          <w:rFonts w:hint="eastAsia"/>
          <w:color w:val="auto"/>
        </w:rPr>
        <w:t>”</w:t>
      </w:r>
      <w:r>
        <w:rPr>
          <w:color w:val="auto"/>
        </w:rPr>
        <w:t>第一条</w:t>
      </w:r>
      <w:r>
        <w:rPr>
          <w:rFonts w:hint="eastAsia"/>
          <w:color w:val="auto"/>
        </w:rPr>
        <w:t>“</w:t>
      </w:r>
      <w:r>
        <w:rPr>
          <w:color w:val="auto"/>
        </w:rPr>
        <w:t>农林业</w:t>
      </w:r>
      <w:r>
        <w:rPr>
          <w:rFonts w:hint="eastAsia"/>
          <w:color w:val="auto"/>
        </w:rPr>
        <w:t>”</w:t>
      </w:r>
      <w:r>
        <w:rPr>
          <w:color w:val="auto"/>
        </w:rPr>
        <w:t>第4款</w:t>
      </w:r>
      <w:r>
        <w:rPr>
          <w:rFonts w:hint="eastAsia"/>
          <w:color w:val="auto"/>
        </w:rPr>
        <w:t>“</w:t>
      </w:r>
      <w:r>
        <w:rPr>
          <w:color w:val="auto"/>
        </w:rPr>
        <w:t>畜禽标准化规模养殖技术开发与应用</w:t>
      </w:r>
      <w:r>
        <w:rPr>
          <w:rFonts w:hint="eastAsia"/>
          <w:color w:val="auto"/>
        </w:rPr>
        <w:t>”</w:t>
      </w:r>
      <w:r>
        <w:rPr>
          <w:color w:val="auto"/>
        </w:rPr>
        <w:t>和第53款</w:t>
      </w:r>
      <w:r>
        <w:rPr>
          <w:rFonts w:hint="eastAsia"/>
          <w:color w:val="auto"/>
        </w:rPr>
        <w:t>“</w:t>
      </w:r>
      <w:r>
        <w:rPr>
          <w:color w:val="auto"/>
        </w:rPr>
        <w:t>畜禽养殖废弃物处理和资源化利用（畜禽粪污肥料化、能源化、基料化和垫料化利用，病死畜禽无害化处理）</w:t>
      </w:r>
      <w:r>
        <w:rPr>
          <w:rFonts w:hint="eastAsia"/>
          <w:color w:val="auto"/>
        </w:rPr>
        <w:t>”</w:t>
      </w:r>
      <w:r>
        <w:rPr>
          <w:color w:val="auto"/>
        </w:rPr>
        <w:t>之列。同时，</w:t>
      </w:r>
      <w:r>
        <w:rPr>
          <w:rFonts w:hint="eastAsia"/>
          <w:color w:val="auto"/>
        </w:rPr>
        <w:t>本项目在</w:t>
      </w:r>
      <w:r>
        <w:rPr>
          <w:rFonts w:hint="eastAsia"/>
          <w:color w:val="auto"/>
          <w:lang w:eastAsia="zh-CN"/>
        </w:rPr>
        <w:t>游仙区发展和改革局</w:t>
      </w:r>
      <w:r>
        <w:rPr>
          <w:rFonts w:hint="eastAsia"/>
          <w:color w:val="auto"/>
        </w:rPr>
        <w:t>完成了《</w:t>
      </w:r>
      <w:r>
        <w:rPr>
          <w:rFonts w:hint="eastAsia"/>
          <w:color w:val="auto"/>
          <w:lang w:eastAsia="zh-CN"/>
        </w:rPr>
        <w:t>绵阳市硕牧云康畜牧养殖有限责任公司 绵阳市硕牧云康畜牧养殖有限责任公司生猪养殖项目</w:t>
      </w:r>
      <w:r>
        <w:rPr>
          <w:rFonts w:hint="eastAsia"/>
          <w:color w:val="auto"/>
        </w:rPr>
        <w:t>》的备案（</w:t>
      </w:r>
      <w:r>
        <w:rPr>
          <w:rFonts w:hint="eastAsia"/>
          <w:color w:val="auto"/>
          <w:lang w:eastAsia="zh-CN"/>
        </w:rPr>
        <w:t>川投资备【2101-510704-04-01-608184】FGQB-0006号</w:t>
      </w:r>
      <w:r>
        <w:rPr>
          <w:rFonts w:hint="eastAsia"/>
          <w:color w:val="auto"/>
        </w:rPr>
        <w:t>）。</w:t>
      </w:r>
    </w:p>
    <w:p>
      <w:pPr>
        <w:ind w:firstLine="480"/>
        <w:rPr>
          <w:color w:val="auto"/>
        </w:rPr>
      </w:pPr>
      <w:r>
        <w:rPr>
          <w:color w:val="auto"/>
        </w:rPr>
        <w:t>本项目不属于国土资源部、国家发展和改革委员会发布的《限制用地项目目录（2012年本）》和《禁止用地项目目录（2012年本）》之列。</w:t>
      </w:r>
      <w:r>
        <w:rPr>
          <w:rFonts w:hint="eastAsia"/>
          <w:color w:val="auto"/>
        </w:rPr>
        <w:t xml:space="preserve"> </w:t>
      </w:r>
    </w:p>
    <w:p>
      <w:pPr>
        <w:ind w:firstLine="480"/>
        <w:rPr>
          <w:color w:val="auto"/>
        </w:rPr>
      </w:pPr>
      <w:r>
        <w:rPr>
          <w:color w:val="auto"/>
        </w:rPr>
        <w:t>因此，本项目的建设符合国家现行产业政策和土地利用政策要求。</w:t>
      </w:r>
    </w:p>
    <w:p>
      <w:pPr>
        <w:pStyle w:val="8"/>
        <w:tabs>
          <w:tab w:val="clear" w:pos="0"/>
        </w:tabs>
        <w:rPr>
          <w:rFonts w:eastAsia="黑体"/>
          <w:color w:val="auto"/>
          <w:sz w:val="28"/>
          <w:szCs w:val="28"/>
        </w:rPr>
      </w:pPr>
      <w:r>
        <w:rPr>
          <w:rFonts w:eastAsia="黑体"/>
          <w:color w:val="auto"/>
          <w:sz w:val="28"/>
          <w:szCs w:val="28"/>
        </w:rPr>
        <w:t>规划符合性分析</w:t>
      </w:r>
    </w:p>
    <w:p>
      <w:pPr>
        <w:ind w:firstLine="482"/>
        <w:rPr>
          <w:b/>
          <w:bCs/>
          <w:color w:val="auto"/>
        </w:rPr>
      </w:pPr>
      <w:r>
        <w:rPr>
          <w:b/>
          <w:bCs/>
          <w:color w:val="auto"/>
        </w:rPr>
        <w:t>1、与当地相关规划符合性分析</w:t>
      </w:r>
    </w:p>
    <w:p>
      <w:pPr>
        <w:spacing w:line="360" w:lineRule="auto"/>
        <w:ind w:firstLine="470" w:firstLineChars="196"/>
        <w:rPr>
          <w:color w:val="auto"/>
        </w:rPr>
      </w:pPr>
      <w:r>
        <w:rPr>
          <w:color w:val="auto"/>
        </w:rPr>
        <w:t>本项目位于</w:t>
      </w:r>
      <w:r>
        <w:rPr>
          <w:rFonts w:hint="eastAsia"/>
          <w:color w:val="auto"/>
        </w:rPr>
        <w:t>四川省</w:t>
      </w:r>
      <w:r>
        <w:rPr>
          <w:rFonts w:hint="eastAsia"/>
          <w:color w:val="auto"/>
          <w:lang w:eastAsia="zh-CN"/>
        </w:rPr>
        <w:t>绵阳市游仙区盐泉镇通远村（原葫芦村4社）</w:t>
      </w:r>
      <w:r>
        <w:rPr>
          <w:rFonts w:hint="eastAsia"/>
          <w:color w:val="auto"/>
        </w:rPr>
        <w:t>山上</w:t>
      </w:r>
      <w:r>
        <w:rPr>
          <w:color w:val="auto"/>
        </w:rPr>
        <w:t>，</w:t>
      </w:r>
      <w:r>
        <w:rPr>
          <w:rFonts w:hint="eastAsia" w:ascii="宋体" w:hAnsi="宋体"/>
          <w:color w:val="auto"/>
          <w:sz w:val="24"/>
          <w:szCs w:val="24"/>
          <w:u w:val="none"/>
          <w:lang w:eastAsia="zh-CN"/>
        </w:rPr>
        <w:t>绵阳市游仙区自然资源局土地利用规划截图</w:t>
      </w:r>
      <w:r>
        <w:rPr>
          <w:rFonts w:hint="default" w:ascii="Times New Roman" w:hAnsi="Times New Roman" w:cs="Times New Roman"/>
          <w:color w:val="auto"/>
          <w:sz w:val="24"/>
          <w:u w:val="none"/>
          <w:lang w:val="en-US" w:eastAsia="zh-CN"/>
        </w:rPr>
        <w:t>》，</w:t>
      </w:r>
      <w:r>
        <w:rPr>
          <w:rFonts w:hint="eastAsia" w:ascii="Times New Roman" w:hAnsi="Times New Roman" w:cs="Times New Roman"/>
          <w:color w:val="auto"/>
          <w:sz w:val="24"/>
          <w:u w:val="none"/>
          <w:lang w:val="en-US" w:eastAsia="zh-CN"/>
        </w:rPr>
        <w:t>项目位于</w:t>
      </w:r>
      <w:r>
        <w:rPr>
          <w:rFonts w:hint="default" w:ascii="Times New Roman" w:hAnsi="Times New Roman" w:cs="Times New Roman"/>
          <w:color w:val="auto"/>
          <w:sz w:val="24"/>
          <w:u w:val="none"/>
          <w:lang w:val="en-US" w:eastAsia="zh-CN"/>
        </w:rPr>
        <w:t>农村环境，使用盐泉镇通远村（原葫芦村4社） 集体土地</w:t>
      </w:r>
      <w:r>
        <w:rPr>
          <w:rFonts w:hint="eastAsia" w:ascii="Times New Roman" w:hAnsi="Times New Roman" w:cs="Times New Roman"/>
          <w:color w:val="auto"/>
          <w:sz w:val="24"/>
          <w:u w:val="none"/>
          <w:lang w:val="en-US" w:eastAsia="zh-CN"/>
        </w:rPr>
        <w:t>，土地现状为一般耕地和部分园地，</w:t>
      </w:r>
      <w:r>
        <w:rPr>
          <w:color w:val="auto"/>
        </w:rPr>
        <w:t>不占用基本农田。</w:t>
      </w:r>
      <w:r>
        <w:rPr>
          <w:rFonts w:hint="eastAsia" w:ascii="Times New Roman" w:hAnsi="Times New Roman" w:cs="Times New Roman"/>
          <w:color w:val="auto"/>
          <w:sz w:val="24"/>
          <w:u w:val="none"/>
          <w:lang w:val="en-US" w:eastAsia="zh-CN"/>
        </w:rPr>
        <w:t>规划</w:t>
      </w:r>
      <w:r>
        <w:rPr>
          <w:rFonts w:hint="default" w:ascii="Times New Roman" w:hAnsi="Times New Roman" w:cs="Times New Roman"/>
          <w:color w:val="auto"/>
          <w:sz w:val="24"/>
          <w:u w:val="none"/>
          <w:lang w:val="en-US" w:eastAsia="zh-CN"/>
        </w:rPr>
        <w:t>为建设用地</w:t>
      </w:r>
      <w:r>
        <w:rPr>
          <w:rFonts w:hint="eastAsia" w:ascii="Times New Roman" w:hAnsi="Times New Roman" w:cs="Times New Roman"/>
          <w:color w:val="auto"/>
          <w:sz w:val="24"/>
          <w:u w:val="none"/>
          <w:lang w:val="en-US" w:eastAsia="zh-CN"/>
        </w:rPr>
        <w:t>和农用地</w:t>
      </w:r>
      <w:r>
        <w:rPr>
          <w:rFonts w:hint="default" w:ascii="Times New Roman" w:hAnsi="Times New Roman" w:cs="Times New Roman"/>
          <w:color w:val="auto"/>
          <w:sz w:val="24"/>
          <w:u w:val="none"/>
          <w:lang w:val="en-US" w:eastAsia="zh-CN"/>
        </w:rPr>
        <w:t>。项目不占用基本农田</w:t>
      </w:r>
      <w:r>
        <w:rPr>
          <w:rFonts w:hint="eastAsia" w:ascii="Times New Roman" w:hAnsi="Times New Roman" w:cs="Times New Roman"/>
          <w:color w:val="auto"/>
          <w:sz w:val="24"/>
          <w:u w:val="none"/>
          <w:lang w:val="en-US" w:eastAsia="zh-CN"/>
        </w:rPr>
        <w:t>。</w:t>
      </w:r>
      <w:r>
        <w:rPr>
          <w:rFonts w:hint="default" w:ascii="Times New Roman" w:hAnsi="Times New Roman" w:cs="Times New Roman"/>
          <w:color w:val="auto"/>
          <w:sz w:val="24"/>
          <w:szCs w:val="24"/>
          <w:u w:val="none"/>
          <w:lang w:eastAsia="zh-CN"/>
        </w:rPr>
        <w:t>建设单位从绵阳市游仙区盐泉镇人民政府</w:t>
      </w:r>
      <w:r>
        <w:rPr>
          <w:rFonts w:hint="eastAsia" w:ascii="Times New Roman" w:hAnsi="Times New Roman" w:cs="Times New Roman"/>
          <w:color w:val="auto"/>
          <w:sz w:val="24"/>
          <w:szCs w:val="24"/>
          <w:u w:val="none"/>
          <w:lang w:eastAsia="zh-CN"/>
        </w:rPr>
        <w:t>（绵游盐府发〔2020〕54号）</w:t>
      </w:r>
      <w:r>
        <w:rPr>
          <w:rFonts w:hint="default" w:ascii="Times New Roman" w:hAnsi="Times New Roman" w:cs="Times New Roman"/>
          <w:color w:val="auto"/>
          <w:sz w:val="24"/>
          <w:szCs w:val="24"/>
          <w:u w:val="none"/>
          <w:lang w:eastAsia="zh-CN"/>
        </w:rPr>
        <w:t>取得了</w:t>
      </w:r>
      <w:r>
        <w:rPr>
          <w:rFonts w:hint="eastAsia" w:ascii="Times New Roman" w:hAnsi="Times New Roman" w:cs="Times New Roman"/>
          <w:color w:val="auto"/>
          <w:sz w:val="24"/>
          <w:szCs w:val="24"/>
          <w:u w:val="none"/>
          <w:lang w:eastAsia="zh-CN"/>
        </w:rPr>
        <w:t>关于建设项目土地占用的批复</w:t>
      </w:r>
      <w:r>
        <w:rPr>
          <w:rFonts w:hint="default" w:ascii="Times New Roman" w:hAnsi="Times New Roman" w:cs="Times New Roman"/>
          <w:color w:val="auto"/>
          <w:sz w:val="24"/>
          <w:szCs w:val="24"/>
          <w:u w:val="none"/>
          <w:lang w:eastAsia="zh-CN"/>
        </w:rPr>
        <w:t>。</w:t>
      </w:r>
    </w:p>
    <w:p>
      <w:pPr>
        <w:ind w:firstLine="480"/>
        <w:rPr>
          <w:color w:val="auto"/>
        </w:rPr>
      </w:pPr>
      <w:r>
        <w:rPr>
          <w:color w:val="auto"/>
        </w:rPr>
        <w:t>对照《</w:t>
      </w:r>
      <w:r>
        <w:rPr>
          <w:rFonts w:hint="eastAsia"/>
          <w:color w:val="auto"/>
          <w:lang w:eastAsia="zh-CN"/>
        </w:rPr>
        <w:t>绵阳市游仙区畜禽养殖禁养区划定方案</w:t>
      </w:r>
      <w:r>
        <w:rPr>
          <w:color w:val="auto"/>
        </w:rPr>
        <w:t>》中的禁养区范围，本项目不在</w:t>
      </w:r>
      <w:r>
        <w:rPr>
          <w:rFonts w:hint="eastAsia"/>
          <w:color w:val="auto"/>
          <w:lang w:eastAsia="zh-CN"/>
        </w:rPr>
        <w:t>游仙区</w:t>
      </w:r>
      <w:r>
        <w:rPr>
          <w:color w:val="auto"/>
        </w:rPr>
        <w:t>畜禽养殖禁养区范围内。</w:t>
      </w:r>
    </w:p>
    <w:p>
      <w:pPr>
        <w:ind w:firstLine="480"/>
        <w:rPr>
          <w:color w:val="auto"/>
        </w:rPr>
      </w:pPr>
      <w:r>
        <w:rPr>
          <w:color w:val="auto"/>
        </w:rPr>
        <w:t>因此，本项目的建设符合当地规划要求。</w:t>
      </w:r>
    </w:p>
    <w:p>
      <w:pPr>
        <w:ind w:firstLine="482"/>
        <w:rPr>
          <w:b/>
          <w:bCs/>
          <w:color w:val="auto"/>
        </w:rPr>
      </w:pPr>
      <w:r>
        <w:rPr>
          <w:b/>
          <w:bCs/>
          <w:color w:val="auto"/>
        </w:rPr>
        <w:t>2、与</w:t>
      </w:r>
      <w:r>
        <w:rPr>
          <w:rFonts w:hint="eastAsia"/>
          <w:b/>
          <w:bCs/>
          <w:color w:val="auto"/>
        </w:rPr>
        <w:t>相关规范</w:t>
      </w:r>
      <w:r>
        <w:rPr>
          <w:b/>
          <w:bCs/>
          <w:color w:val="auto"/>
        </w:rPr>
        <w:t>符合性分析</w:t>
      </w:r>
    </w:p>
    <w:p>
      <w:pPr>
        <w:ind w:firstLine="480"/>
        <w:rPr>
          <w:color w:val="auto"/>
        </w:rPr>
      </w:pPr>
      <w:r>
        <w:rPr>
          <w:color w:val="auto"/>
        </w:rPr>
        <w:t>本项目为大中型优质生猪标准化规模养殖场，项目采用种养结合的方式，建有粪便、污水与雨水分流设施，项目废水经处理后全部还田，厌氧发酵产生的沼气用于项目食堂燃料</w:t>
      </w:r>
      <w:r>
        <w:rPr>
          <w:rFonts w:hint="eastAsia"/>
          <w:color w:val="auto"/>
          <w:lang w:eastAsia="zh-CN"/>
        </w:rPr>
        <w:t>，</w:t>
      </w:r>
      <w:r>
        <w:rPr>
          <w:rFonts w:hint="eastAsia"/>
          <w:color w:val="auto"/>
          <w:lang w:val="en-US" w:eastAsia="zh-CN"/>
        </w:rPr>
        <w:t>剩余火炬燃烧</w:t>
      </w:r>
      <w:r>
        <w:rPr>
          <w:color w:val="auto"/>
        </w:rPr>
        <w:t>，猪粪、沼渣用于有机肥的生产，满足</w:t>
      </w:r>
      <w:r>
        <w:rPr>
          <w:rFonts w:hint="eastAsia"/>
          <w:color w:val="auto"/>
        </w:rPr>
        <w:t>《国务院办公厅关于加快推进畜禽养殖废弃物资源化利用的意见》、《畜禽粪污资源化利用行动方案（2017—2020年）》的通知（农牧发[2017]11号）、《四川省畜禽养殖污染防治技术指南（试行）》（川农业函【2017】647号）、《关于印发四川省打赢蓝天保卫战等九个实施方案的通知》、《绵阳市畜禽污染防治规划》、《</w:t>
      </w:r>
      <w:r>
        <w:rPr>
          <w:rFonts w:hint="eastAsia"/>
          <w:color w:val="auto"/>
          <w:lang w:eastAsia="zh-CN"/>
        </w:rPr>
        <w:t>绵阳市游仙区畜禽养殖禁养区划定方案</w:t>
      </w:r>
      <w:r>
        <w:rPr>
          <w:rFonts w:hint="eastAsia"/>
          <w:color w:val="auto"/>
        </w:rPr>
        <w:t>》等技术规范。</w:t>
      </w:r>
    </w:p>
    <w:p>
      <w:pPr>
        <w:ind w:firstLine="480"/>
        <w:rPr>
          <w:bCs/>
          <w:color w:val="auto"/>
        </w:rPr>
      </w:pPr>
      <w:r>
        <w:rPr>
          <w:bCs/>
          <w:color w:val="auto"/>
        </w:rPr>
        <w:t>综上，本项目的建设符合相关规划要求。</w:t>
      </w:r>
    </w:p>
    <w:p>
      <w:pPr>
        <w:pStyle w:val="8"/>
        <w:tabs>
          <w:tab w:val="clear" w:pos="0"/>
        </w:tabs>
        <w:rPr>
          <w:rFonts w:hint="eastAsia" w:eastAsia="黑体"/>
          <w:color w:val="auto"/>
          <w:sz w:val="28"/>
          <w:szCs w:val="28"/>
        </w:rPr>
      </w:pPr>
      <w:r>
        <w:rPr>
          <w:rFonts w:hint="eastAsia" w:eastAsia="黑体"/>
          <w:color w:val="auto"/>
          <w:sz w:val="28"/>
          <w:szCs w:val="28"/>
        </w:rPr>
        <w:t>与“三线一单”控制要求的相符性分析</w:t>
      </w:r>
    </w:p>
    <w:p>
      <w:pPr>
        <w:ind w:firstLine="480"/>
        <w:rPr>
          <w:rFonts w:hint="eastAsia"/>
          <w:bCs/>
          <w:color w:val="auto"/>
        </w:rPr>
      </w:pPr>
      <w:r>
        <w:rPr>
          <w:rFonts w:hint="eastAsia"/>
          <w:bCs/>
          <w:color w:val="auto"/>
        </w:rPr>
        <w:t>根据四川省人民政府《关于印发四川省生态保护红线方案的通知》（川府发【2018】24号）和《四川省生态保护红线方案》，本项目不在划定的生态保护红线范围内，项目建设符合四川省生态保护红线方案的相关要求。根据环境质量现状监测章节，</w:t>
      </w:r>
      <w:r>
        <w:rPr>
          <w:bCs/>
          <w:color w:val="auto"/>
        </w:rPr>
        <w:t>项目所在区域</w:t>
      </w:r>
      <w:r>
        <w:rPr>
          <w:rFonts w:hint="eastAsia"/>
          <w:bCs/>
          <w:color w:val="auto"/>
        </w:rPr>
        <w:t xml:space="preserve">环境质量良好，未超出环境质量底线。项目用地不占用基本农田，不涉及土地资源利用上线；项目需要的原辅材料量较小，均在当地市场购买；项目对当地的资源需求量很少，未涉及资源利用上线。查阅《四川省国家重点生态功能区产业准入负面清单（第一批）（试行）》和《四川省国家重点生态功能区产业准入负面清单（第二批）（试行）》本项目不属于其中的限制类和禁止类，本项目所在地不属于国家重点生态功能区，不在环境准入负面清单内。 </w:t>
      </w:r>
    </w:p>
    <w:p>
      <w:pPr>
        <w:ind w:firstLine="480"/>
        <w:rPr>
          <w:bCs/>
          <w:color w:val="auto"/>
        </w:rPr>
      </w:pPr>
      <w:r>
        <w:rPr>
          <w:rFonts w:hint="eastAsia"/>
          <w:bCs/>
          <w:color w:val="auto"/>
        </w:rPr>
        <w:t>因此，项目不在生态保护红线内、未超出环境质量底线及资源利用上线、未列入环境准入负面清单内。本项目的建设与生态环境部发布的《关于以改善环境质量为核心加强环境影响评价管理的通知》中“三线一单”的要求相符。</w:t>
      </w:r>
    </w:p>
    <w:p>
      <w:pPr>
        <w:pStyle w:val="8"/>
        <w:tabs>
          <w:tab w:val="clear" w:pos="0"/>
        </w:tabs>
        <w:rPr>
          <w:rFonts w:eastAsia="黑体"/>
          <w:color w:val="auto"/>
          <w:sz w:val="28"/>
          <w:szCs w:val="28"/>
        </w:rPr>
      </w:pPr>
      <w:r>
        <w:rPr>
          <w:rFonts w:eastAsia="黑体"/>
          <w:color w:val="auto"/>
          <w:sz w:val="28"/>
          <w:szCs w:val="28"/>
        </w:rPr>
        <w:t>选址合理性分析</w:t>
      </w:r>
    </w:p>
    <w:p>
      <w:pPr>
        <w:ind w:firstLine="480"/>
        <w:rPr>
          <w:bCs/>
          <w:color w:val="auto"/>
        </w:rPr>
      </w:pPr>
      <w:r>
        <w:rPr>
          <w:color w:val="auto"/>
        </w:rPr>
        <w:t>本项目</w:t>
      </w:r>
      <w:r>
        <w:rPr>
          <w:rFonts w:hint="eastAsia"/>
          <w:color w:val="auto"/>
        </w:rPr>
        <w:t>选</w:t>
      </w:r>
      <w:r>
        <w:rPr>
          <w:color w:val="auto"/>
        </w:rPr>
        <w:t>址于</w:t>
      </w:r>
      <w:r>
        <w:rPr>
          <w:rFonts w:hint="eastAsia"/>
          <w:color w:val="auto"/>
        </w:rPr>
        <w:t>四川省</w:t>
      </w:r>
      <w:r>
        <w:rPr>
          <w:rFonts w:hint="eastAsia"/>
          <w:color w:val="auto"/>
          <w:lang w:eastAsia="zh-CN"/>
        </w:rPr>
        <w:t>绵阳市游仙区盐泉镇通远村（原葫芦村4社）</w:t>
      </w:r>
      <w:r>
        <w:rPr>
          <w:rFonts w:hint="eastAsia"/>
          <w:color w:val="auto"/>
        </w:rPr>
        <w:t>山上</w:t>
      </w:r>
      <w:r>
        <w:rPr>
          <w:color w:val="auto"/>
        </w:rPr>
        <w:t>，拟建地附近无自然保护区、生活饮用水水源保护区、风景名胜区、城镇居民区、文化教育科学研究区等人口集中区域等敏感地区分布。项目选址符合《畜禽养殖业污染防治技术规范》（HJ/T81-2001）</w:t>
      </w:r>
      <w:r>
        <w:rPr>
          <w:bCs/>
          <w:color w:val="auto"/>
        </w:rPr>
        <w:t>和</w:t>
      </w:r>
      <w:r>
        <w:rPr>
          <w:color w:val="auto"/>
        </w:rPr>
        <w:t>《畜禽规模养殖污染防治条例》的相关规定。同时，</w:t>
      </w:r>
      <w:r>
        <w:rPr>
          <w:rFonts w:hint="eastAsia"/>
          <w:color w:val="auto"/>
          <w:lang w:eastAsia="zh-CN"/>
        </w:rPr>
        <w:t>项目</w:t>
      </w:r>
      <w:r>
        <w:rPr>
          <w:rFonts w:hint="eastAsia"/>
          <w:color w:val="auto"/>
          <w:lang w:val="en-US" w:eastAsia="zh-CN"/>
        </w:rPr>
        <w:t>选址</w:t>
      </w:r>
      <w:r>
        <w:rPr>
          <w:rFonts w:hint="eastAsia"/>
          <w:color w:val="auto"/>
        </w:rPr>
        <w:t>不在</w:t>
      </w:r>
      <w:r>
        <w:rPr>
          <w:rFonts w:hint="eastAsia"/>
          <w:color w:val="auto"/>
          <w:lang w:val="en-US" w:eastAsia="zh-CN"/>
        </w:rPr>
        <w:t>游仙区</w:t>
      </w:r>
      <w:r>
        <w:rPr>
          <w:rFonts w:hint="eastAsia"/>
          <w:color w:val="auto"/>
        </w:rPr>
        <w:t>畜禽养殖禁养区和限养区内。</w:t>
      </w:r>
    </w:p>
    <w:p>
      <w:pPr>
        <w:ind w:firstLine="480"/>
        <w:rPr>
          <w:color w:val="auto"/>
        </w:rPr>
      </w:pPr>
      <w:r>
        <w:rPr>
          <w:color w:val="auto"/>
        </w:rPr>
        <w:t>综上所述，项目选址符合</w:t>
      </w:r>
      <w:r>
        <w:rPr>
          <w:bCs/>
          <w:color w:val="auto"/>
        </w:rPr>
        <w:t>《畜禽养殖业污染防治技术规范》和</w:t>
      </w:r>
      <w:r>
        <w:rPr>
          <w:color w:val="auto"/>
        </w:rPr>
        <w:t>《畜禽规模养殖污染防治条例》的相关规定。本项目场址符合当地环境功能区划和</w:t>
      </w:r>
      <w:r>
        <w:rPr>
          <w:rFonts w:hint="eastAsia"/>
          <w:color w:val="auto"/>
          <w:lang w:val="en-US" w:eastAsia="zh-CN"/>
        </w:rPr>
        <w:t>游仙区</w:t>
      </w:r>
      <w:r>
        <w:rPr>
          <w:color w:val="auto"/>
        </w:rPr>
        <w:t>的畜禽养殖相关要求。从环境保护角度而言，项目选址合理。</w:t>
      </w:r>
    </w:p>
    <w:p>
      <w:pPr>
        <w:pStyle w:val="8"/>
        <w:tabs>
          <w:tab w:val="clear" w:pos="0"/>
        </w:tabs>
        <w:rPr>
          <w:rFonts w:eastAsia="黑体"/>
          <w:color w:val="auto"/>
          <w:sz w:val="28"/>
          <w:szCs w:val="28"/>
        </w:rPr>
      </w:pPr>
      <w:r>
        <w:rPr>
          <w:rFonts w:eastAsia="黑体"/>
          <w:color w:val="auto"/>
          <w:sz w:val="28"/>
          <w:szCs w:val="28"/>
        </w:rPr>
        <w:t>区域环境质量现状</w:t>
      </w:r>
    </w:p>
    <w:p>
      <w:pPr>
        <w:ind w:firstLine="480"/>
        <w:rPr>
          <w:color w:val="auto"/>
        </w:rPr>
      </w:pPr>
      <w:r>
        <w:rPr>
          <w:color w:val="auto"/>
        </w:rPr>
        <w:t>（1）环境空气质量现状：</w:t>
      </w:r>
      <w:r>
        <w:rPr>
          <w:rFonts w:hint="eastAsia"/>
          <w:color w:val="auto"/>
        </w:rPr>
        <w:t>本项目所在区域环境空气质量判定为达标区，环境空气质量能够满足《环境空气质量标准》（GB3095-2012）及其修改单中二级标准要求；区域内</w:t>
      </w:r>
      <w:r>
        <w:rPr>
          <w:color w:val="auto"/>
        </w:rPr>
        <w:t>NH</w:t>
      </w:r>
      <w:r>
        <w:rPr>
          <w:color w:val="auto"/>
          <w:vertAlign w:val="subscript"/>
        </w:rPr>
        <w:t>3</w:t>
      </w:r>
      <w:r>
        <w:rPr>
          <w:color w:val="auto"/>
        </w:rPr>
        <w:t>和H</w:t>
      </w:r>
      <w:r>
        <w:rPr>
          <w:color w:val="auto"/>
          <w:vertAlign w:val="subscript"/>
        </w:rPr>
        <w:t>2</w:t>
      </w:r>
      <w:r>
        <w:rPr>
          <w:color w:val="auto"/>
        </w:rPr>
        <w:t>S的浓度值符合《环境影响评价技术导则  大气环境》（HJ2.2-2018）附录D的浓度限值要求</w:t>
      </w:r>
      <w:r>
        <w:rPr>
          <w:rFonts w:hint="eastAsia"/>
          <w:color w:val="auto"/>
        </w:rPr>
        <w:t>。</w:t>
      </w:r>
    </w:p>
    <w:p>
      <w:pPr>
        <w:ind w:firstLine="480"/>
        <w:rPr>
          <w:color w:val="auto"/>
        </w:rPr>
      </w:pPr>
      <w:r>
        <w:rPr>
          <w:color w:val="auto"/>
        </w:rPr>
        <w:t>（2）地表水环境质量现状：</w:t>
      </w:r>
      <w:r>
        <w:rPr>
          <w:rFonts w:hint="eastAsia" w:ascii="宋体" w:hAnsi="宋体" w:eastAsia="宋体" w:cs="宋体"/>
          <w:color w:val="auto"/>
          <w:sz w:val="24"/>
          <w:szCs w:val="24"/>
          <w:u w:val="none" w:color="auto"/>
          <w:lang w:val="en-US" w:eastAsia="zh-CN"/>
        </w:rPr>
        <w:t>根据绵阳市生态环境局发布的2021年1月绵阳市地表水水质月报，</w:t>
      </w:r>
      <w:r>
        <w:rPr>
          <w:rFonts w:hint="default"/>
          <w:color w:val="auto"/>
          <w:lang w:val="en-US" w:eastAsia="zh-CN"/>
        </w:rPr>
        <w:t>项目</w:t>
      </w:r>
      <w:r>
        <w:rPr>
          <w:rFonts w:hint="eastAsia"/>
          <w:color w:val="auto"/>
          <w:lang w:val="en-US" w:eastAsia="zh-CN"/>
        </w:rPr>
        <w:t>东侧魏城河</w:t>
      </w:r>
      <w:r>
        <w:rPr>
          <w:rFonts w:hint="default"/>
          <w:color w:val="auto"/>
          <w:lang w:val="en-US" w:eastAsia="zh-CN"/>
        </w:rPr>
        <w:t>水质各监测指标均满足《地表水环境质量标准》（GB3838-2002）Ⅲ类水域标准要求</w:t>
      </w:r>
      <w:r>
        <w:rPr>
          <w:color w:val="auto"/>
        </w:rPr>
        <w:t>。</w:t>
      </w:r>
    </w:p>
    <w:p>
      <w:pPr>
        <w:ind w:firstLine="480"/>
        <w:rPr>
          <w:color w:val="auto"/>
        </w:rPr>
      </w:pPr>
      <w:r>
        <w:rPr>
          <w:color w:val="auto"/>
        </w:rPr>
        <w:t>（3）地下水质量现状：现状监测及评价结果表明，地下水监测点的各项水质指标均</w:t>
      </w:r>
      <w:r>
        <w:rPr>
          <w:rFonts w:hint="eastAsia"/>
          <w:color w:val="auto"/>
        </w:rPr>
        <w:t>能满足</w:t>
      </w:r>
      <w:r>
        <w:rPr>
          <w:color w:val="auto"/>
        </w:rPr>
        <w:t>《地下水质量标准》（GB/T 14848-2017）中的Ⅲ类标准</w:t>
      </w:r>
      <w:r>
        <w:rPr>
          <w:rFonts w:hint="eastAsia"/>
          <w:color w:val="auto"/>
        </w:rPr>
        <w:t>要求</w:t>
      </w:r>
      <w:r>
        <w:rPr>
          <w:color w:val="auto"/>
        </w:rPr>
        <w:t>。</w:t>
      </w:r>
    </w:p>
    <w:p>
      <w:pPr>
        <w:ind w:firstLine="480"/>
        <w:rPr>
          <w:color w:val="auto"/>
        </w:rPr>
      </w:pPr>
      <w:r>
        <w:rPr>
          <w:color w:val="auto"/>
        </w:rPr>
        <w:t>（4）声环境质量现状：现状监测及评价结果表明，项目四周厂界昼夜间噪声监测值均满足《声环境质量标准》（GB3096-2008）中2类标准限值</w:t>
      </w:r>
      <w:r>
        <w:rPr>
          <w:rFonts w:hint="eastAsia"/>
          <w:color w:val="auto"/>
        </w:rPr>
        <w:t>要</w:t>
      </w:r>
      <w:r>
        <w:rPr>
          <w:color w:val="auto"/>
        </w:rPr>
        <w:t>求。</w:t>
      </w:r>
    </w:p>
    <w:p>
      <w:pPr>
        <w:ind w:firstLine="480"/>
        <w:rPr>
          <w:rFonts w:hint="eastAsia"/>
          <w:color w:val="auto"/>
        </w:rPr>
      </w:pPr>
      <w:r>
        <w:rPr>
          <w:color w:val="auto"/>
        </w:rPr>
        <w:t>（5）</w:t>
      </w:r>
      <w:r>
        <w:rPr>
          <w:rFonts w:hint="eastAsia"/>
          <w:color w:val="auto"/>
        </w:rPr>
        <w:t>土壤</w:t>
      </w:r>
      <w:r>
        <w:rPr>
          <w:color w:val="auto"/>
        </w:rPr>
        <w:t>环境质量现状：现状监测及评价结果表明，</w:t>
      </w:r>
      <w:r>
        <w:rPr>
          <w:rFonts w:hint="eastAsia"/>
          <w:color w:val="auto"/>
        </w:rPr>
        <w:t>土壤</w:t>
      </w:r>
      <w:r>
        <w:rPr>
          <w:color w:val="auto"/>
        </w:rPr>
        <w:t>监测点的各项</w:t>
      </w:r>
      <w:r>
        <w:rPr>
          <w:rFonts w:hint="eastAsia"/>
          <w:color w:val="auto"/>
        </w:rPr>
        <w:t>监测</w:t>
      </w:r>
      <w:r>
        <w:rPr>
          <w:color w:val="auto"/>
        </w:rPr>
        <w:t>指标均能满足《土壤环境质量标准 农用地土壤污染风险管控标准（试行）》（GB 15618-2018）中的表1农用地土壤污染风险筛选值要求。</w:t>
      </w:r>
    </w:p>
    <w:p>
      <w:pPr>
        <w:pStyle w:val="8"/>
        <w:tabs>
          <w:tab w:val="clear" w:pos="0"/>
        </w:tabs>
        <w:rPr>
          <w:rFonts w:eastAsia="黑体"/>
          <w:color w:val="auto"/>
          <w:sz w:val="28"/>
          <w:szCs w:val="28"/>
        </w:rPr>
      </w:pPr>
      <w:r>
        <w:rPr>
          <w:rFonts w:eastAsia="黑体"/>
          <w:color w:val="auto"/>
          <w:sz w:val="28"/>
          <w:szCs w:val="28"/>
        </w:rPr>
        <w:t>环境影响评价结论</w:t>
      </w:r>
    </w:p>
    <w:p>
      <w:pPr>
        <w:pStyle w:val="9"/>
        <w:spacing w:before="120" w:beforeLines="50"/>
        <w:rPr>
          <w:color w:val="auto"/>
        </w:rPr>
      </w:pPr>
      <w:r>
        <w:rPr>
          <w:rFonts w:hint="eastAsia"/>
          <w:color w:val="auto"/>
        </w:rPr>
        <w:t>施工</w:t>
      </w:r>
      <w:r>
        <w:rPr>
          <w:color w:val="auto"/>
        </w:rPr>
        <w:t>期环境影响评价结论</w:t>
      </w:r>
    </w:p>
    <w:p>
      <w:pPr>
        <w:ind w:firstLine="480"/>
        <w:rPr>
          <w:rFonts w:hint="eastAsia"/>
          <w:color w:val="auto"/>
        </w:rPr>
      </w:pPr>
      <w:r>
        <w:rPr>
          <w:rFonts w:hint="eastAsia"/>
          <w:color w:val="auto"/>
        </w:rPr>
        <w:t>（1）施工期大气环境影响</w:t>
      </w:r>
    </w:p>
    <w:p>
      <w:pPr>
        <w:ind w:firstLine="480"/>
        <w:rPr>
          <w:rFonts w:hint="eastAsia"/>
          <w:color w:val="auto"/>
        </w:rPr>
      </w:pPr>
      <w:r>
        <w:rPr>
          <w:rFonts w:hint="eastAsia"/>
          <w:color w:val="auto"/>
        </w:rPr>
        <w:t>在采取洒水降尘；保持沿线道路清洁、控制车速；施工场地设置1.8m高施工围挡；加强施工期施工场地管理；各类堆场做覆盖处理；使用年检合格的施工机械，施工机械使用优质燃料</w:t>
      </w:r>
      <w:r>
        <w:rPr>
          <w:rFonts w:hint="eastAsia"/>
          <w:color w:val="auto"/>
          <w:lang w:val="en-US" w:eastAsia="zh-CN"/>
        </w:rPr>
        <w:t xml:space="preserve">气；通过选用环保型装修材料， 加强通风换气等减少装修废气的影响。在此基础之上，施工期废气对周边大气环境 影响不大。 </w:t>
      </w:r>
    </w:p>
    <w:p>
      <w:pPr>
        <w:ind w:firstLine="480"/>
        <w:rPr>
          <w:rFonts w:hint="eastAsia"/>
          <w:color w:val="auto"/>
        </w:rPr>
      </w:pPr>
      <w:r>
        <w:rPr>
          <w:rFonts w:hint="eastAsia"/>
          <w:color w:val="auto"/>
        </w:rPr>
        <w:t>（2）施工期水环境影响</w:t>
      </w:r>
    </w:p>
    <w:p>
      <w:pPr>
        <w:ind w:firstLine="480"/>
        <w:rPr>
          <w:rFonts w:hint="eastAsia"/>
          <w:color w:val="auto"/>
        </w:rPr>
      </w:pPr>
      <w:r>
        <w:rPr>
          <w:rFonts w:hint="eastAsia"/>
          <w:color w:val="auto"/>
        </w:rPr>
        <w:t>施工生产废水经隔油沉淀后回用于场地洒水降尘和进出施工场地道路洒水降尘，不外排；施工期少量生活污水进入</w:t>
      </w:r>
      <w:r>
        <w:rPr>
          <w:rFonts w:hint="eastAsia"/>
          <w:color w:val="auto"/>
          <w:lang w:val="en-US" w:eastAsia="zh-CN"/>
        </w:rPr>
        <w:t>厂区污水处理站</w:t>
      </w:r>
      <w:r>
        <w:rPr>
          <w:rFonts w:hint="eastAsia"/>
          <w:color w:val="auto"/>
        </w:rPr>
        <w:t>收集处理后用于周边耕地施肥，不外排；</w:t>
      </w:r>
      <w:r>
        <w:rPr>
          <w:color w:val="auto"/>
        </w:rPr>
        <w:t>项目施工期产生的废水不会对项目所在区域的水环境造成明显不利影响。</w:t>
      </w:r>
    </w:p>
    <w:p>
      <w:pPr>
        <w:ind w:firstLine="480"/>
        <w:rPr>
          <w:rFonts w:hint="eastAsia"/>
          <w:color w:val="auto"/>
        </w:rPr>
      </w:pPr>
      <w:r>
        <w:rPr>
          <w:rFonts w:hint="eastAsia"/>
          <w:color w:val="auto"/>
        </w:rPr>
        <w:t>（3）施工期声环境影响</w:t>
      </w:r>
    </w:p>
    <w:p>
      <w:pPr>
        <w:ind w:firstLine="480"/>
        <w:rPr>
          <w:color w:val="auto"/>
        </w:rPr>
      </w:pPr>
      <w:r>
        <w:rPr>
          <w:color w:val="auto"/>
        </w:rPr>
        <w:t>由于高噪声机械设备施工只在昼间进行，且施工期是暂时的，噪声属不连续排放。因此施工期间噪声值可满足《建筑施工场界环境噪声排放标准》（GB12523-2011）标准的要求，施工噪声可实现达标排放。本项目猪舍等建筑物周边</w:t>
      </w:r>
      <w:r>
        <w:rPr>
          <w:rFonts w:hint="eastAsia"/>
          <w:color w:val="auto"/>
        </w:rPr>
        <w:t>2</w:t>
      </w:r>
      <w:r>
        <w:rPr>
          <w:color w:val="auto"/>
        </w:rPr>
        <w:t>00m范围内无居民等敏感点，因此施工期噪声对周围居民影响不大。</w:t>
      </w:r>
    </w:p>
    <w:p>
      <w:pPr>
        <w:ind w:firstLine="480"/>
        <w:rPr>
          <w:color w:val="auto"/>
        </w:rPr>
      </w:pPr>
      <w:r>
        <w:rPr>
          <w:color w:val="auto"/>
        </w:rPr>
        <w:t>为了进一步减小施工期噪声的影响，环评要求合理布设固定源机械（如空压机），尽量布置于远离居民点，在场地四周设置施工围挡（1.8m高），加强施工期环境管理，在此条件下施工噪声不会对周围声环境敏感点带来不利影响，不会改变施工场地周边声功能区划。材料运输安排在白天进行，在经过村庄时采取限速、禁鸣等措施，在此前提下，运输车辆产生的噪声不会改变沿线声功能区划。在采取相关噪声治理措施后，施工期产生的噪声贡献值较小，不会对周围敏感点产生明显影响。</w:t>
      </w:r>
    </w:p>
    <w:p>
      <w:pPr>
        <w:ind w:firstLine="480"/>
        <w:rPr>
          <w:rFonts w:hint="eastAsia"/>
          <w:color w:val="auto"/>
        </w:rPr>
      </w:pPr>
      <w:r>
        <w:rPr>
          <w:rFonts w:hint="eastAsia"/>
          <w:color w:val="auto"/>
        </w:rPr>
        <w:t>（4）施工期固体废物影响</w:t>
      </w:r>
    </w:p>
    <w:p>
      <w:pPr>
        <w:ind w:firstLine="480"/>
        <w:rPr>
          <w:color w:val="auto"/>
        </w:rPr>
      </w:pPr>
      <w:r>
        <w:rPr>
          <w:rFonts w:hint="eastAsia"/>
          <w:color w:val="auto"/>
        </w:rPr>
        <w:t>施工期间建筑垃圾中可以回收利用的建筑材料应尽量回收利用，其余建筑垃圾运送至</w:t>
      </w:r>
      <w:r>
        <w:rPr>
          <w:color w:val="auto"/>
        </w:rPr>
        <w:t>当地管理部门指定的</w:t>
      </w:r>
      <w:r>
        <w:rPr>
          <w:rFonts w:hint="eastAsia"/>
          <w:color w:val="auto"/>
        </w:rPr>
        <w:t>地点堆放。项目土石方量平衡后无外运弃土产生。施工人员生活垃圾</w:t>
      </w:r>
      <w:r>
        <w:rPr>
          <w:color w:val="auto"/>
        </w:rPr>
        <w:t>经袋装收集后交由当地环卫部门统一清运处置</w:t>
      </w:r>
      <w:r>
        <w:rPr>
          <w:rFonts w:hint="eastAsia"/>
          <w:color w:val="auto"/>
        </w:rPr>
        <w:t>。因此，</w:t>
      </w:r>
      <w:r>
        <w:rPr>
          <w:color w:val="auto"/>
        </w:rPr>
        <w:t>施工期的固体废弃物可得到有效处理和处置，不会造成二次污染。</w:t>
      </w:r>
    </w:p>
    <w:p>
      <w:pPr>
        <w:ind w:firstLine="480"/>
        <w:rPr>
          <w:rFonts w:hint="eastAsia"/>
          <w:color w:val="auto"/>
        </w:rPr>
      </w:pPr>
      <w:r>
        <w:rPr>
          <w:rFonts w:hint="eastAsia"/>
          <w:color w:val="auto"/>
        </w:rPr>
        <w:t>（</w:t>
      </w:r>
      <w:r>
        <w:rPr>
          <w:color w:val="auto"/>
        </w:rPr>
        <w:t>5</w:t>
      </w:r>
      <w:r>
        <w:rPr>
          <w:rFonts w:hint="eastAsia"/>
          <w:color w:val="auto"/>
        </w:rPr>
        <w:t>）施工期生态环境影响</w:t>
      </w:r>
    </w:p>
    <w:p>
      <w:pPr>
        <w:ind w:firstLine="480"/>
        <w:rPr>
          <w:color w:val="auto"/>
          <w:kern w:val="0"/>
        </w:rPr>
      </w:pPr>
      <w:r>
        <w:rPr>
          <w:color w:val="auto"/>
          <w:kern w:val="0"/>
        </w:rPr>
        <w:t>项目</w:t>
      </w:r>
      <w:r>
        <w:rPr>
          <w:color w:val="auto"/>
        </w:rPr>
        <w:t>用地现状为</w:t>
      </w:r>
      <w:r>
        <w:rPr>
          <w:rFonts w:hint="eastAsia"/>
          <w:color w:val="auto"/>
          <w:lang w:val="en-US" w:eastAsia="zh-CN"/>
        </w:rPr>
        <w:t>耕地</w:t>
      </w:r>
      <w:r>
        <w:rPr>
          <w:rFonts w:hint="eastAsia"/>
          <w:color w:val="auto"/>
        </w:rPr>
        <w:t>和</w:t>
      </w:r>
      <w:r>
        <w:rPr>
          <w:rFonts w:hint="eastAsia"/>
          <w:color w:val="auto"/>
          <w:lang w:val="en-US" w:eastAsia="zh-CN"/>
        </w:rPr>
        <w:t>园地</w:t>
      </w:r>
      <w:r>
        <w:rPr>
          <w:color w:val="auto"/>
        </w:rPr>
        <w:t>，用地面积为</w:t>
      </w:r>
      <w:r>
        <w:rPr>
          <w:rFonts w:hint="eastAsia"/>
          <w:color w:val="auto"/>
          <w:lang w:val="en-US" w:eastAsia="zh-CN"/>
        </w:rPr>
        <w:t>38.57</w:t>
      </w:r>
      <w:r>
        <w:rPr>
          <w:rFonts w:hint="eastAsia"/>
          <w:color w:val="auto"/>
        </w:rPr>
        <w:t>亩</w:t>
      </w:r>
      <w:r>
        <w:rPr>
          <w:color w:val="auto"/>
        </w:rPr>
        <w:t>，</w:t>
      </w:r>
      <w:r>
        <w:rPr>
          <w:rFonts w:hint="eastAsia"/>
          <w:color w:val="auto"/>
        </w:rPr>
        <w:t>区域内无珍稀濒危野生动植物。</w:t>
      </w:r>
      <w:r>
        <w:rPr>
          <w:color w:val="auto"/>
          <w:kern w:val="0"/>
        </w:rPr>
        <w:t>项目建设过程中将影响项目区内动植物生存环境、农村生态环境，改变区域土地利用现状，引发水土流失等。通过采取评价提出的水土保持措施</w:t>
      </w:r>
      <w:r>
        <w:rPr>
          <w:rFonts w:hint="eastAsia"/>
          <w:color w:val="auto"/>
          <w:kern w:val="0"/>
        </w:rPr>
        <w:t>和</w:t>
      </w:r>
      <w:r>
        <w:rPr>
          <w:color w:val="auto"/>
          <w:kern w:val="0"/>
        </w:rPr>
        <w:t>生态保护措施后，大大减少了因施工造成的水土流失，对生态环境的影响也降低到了最低。因此，本工程施工期不会对所在区域生态环境造成明显不利影响。</w:t>
      </w:r>
    </w:p>
    <w:p>
      <w:pPr>
        <w:pStyle w:val="9"/>
        <w:spacing w:before="120" w:beforeLines="50"/>
        <w:rPr>
          <w:color w:val="auto"/>
        </w:rPr>
      </w:pPr>
      <w:r>
        <w:rPr>
          <w:rFonts w:hint="eastAsia"/>
          <w:color w:val="auto"/>
        </w:rPr>
        <w:t>运营</w:t>
      </w:r>
      <w:r>
        <w:rPr>
          <w:color w:val="auto"/>
        </w:rPr>
        <w:t>期环境影响评价结论</w:t>
      </w:r>
    </w:p>
    <w:p>
      <w:pPr>
        <w:ind w:firstLine="480"/>
        <w:rPr>
          <w:rFonts w:hint="eastAsia"/>
          <w:color w:val="auto"/>
        </w:rPr>
      </w:pPr>
      <w:r>
        <w:rPr>
          <w:rFonts w:hint="eastAsia"/>
          <w:color w:val="auto"/>
        </w:rPr>
        <w:t>（1）运营期大气环境影响</w:t>
      </w:r>
    </w:p>
    <w:p>
      <w:pPr>
        <w:ind w:firstLine="480"/>
        <w:rPr>
          <w:rFonts w:hint="eastAsia"/>
          <w:color w:val="auto"/>
        </w:rPr>
      </w:pPr>
      <w:r>
        <w:rPr>
          <w:rFonts w:hint="eastAsia"/>
          <w:color w:val="auto"/>
        </w:rPr>
        <w:t>根据预测结果，本项目厂界H</w:t>
      </w:r>
      <w:r>
        <w:rPr>
          <w:rFonts w:hint="eastAsia"/>
          <w:color w:val="auto"/>
          <w:vertAlign w:val="subscript"/>
        </w:rPr>
        <w:t>2</w:t>
      </w:r>
      <w:r>
        <w:rPr>
          <w:rFonts w:hint="eastAsia"/>
          <w:color w:val="auto"/>
        </w:rPr>
        <w:t>S、NH</w:t>
      </w:r>
      <w:r>
        <w:rPr>
          <w:rFonts w:hint="eastAsia"/>
          <w:color w:val="auto"/>
          <w:vertAlign w:val="subscript"/>
        </w:rPr>
        <w:t>3</w:t>
      </w:r>
      <w:r>
        <w:rPr>
          <w:rFonts w:hint="eastAsia"/>
          <w:color w:val="auto"/>
        </w:rPr>
        <w:t>的预测排放浓度均能满足《恶臭污染物排放标准》（GB14554-93）表1中二级标准要求，对环境空气影响很小。</w:t>
      </w:r>
    </w:p>
    <w:p>
      <w:pPr>
        <w:ind w:firstLine="480"/>
        <w:rPr>
          <w:rFonts w:hint="eastAsia"/>
          <w:color w:val="auto"/>
        </w:rPr>
      </w:pPr>
      <w:r>
        <w:rPr>
          <w:rFonts w:hint="eastAsia"/>
          <w:color w:val="auto"/>
        </w:rPr>
        <w:t>根据计算，本项目的卫生防护距离确定以</w:t>
      </w:r>
      <w:r>
        <w:rPr>
          <w:rFonts w:hint="eastAsia"/>
          <w:color w:val="auto"/>
          <w:lang w:val="en-US" w:eastAsia="zh-CN"/>
        </w:rPr>
        <w:t>生产养殖区（</w:t>
      </w:r>
      <w:r>
        <w:rPr>
          <w:rFonts w:hint="eastAsia"/>
          <w:color w:val="auto"/>
        </w:rPr>
        <w:t>猪舍、干粪堆场</w:t>
      </w:r>
      <w:r>
        <w:rPr>
          <w:rFonts w:hint="eastAsia"/>
          <w:color w:val="auto"/>
          <w:lang w:val="en-US" w:eastAsia="zh-CN"/>
        </w:rPr>
        <w:t>）</w:t>
      </w:r>
      <w:r>
        <w:rPr>
          <w:rFonts w:hint="eastAsia"/>
          <w:color w:val="auto"/>
        </w:rPr>
        <w:t>、污水处理区的边界</w:t>
      </w:r>
      <w:r>
        <w:rPr>
          <w:rFonts w:hint="eastAsia"/>
          <w:color w:val="auto"/>
          <w:lang w:val="en-US" w:eastAsia="zh-CN"/>
        </w:rPr>
        <w:t>1</w:t>
      </w:r>
      <w:r>
        <w:rPr>
          <w:rFonts w:hint="eastAsia"/>
          <w:color w:val="auto"/>
        </w:rPr>
        <w:t>00m范围的包络线。由项目外环境关系及现场踏勘可知，本项目卫生防护距离</w:t>
      </w:r>
      <w:r>
        <w:rPr>
          <w:rFonts w:hint="eastAsia"/>
          <w:color w:val="auto"/>
          <w:lang w:val="en-US" w:eastAsia="zh-CN"/>
        </w:rPr>
        <w:t>10</w:t>
      </w:r>
      <w:r>
        <w:rPr>
          <w:color w:val="auto"/>
        </w:rPr>
        <w:t>0m</w:t>
      </w:r>
      <w:r>
        <w:rPr>
          <w:rFonts w:hint="eastAsia"/>
          <w:color w:val="auto"/>
        </w:rPr>
        <w:t>范围内无学校、居民、医疗卫生、行政办公等环境敏感目标，</w:t>
      </w:r>
      <w:r>
        <w:rPr>
          <w:rFonts w:hint="eastAsia"/>
          <w:b/>
          <w:bCs/>
          <w:color w:val="auto"/>
        </w:rPr>
        <w:t>本项目无环保搬迁。</w:t>
      </w:r>
      <w:r>
        <w:rPr>
          <w:rFonts w:hint="eastAsia"/>
          <w:color w:val="auto"/>
        </w:rPr>
        <w:t>根据卫生防护距离计算结果，提出如下卫生防护距离设置要求：在卫生防护距离范围内</w:t>
      </w:r>
      <w:r>
        <w:rPr>
          <w:rFonts w:hint="eastAsia"/>
          <w:bCs/>
          <w:color w:val="auto"/>
        </w:rPr>
        <w:t>不得规划新建集中居民区、医院、学校及食品医药加工企业等易受本项目恶臭影响的建设项目。</w:t>
      </w:r>
    </w:p>
    <w:p>
      <w:pPr>
        <w:ind w:firstLine="480"/>
        <w:rPr>
          <w:rFonts w:hint="eastAsia"/>
          <w:color w:val="auto"/>
        </w:rPr>
      </w:pPr>
      <w:r>
        <w:rPr>
          <w:rFonts w:hint="eastAsia"/>
          <w:color w:val="auto"/>
        </w:rPr>
        <w:t>本项目沼气将用于养殖场内</w:t>
      </w:r>
      <w:r>
        <w:rPr>
          <w:rFonts w:hint="eastAsia"/>
          <w:color w:val="auto"/>
          <w:lang w:val="en-US" w:eastAsia="zh-CN"/>
        </w:rPr>
        <w:t>食堂燃料，剩余火炬</w:t>
      </w:r>
      <w:r>
        <w:rPr>
          <w:rFonts w:hint="eastAsia"/>
          <w:color w:val="auto"/>
        </w:rPr>
        <w:t>燃烧，经净化后的沼气属于清洁能源，燃烧后的产物为二氧化碳和水，不会污染环境。食堂油烟经油烟净化装置处理后能满足《饮食业油烟排放标准》（GB18483-2001）中相关标准要求。柴油发电机废气经发电机配置的排风系统排放，对环境无明显影响。</w:t>
      </w:r>
    </w:p>
    <w:p>
      <w:pPr>
        <w:ind w:firstLine="480"/>
        <w:rPr>
          <w:rFonts w:hint="eastAsia"/>
          <w:color w:val="auto"/>
        </w:rPr>
      </w:pPr>
      <w:r>
        <w:rPr>
          <w:rFonts w:hint="eastAsia"/>
          <w:color w:val="auto"/>
        </w:rPr>
        <w:t>综上，项目运营期废气</w:t>
      </w:r>
      <w:r>
        <w:rPr>
          <w:color w:val="auto"/>
        </w:rPr>
        <w:t>不会对项目所在地环境空气质量造成明显不利影响。</w:t>
      </w:r>
    </w:p>
    <w:p>
      <w:pPr>
        <w:ind w:firstLine="480"/>
        <w:rPr>
          <w:rFonts w:hint="eastAsia"/>
          <w:color w:val="auto"/>
        </w:rPr>
      </w:pPr>
      <w:r>
        <w:rPr>
          <w:rFonts w:hint="eastAsia"/>
          <w:color w:val="auto"/>
        </w:rPr>
        <w:t>（2）运营期水环境影响</w:t>
      </w:r>
    </w:p>
    <w:p>
      <w:pPr>
        <w:ind w:firstLine="480"/>
        <w:rPr>
          <w:rFonts w:hint="eastAsia"/>
          <w:color w:val="auto"/>
        </w:rPr>
      </w:pPr>
      <w:r>
        <w:rPr>
          <w:rFonts w:hint="eastAsia"/>
          <w:color w:val="auto"/>
        </w:rPr>
        <w:t>本项目养殖废水以及生活污水收集后排入污水处理系统，采取厌氧发酵处理后，农肥利用；在非施肥季节或者雨季，则暂存于</w:t>
      </w:r>
      <w:r>
        <w:rPr>
          <w:rFonts w:hint="eastAsia"/>
          <w:color w:val="auto"/>
          <w:lang w:eastAsia="zh-CN"/>
        </w:rPr>
        <w:t>沼液暂存池</w:t>
      </w:r>
      <w:r>
        <w:rPr>
          <w:rFonts w:hint="eastAsia"/>
          <w:color w:val="auto"/>
        </w:rPr>
        <w:t>内，然后等施肥季节再利用。污废水不外排，对周围水环境影响较小。</w:t>
      </w:r>
    </w:p>
    <w:p>
      <w:pPr>
        <w:ind w:firstLine="480"/>
        <w:rPr>
          <w:color w:val="auto"/>
        </w:rPr>
      </w:pPr>
      <w:r>
        <w:rPr>
          <w:rFonts w:hint="eastAsia"/>
          <w:color w:val="auto"/>
        </w:rPr>
        <w:t>建设单位做好</w:t>
      </w:r>
      <w:r>
        <w:rPr>
          <w:rFonts w:hint="eastAsia"/>
          <w:color w:val="auto"/>
          <w:lang w:val="en-US" w:eastAsia="zh-CN"/>
        </w:rPr>
        <w:t>干粪堆场、</w:t>
      </w:r>
      <w:r>
        <w:rPr>
          <w:rFonts w:hint="eastAsia"/>
          <w:color w:val="auto"/>
        </w:rPr>
        <w:t>发电机房（含储油间）、防疫室</w:t>
      </w:r>
      <w:r>
        <w:rPr>
          <w:rFonts w:hint="eastAsia"/>
          <w:color w:val="auto"/>
          <w:lang w:eastAsia="zh-CN"/>
        </w:rPr>
        <w:t>、</w:t>
      </w:r>
      <w:r>
        <w:rPr>
          <w:rFonts w:hint="eastAsia"/>
          <w:color w:val="auto"/>
        </w:rPr>
        <w:t>污水处理系统（</w:t>
      </w:r>
      <w:r>
        <w:rPr>
          <w:rFonts w:hint="eastAsia"/>
          <w:color w:val="auto"/>
          <w:lang w:val="en-US" w:eastAsia="zh-CN"/>
        </w:rPr>
        <w:t>收集池、沼气池、沼液暂存池、田间暂存池、事故应急池、污水管</w:t>
      </w:r>
      <w:r>
        <w:rPr>
          <w:rFonts w:hint="eastAsia"/>
          <w:color w:val="auto"/>
        </w:rPr>
        <w:t>）等防渗措施后，项目对地下水环境影响较小。</w:t>
      </w:r>
    </w:p>
    <w:p>
      <w:pPr>
        <w:ind w:firstLine="480"/>
        <w:rPr>
          <w:rFonts w:hint="eastAsia"/>
          <w:color w:val="auto"/>
        </w:rPr>
      </w:pPr>
      <w:r>
        <w:rPr>
          <w:rFonts w:hint="eastAsia"/>
          <w:color w:val="auto"/>
        </w:rPr>
        <w:t>（3）运营期声环境影响</w:t>
      </w:r>
    </w:p>
    <w:p>
      <w:pPr>
        <w:ind w:firstLine="480"/>
        <w:rPr>
          <w:color w:val="auto"/>
        </w:rPr>
      </w:pPr>
      <w:r>
        <w:rPr>
          <w:rFonts w:hint="eastAsia"/>
          <w:color w:val="auto"/>
        </w:rPr>
        <w:t>本项目运营期对声环境的影响主要来自于猪叫声、风机、水泵等，针对声源特征，评价提出以下措施：选择低噪声的设备，</w:t>
      </w:r>
      <w:r>
        <w:rPr>
          <w:color w:val="auto"/>
        </w:rPr>
        <w:t>采用减振吊装、落地式安装设备采用弹簧减振器或橡胶减振垫</w:t>
      </w:r>
      <w:r>
        <w:rPr>
          <w:rFonts w:hint="eastAsia"/>
          <w:color w:val="auto"/>
        </w:rPr>
        <w:t>；对设备进行定期检修，加强润滑作用，保持设备良好的运转状态，尽量降低噪声；要求给风机、污水处理区水泵等产噪设备安装减震垫，</w:t>
      </w:r>
      <w:r>
        <w:rPr>
          <w:color w:val="auto"/>
        </w:rPr>
        <w:t>风机进出口风管处安装消声设备</w:t>
      </w:r>
      <w:r>
        <w:rPr>
          <w:rFonts w:hint="eastAsia"/>
          <w:color w:val="auto"/>
        </w:rPr>
        <w:t>。采取上述措施后，项目投产运营后厂界噪声值满足《工业企业厂界环境噪声排放标准》（GB12348-2008）2类标准要求；</w:t>
      </w:r>
      <w:r>
        <w:rPr>
          <w:color w:val="auto"/>
        </w:rPr>
        <w:t>不会改变区域声环境质量</w:t>
      </w:r>
      <w:r>
        <w:rPr>
          <w:rFonts w:hint="eastAsia"/>
          <w:color w:val="auto"/>
        </w:rPr>
        <w:t>现状</w:t>
      </w:r>
      <w:r>
        <w:rPr>
          <w:color w:val="auto"/>
        </w:rPr>
        <w:t>。</w:t>
      </w:r>
    </w:p>
    <w:p>
      <w:pPr>
        <w:ind w:firstLine="480"/>
        <w:rPr>
          <w:rFonts w:hint="eastAsia"/>
          <w:color w:val="auto"/>
        </w:rPr>
      </w:pPr>
      <w:r>
        <w:rPr>
          <w:rFonts w:hint="eastAsia"/>
          <w:color w:val="auto"/>
        </w:rPr>
        <w:t>（4）运营期固体废物影响</w:t>
      </w:r>
    </w:p>
    <w:p>
      <w:pPr>
        <w:ind w:firstLine="480"/>
        <w:rPr>
          <w:color w:val="auto"/>
        </w:rPr>
      </w:pPr>
      <w:r>
        <w:rPr>
          <w:rFonts w:hint="eastAsia"/>
          <w:color w:val="auto"/>
        </w:rPr>
        <w:t>建设项目产生的畜禽医疗废物委托有危险废物处置单位进行处置；病死猪委托三台县盛德祥生物科技有限公司处理；</w:t>
      </w:r>
      <w:r>
        <w:rPr>
          <w:rFonts w:hint="eastAsia"/>
          <w:color w:val="auto"/>
          <w:lang w:val="zh-CN"/>
        </w:rPr>
        <w:t>猪粪、污泥（沼渣）</w:t>
      </w:r>
      <w:r>
        <w:rPr>
          <w:rFonts w:hint="eastAsia"/>
          <w:color w:val="auto"/>
        </w:rPr>
        <w:t>外售堆肥厂堆肥处理；废脱硫剂由厂家回收再生处理；生活垃圾由环卫清运；废弃包装袋由废品回收站回收处理</w:t>
      </w:r>
      <w:r>
        <w:rPr>
          <w:rFonts w:hint="eastAsia"/>
          <w:color w:val="auto"/>
          <w:lang w:eastAsia="zh-CN"/>
        </w:rPr>
        <w:t>；餐厨垃圾委托餐厨垃圾收运单位收运、处理</w:t>
      </w:r>
      <w:r>
        <w:rPr>
          <w:rFonts w:hint="eastAsia"/>
          <w:color w:val="auto"/>
        </w:rPr>
        <w:t>。采用上述措施后，建设项目产生的固废既可变废为宝，又可无害化处置。综上所述，建设项目固体废物处置方式是可行的，经过以上措施处理后可以保证固废的零排放。</w:t>
      </w:r>
    </w:p>
    <w:p>
      <w:pPr>
        <w:ind w:firstLine="480"/>
        <w:rPr>
          <w:color w:val="auto"/>
        </w:rPr>
      </w:pPr>
      <w:r>
        <w:rPr>
          <w:color w:val="auto"/>
        </w:rPr>
        <w:t>项目采取的各项固体废弃物处置措施可行，从一定程度上体现了固体废物无害化和资源化利用的原则，只要在生产运营中将各项处理措施落到实处，可有效防止固体废物的逸散和对环境的二次污染，不会对周围环境造成明显不利影响。</w:t>
      </w:r>
    </w:p>
    <w:p>
      <w:pPr>
        <w:ind w:firstLine="480"/>
        <w:rPr>
          <w:color w:val="auto"/>
        </w:rPr>
      </w:pPr>
      <w:r>
        <w:rPr>
          <w:rFonts w:hint="eastAsia"/>
          <w:color w:val="auto"/>
        </w:rPr>
        <w:t>（5）运营期土壤环境影响</w:t>
      </w:r>
    </w:p>
    <w:p>
      <w:pPr>
        <w:ind w:firstLine="480"/>
        <w:rPr>
          <w:color w:val="auto"/>
        </w:rPr>
      </w:pPr>
      <w:r>
        <w:rPr>
          <w:rFonts w:hint="eastAsia"/>
          <w:color w:val="auto"/>
        </w:rPr>
        <w:t>拟建项目废水经“固液分离+厌氧发酵”无害化处理后，产生的沼液定期输送至周边农田作为肥料使用。粪肥的施用可减少相同类型肥料的花费，防治土壤退化和土地盐碱化现象的发生，但需要在源头上防止粪肥施用导致的土壤重金属和激素富集和超标，防治污染土壤环境。环评建议按照农作物生长需要严格控制施用量，避免盲目追求肥效，过量施肥，超过土壤承载能力。</w:t>
      </w:r>
    </w:p>
    <w:p>
      <w:pPr>
        <w:ind w:firstLine="480"/>
        <w:rPr>
          <w:rFonts w:hint="eastAsia"/>
          <w:color w:val="auto"/>
        </w:rPr>
      </w:pPr>
      <w:r>
        <w:rPr>
          <w:rFonts w:hint="eastAsia"/>
          <w:color w:val="auto"/>
        </w:rPr>
        <w:t>经采取上述措施后，项目对区域土壤环境影响不明显。</w:t>
      </w:r>
    </w:p>
    <w:p>
      <w:pPr>
        <w:ind w:firstLine="480"/>
        <w:rPr>
          <w:rFonts w:hint="eastAsia"/>
          <w:color w:val="auto"/>
        </w:rPr>
      </w:pPr>
      <w:r>
        <w:rPr>
          <w:rFonts w:hint="eastAsia"/>
          <w:color w:val="auto"/>
        </w:rPr>
        <w:t>（</w:t>
      </w:r>
      <w:r>
        <w:rPr>
          <w:color w:val="auto"/>
        </w:rPr>
        <w:t>6</w:t>
      </w:r>
      <w:r>
        <w:rPr>
          <w:rFonts w:hint="eastAsia"/>
          <w:color w:val="auto"/>
        </w:rPr>
        <w:t>）运营期生态环境影响</w:t>
      </w:r>
    </w:p>
    <w:p>
      <w:pPr>
        <w:ind w:firstLine="480"/>
        <w:rPr>
          <w:color w:val="auto"/>
        </w:rPr>
      </w:pPr>
      <w:r>
        <w:rPr>
          <w:rFonts w:hint="eastAsia"/>
          <w:color w:val="auto"/>
        </w:rPr>
        <w:t>评价区生态系统受到本项目影响相对较小，在严格采取评价提出的生态保护措施后，其生态特征不会从根本上发生改变，体系仍然维持原有的稳定性和生态承载能力。项目虽然在对周围生态环境产生一定的影响，但是其处理达标的大量废水用于周边耕地灌溉，提高了农作物如玉米的灌溉保证率，有利于提高农作物的产量和质量，本工程的建设对周围农业环境有较大的有益作用。</w:t>
      </w:r>
    </w:p>
    <w:p>
      <w:pPr>
        <w:pStyle w:val="8"/>
        <w:tabs>
          <w:tab w:val="clear" w:pos="0"/>
        </w:tabs>
        <w:rPr>
          <w:rFonts w:eastAsia="黑体"/>
          <w:color w:val="auto"/>
          <w:sz w:val="28"/>
          <w:szCs w:val="28"/>
        </w:rPr>
      </w:pPr>
      <w:r>
        <w:rPr>
          <w:rFonts w:eastAsia="黑体"/>
          <w:color w:val="auto"/>
          <w:sz w:val="28"/>
          <w:szCs w:val="28"/>
        </w:rPr>
        <w:t>环境风险</w:t>
      </w:r>
    </w:p>
    <w:p>
      <w:pPr>
        <w:ind w:firstLine="480"/>
        <w:rPr>
          <w:color w:val="auto"/>
        </w:rPr>
      </w:pPr>
      <w:r>
        <w:rPr>
          <w:color w:val="auto"/>
        </w:rPr>
        <w:t>本项目营运期间涉及的主要危险物质包括柴油和</w:t>
      </w:r>
      <w:r>
        <w:rPr>
          <w:rFonts w:hint="eastAsia"/>
          <w:color w:val="auto"/>
        </w:rPr>
        <w:t>甲烷</w:t>
      </w:r>
      <w:r>
        <w:rPr>
          <w:color w:val="auto"/>
        </w:rPr>
        <w:t>，不构成重大危险源</w:t>
      </w:r>
      <w:r>
        <w:rPr>
          <w:rFonts w:hint="eastAsia"/>
          <w:color w:val="auto"/>
        </w:rPr>
        <w:t>，</w:t>
      </w:r>
      <w:r>
        <w:rPr>
          <w:color w:val="auto"/>
        </w:rPr>
        <w:t>项目环境风险事故的发生概率极小</w:t>
      </w:r>
      <w:r>
        <w:rPr>
          <w:rFonts w:hint="eastAsia"/>
          <w:color w:val="auto"/>
        </w:rPr>
        <w:t>。建设单位</w:t>
      </w:r>
      <w:r>
        <w:rPr>
          <w:color w:val="auto"/>
        </w:rPr>
        <w:t>通过采取一系列的风险防范措施，同时制定相应的事故应急预案，可有效地防止</w:t>
      </w:r>
      <w:r>
        <w:rPr>
          <w:rFonts w:hint="eastAsia"/>
          <w:color w:val="auto"/>
        </w:rPr>
        <w:t>环境</w:t>
      </w:r>
      <w:r>
        <w:rPr>
          <w:color w:val="auto"/>
        </w:rPr>
        <w:t>风险事故的发生</w:t>
      </w:r>
      <w:r>
        <w:rPr>
          <w:rFonts w:hint="eastAsia"/>
          <w:color w:val="auto"/>
        </w:rPr>
        <w:t>；</w:t>
      </w:r>
      <w:r>
        <w:rPr>
          <w:color w:val="auto"/>
        </w:rPr>
        <w:t>一旦发生事故，依靠安全防护设施和事故应急措施也能及时控制事故，防止事故的蔓延。减少事故带来的人员伤亡、财产损失和环境影响</w:t>
      </w:r>
      <w:r>
        <w:rPr>
          <w:rFonts w:hint="eastAsia"/>
          <w:color w:val="auto"/>
        </w:rPr>
        <w:t>，</w:t>
      </w:r>
      <w:r>
        <w:rPr>
          <w:color w:val="auto"/>
        </w:rPr>
        <w:t>项目的环境风险水平是可以接受的。综合分析，从环境风险角度分析本项目</w:t>
      </w:r>
      <w:r>
        <w:rPr>
          <w:rFonts w:hint="eastAsia"/>
          <w:color w:val="auto"/>
        </w:rPr>
        <w:t>建设</w:t>
      </w:r>
      <w:r>
        <w:rPr>
          <w:color w:val="auto"/>
        </w:rPr>
        <w:t>可行。</w:t>
      </w:r>
    </w:p>
    <w:p>
      <w:pPr>
        <w:pStyle w:val="8"/>
        <w:tabs>
          <w:tab w:val="clear" w:pos="0"/>
        </w:tabs>
        <w:rPr>
          <w:rFonts w:hint="eastAsia" w:eastAsia="黑体"/>
          <w:color w:val="auto"/>
          <w:sz w:val="28"/>
          <w:szCs w:val="28"/>
        </w:rPr>
      </w:pPr>
      <w:r>
        <w:rPr>
          <w:rFonts w:eastAsia="黑体"/>
          <w:color w:val="auto"/>
          <w:sz w:val="28"/>
          <w:szCs w:val="28"/>
        </w:rPr>
        <w:t>环境保护措施及环境影响经济损益分析</w:t>
      </w:r>
    </w:p>
    <w:p>
      <w:pPr>
        <w:ind w:firstLine="480"/>
        <w:rPr>
          <w:color w:val="auto"/>
        </w:rPr>
      </w:pPr>
      <w:r>
        <w:rPr>
          <w:rFonts w:hint="eastAsia"/>
          <w:color w:val="auto"/>
        </w:rPr>
        <w:t>本项目采取的污染防治措施和生态保护措施，技术上成熟可靠，治理效果较好，采取的环境保护措施在经济、技术上均可行。只要建设单位切实落实设计和评价提出的各项污染防治措施，使各类污染物均做到达标排放，则该项目的建设和营运对周围环境的影响是可以承受的，能够做到社会效益、环境效益和经济效益的统一，可达到三者协调发展的目的。</w:t>
      </w:r>
    </w:p>
    <w:p>
      <w:pPr>
        <w:pStyle w:val="8"/>
        <w:tabs>
          <w:tab w:val="clear" w:pos="0"/>
        </w:tabs>
        <w:rPr>
          <w:rFonts w:eastAsia="黑体"/>
          <w:color w:val="auto"/>
          <w:sz w:val="28"/>
          <w:szCs w:val="28"/>
        </w:rPr>
      </w:pPr>
      <w:r>
        <w:rPr>
          <w:rFonts w:hint="eastAsia" w:eastAsia="黑体"/>
          <w:color w:val="auto"/>
          <w:sz w:val="28"/>
          <w:szCs w:val="28"/>
        </w:rPr>
        <w:t>环境</w:t>
      </w:r>
      <w:r>
        <w:rPr>
          <w:rFonts w:eastAsia="黑体"/>
          <w:color w:val="auto"/>
          <w:sz w:val="28"/>
          <w:szCs w:val="28"/>
        </w:rPr>
        <w:t>管理与监测计划</w:t>
      </w:r>
    </w:p>
    <w:p>
      <w:pPr>
        <w:ind w:firstLine="480"/>
        <w:rPr>
          <w:rFonts w:hint="eastAsia"/>
          <w:color w:val="auto"/>
        </w:rPr>
      </w:pPr>
      <w:r>
        <w:rPr>
          <w:rFonts w:hint="eastAsia"/>
          <w:color w:val="auto"/>
        </w:rPr>
        <w:t>建设单位根据工程的不同阶段，制定相关的环境管理计划并严格实施；项目施工期、运营期提供资金和设备保障，保证项目环境监测计划的执行。</w:t>
      </w:r>
    </w:p>
    <w:p>
      <w:pPr>
        <w:pStyle w:val="8"/>
        <w:tabs>
          <w:tab w:val="clear" w:pos="0"/>
        </w:tabs>
        <w:rPr>
          <w:rFonts w:eastAsia="黑体"/>
          <w:color w:val="auto"/>
          <w:sz w:val="28"/>
          <w:szCs w:val="28"/>
        </w:rPr>
      </w:pPr>
      <w:r>
        <w:rPr>
          <w:rFonts w:eastAsia="黑体"/>
          <w:color w:val="auto"/>
          <w:sz w:val="28"/>
          <w:szCs w:val="28"/>
        </w:rPr>
        <w:t>总量控制</w:t>
      </w:r>
    </w:p>
    <w:p>
      <w:pPr>
        <w:ind w:firstLine="480"/>
        <w:rPr>
          <w:color w:val="auto"/>
        </w:rPr>
      </w:pPr>
      <w:r>
        <w:rPr>
          <w:rFonts w:hint="eastAsia"/>
          <w:color w:val="auto"/>
        </w:rPr>
        <w:t>根据工程分析和国家总量控制指标，本项目确定需要进行总量控制的主要污染物为COD、NH</w:t>
      </w:r>
      <w:r>
        <w:rPr>
          <w:rFonts w:hint="eastAsia"/>
          <w:color w:val="auto"/>
          <w:vertAlign w:val="subscript"/>
        </w:rPr>
        <w:t>3</w:t>
      </w:r>
      <w:r>
        <w:rPr>
          <w:rFonts w:hint="eastAsia"/>
          <w:color w:val="auto"/>
        </w:rPr>
        <w:t>-N。由于废水经污水处理设施处理后全部有效利用，不外排。因此，本项目COD、NH</w:t>
      </w:r>
      <w:r>
        <w:rPr>
          <w:rFonts w:hint="eastAsia"/>
          <w:color w:val="auto"/>
          <w:vertAlign w:val="subscript"/>
        </w:rPr>
        <w:t>3</w:t>
      </w:r>
      <w:r>
        <w:rPr>
          <w:rFonts w:hint="eastAsia"/>
          <w:color w:val="auto"/>
        </w:rPr>
        <w:t>-N排放量为0，不对COD、NH</w:t>
      </w:r>
      <w:r>
        <w:rPr>
          <w:rFonts w:hint="eastAsia"/>
          <w:color w:val="auto"/>
          <w:vertAlign w:val="subscript"/>
        </w:rPr>
        <w:t>3</w:t>
      </w:r>
      <w:r>
        <w:rPr>
          <w:rFonts w:hint="eastAsia"/>
          <w:color w:val="auto"/>
        </w:rPr>
        <w:t>-N进行总量调剂。</w:t>
      </w:r>
    </w:p>
    <w:p>
      <w:pPr>
        <w:pStyle w:val="8"/>
        <w:tabs>
          <w:tab w:val="clear" w:pos="0"/>
        </w:tabs>
        <w:rPr>
          <w:rFonts w:eastAsia="黑体"/>
          <w:color w:val="auto"/>
          <w:sz w:val="28"/>
          <w:szCs w:val="28"/>
        </w:rPr>
      </w:pPr>
      <w:r>
        <w:rPr>
          <w:rFonts w:eastAsia="黑体"/>
          <w:color w:val="auto"/>
          <w:sz w:val="28"/>
          <w:szCs w:val="28"/>
        </w:rPr>
        <w:t>公众参与</w:t>
      </w:r>
    </w:p>
    <w:p>
      <w:pPr>
        <w:ind w:firstLine="480"/>
        <w:rPr>
          <w:color w:val="auto"/>
        </w:rPr>
      </w:pPr>
      <w:r>
        <w:rPr>
          <w:color w:val="auto"/>
        </w:rPr>
        <w:t>根据《</w:t>
      </w:r>
      <w:r>
        <w:rPr>
          <w:rFonts w:hint="eastAsia"/>
          <w:bCs/>
          <w:color w:val="auto"/>
          <w:lang w:val="en"/>
        </w:rPr>
        <w:t>环境影响评价公众参与办法</w:t>
      </w:r>
      <w:r>
        <w:rPr>
          <w:color w:val="auto"/>
        </w:rPr>
        <w:t>》（</w:t>
      </w:r>
      <w:r>
        <w:rPr>
          <w:rFonts w:hint="eastAsia"/>
          <w:color w:val="auto"/>
        </w:rPr>
        <w:t>生态环境</w:t>
      </w:r>
      <w:r>
        <w:rPr>
          <w:color w:val="auto"/>
        </w:rPr>
        <w:t>部令第</w:t>
      </w:r>
      <w:r>
        <w:rPr>
          <w:rFonts w:hint="eastAsia"/>
          <w:color w:val="auto"/>
        </w:rPr>
        <w:t>4号</w:t>
      </w:r>
      <w:r>
        <w:rPr>
          <w:color w:val="auto"/>
        </w:rPr>
        <w:t>）中的相关要求，</w:t>
      </w:r>
      <w:r>
        <w:rPr>
          <w:rFonts w:hint="eastAsia"/>
          <w:color w:val="auto"/>
          <w:lang w:eastAsia="zh-CN"/>
        </w:rPr>
        <w:t>绵阳市硕牧云康畜牧养殖有限责任公司</w:t>
      </w:r>
      <w:r>
        <w:rPr>
          <w:rFonts w:hint="eastAsia"/>
          <w:color w:val="auto"/>
        </w:rPr>
        <w:t>通过网络、刊登报纸、现场张贴等方式进行了本项目环境影响评价公众参与信息公示，在公示期间和问卷调查中未收到反对项目建设的反馈意见</w:t>
      </w:r>
      <w:r>
        <w:rPr>
          <w:color w:val="auto"/>
        </w:rPr>
        <w:t>。</w:t>
      </w:r>
    </w:p>
    <w:p>
      <w:pPr>
        <w:ind w:firstLine="480"/>
        <w:rPr>
          <w:color w:val="auto"/>
        </w:rPr>
      </w:pPr>
      <w:r>
        <w:rPr>
          <w:rFonts w:hint="eastAsia"/>
          <w:color w:val="auto"/>
          <w:lang w:eastAsia="zh-CN"/>
        </w:rPr>
        <w:t xml:space="preserve">绵阳市硕牧云康畜牧养殖有限责任公司 </w:t>
      </w:r>
      <w:r>
        <w:rPr>
          <w:rFonts w:hint="eastAsia"/>
          <w:color w:val="auto"/>
        </w:rPr>
        <w:t>在工程建设过程中应积极加强与周边企业、群众的沟通，自觉接受公众监督，严格执行国家有关规定及标准，落实各项环保治理措施，加强环境管理，减轻</w:t>
      </w:r>
      <w:r>
        <w:rPr>
          <w:rFonts w:hint="eastAsia"/>
          <w:color w:val="auto"/>
          <w:lang w:eastAsia="zh-CN"/>
        </w:rPr>
        <w:t>绵阳市硕牧云康畜牧养殖有限责任公司 绵阳市硕牧云康畜牧养殖有限责任公司生猪养殖项目</w:t>
      </w:r>
      <w:r>
        <w:rPr>
          <w:rFonts w:hint="eastAsia"/>
          <w:color w:val="auto"/>
        </w:rPr>
        <w:t>对周围环境的影响。</w:t>
      </w:r>
    </w:p>
    <w:p>
      <w:pPr>
        <w:pStyle w:val="8"/>
        <w:tabs>
          <w:tab w:val="clear" w:pos="0"/>
        </w:tabs>
        <w:rPr>
          <w:color w:val="auto"/>
        </w:rPr>
      </w:pPr>
      <w:bookmarkStart w:id="270" w:name="_Toc214882616"/>
      <w:bookmarkStart w:id="271" w:name="_Toc216236132"/>
      <w:bookmarkStart w:id="272" w:name="_Toc217283834"/>
      <w:r>
        <w:rPr>
          <w:rFonts w:eastAsia="黑体"/>
          <w:color w:val="auto"/>
          <w:sz w:val="28"/>
          <w:szCs w:val="28"/>
        </w:rPr>
        <w:t>环境影响可行性结论</w:t>
      </w:r>
      <w:bookmarkEnd w:id="270"/>
      <w:bookmarkEnd w:id="271"/>
      <w:bookmarkEnd w:id="272"/>
    </w:p>
    <w:p>
      <w:pPr>
        <w:ind w:firstLine="482"/>
        <w:rPr>
          <w:b/>
          <w:color w:val="auto"/>
        </w:rPr>
      </w:pPr>
      <w:bookmarkStart w:id="273" w:name="_Toc432251354"/>
      <w:bookmarkStart w:id="274" w:name="_Toc488738037"/>
      <w:r>
        <w:rPr>
          <w:b/>
          <w:color w:val="auto"/>
        </w:rPr>
        <w:t>本项目的建设符合国家</w:t>
      </w:r>
      <w:r>
        <w:rPr>
          <w:rFonts w:hint="eastAsia"/>
          <w:b/>
          <w:color w:val="auto"/>
        </w:rPr>
        <w:t>现</w:t>
      </w:r>
      <w:r>
        <w:rPr>
          <w:b/>
          <w:color w:val="auto"/>
        </w:rPr>
        <w:t>行产业政策，</w:t>
      </w:r>
      <w:r>
        <w:rPr>
          <w:rFonts w:hint="eastAsia"/>
          <w:b/>
          <w:color w:val="auto"/>
        </w:rPr>
        <w:t>满足</w:t>
      </w:r>
      <w:r>
        <w:rPr>
          <w:b/>
          <w:color w:val="auto"/>
        </w:rPr>
        <w:t>相关规划要求</w:t>
      </w:r>
      <w:r>
        <w:rPr>
          <w:rFonts w:hint="eastAsia"/>
          <w:b/>
          <w:color w:val="auto"/>
        </w:rPr>
        <w:t>。</w:t>
      </w:r>
      <w:r>
        <w:rPr>
          <w:b/>
          <w:color w:val="auto"/>
        </w:rPr>
        <w:t>项目采取的污染防治措施技术经济可行，</w:t>
      </w:r>
      <w:r>
        <w:rPr>
          <w:rFonts w:hint="eastAsia"/>
          <w:b/>
          <w:color w:val="auto"/>
        </w:rPr>
        <w:t>可实现污染</w:t>
      </w:r>
      <w:r>
        <w:rPr>
          <w:b/>
          <w:color w:val="auto"/>
        </w:rPr>
        <w:t>物</w:t>
      </w:r>
      <w:r>
        <w:rPr>
          <w:rFonts w:hint="eastAsia"/>
          <w:b/>
          <w:color w:val="auto"/>
        </w:rPr>
        <w:t>达标排放，满足总量控制要求，</w:t>
      </w:r>
      <w:r>
        <w:rPr>
          <w:b/>
          <w:color w:val="auto"/>
        </w:rPr>
        <w:t>项目的实施不会改变区域的环境功能。</w:t>
      </w:r>
      <w:r>
        <w:rPr>
          <w:rFonts w:hint="eastAsia"/>
          <w:b/>
          <w:color w:val="auto"/>
        </w:rPr>
        <w:t>项目风险防范措施可靠有效，认真落实环境风险防范措施后，项目环境风险为可接受水平，从环境风险角度分析项目是可行的。</w:t>
      </w:r>
      <w:r>
        <w:rPr>
          <w:b/>
          <w:color w:val="auto"/>
        </w:rPr>
        <w:t>在严格执行</w:t>
      </w:r>
      <w:r>
        <w:rPr>
          <w:rFonts w:hint="eastAsia"/>
          <w:b/>
          <w:color w:val="auto"/>
        </w:rPr>
        <w:t>“</w:t>
      </w:r>
      <w:r>
        <w:rPr>
          <w:b/>
          <w:color w:val="auto"/>
        </w:rPr>
        <w:t>三同时</w:t>
      </w:r>
      <w:r>
        <w:rPr>
          <w:rFonts w:hint="eastAsia"/>
          <w:b/>
          <w:color w:val="auto"/>
        </w:rPr>
        <w:t>”</w:t>
      </w:r>
      <w:r>
        <w:rPr>
          <w:b/>
          <w:color w:val="auto"/>
        </w:rPr>
        <w:t>制度</w:t>
      </w:r>
      <w:r>
        <w:rPr>
          <w:rFonts w:hint="eastAsia"/>
          <w:b/>
          <w:color w:val="auto"/>
        </w:rPr>
        <w:t>、</w:t>
      </w:r>
      <w:r>
        <w:rPr>
          <w:b/>
          <w:color w:val="auto"/>
        </w:rPr>
        <w:t>全面落实本评价提出的</w:t>
      </w:r>
      <w:r>
        <w:rPr>
          <w:rFonts w:hint="eastAsia"/>
          <w:b/>
          <w:color w:val="auto"/>
        </w:rPr>
        <w:t>环保</w:t>
      </w:r>
      <w:r>
        <w:rPr>
          <w:b/>
          <w:color w:val="auto"/>
        </w:rPr>
        <w:t>措施和风险防范措施的</w:t>
      </w:r>
      <w:r>
        <w:rPr>
          <w:rFonts w:hint="eastAsia"/>
          <w:b/>
          <w:color w:val="auto"/>
        </w:rPr>
        <w:t>前提</w:t>
      </w:r>
      <w:r>
        <w:rPr>
          <w:b/>
          <w:color w:val="auto"/>
        </w:rPr>
        <w:t>下，项目的建设不会改变当地的环境质量及生态环境现状</w:t>
      </w:r>
      <w:r>
        <w:rPr>
          <w:rFonts w:hint="eastAsia"/>
          <w:b/>
          <w:color w:val="auto"/>
        </w:rPr>
        <w:t>；建设单位开展公众参与工作期间，未收到投诉或咨询电话及邮件。综上所述，在落实本报告书中的各项环保措施以及各</w:t>
      </w:r>
      <w:r>
        <w:rPr>
          <w:b/>
          <w:color w:val="auto"/>
        </w:rPr>
        <w:t>。因此，从环境保护的角度</w:t>
      </w:r>
      <w:r>
        <w:rPr>
          <w:rFonts w:hint="eastAsia"/>
          <w:b/>
          <w:color w:val="auto"/>
        </w:rPr>
        <w:t>分析</w:t>
      </w:r>
      <w:r>
        <w:rPr>
          <w:b/>
          <w:color w:val="auto"/>
        </w:rPr>
        <w:t>，本项目的建设可行。</w:t>
      </w:r>
    </w:p>
    <w:p>
      <w:pPr>
        <w:pStyle w:val="7"/>
        <w:rPr>
          <w:rFonts w:eastAsia="黑体"/>
          <w:color w:val="auto"/>
          <w:sz w:val="32"/>
        </w:rPr>
      </w:pPr>
      <w:bookmarkStart w:id="275" w:name="_Toc5277"/>
      <w:r>
        <w:rPr>
          <w:rFonts w:eastAsia="黑体"/>
          <w:color w:val="auto"/>
          <w:sz w:val="32"/>
        </w:rPr>
        <w:t>建议及要求</w:t>
      </w:r>
      <w:bookmarkEnd w:id="273"/>
      <w:bookmarkEnd w:id="274"/>
      <w:bookmarkEnd w:id="275"/>
    </w:p>
    <w:p>
      <w:pPr>
        <w:ind w:firstLine="480"/>
        <w:rPr>
          <w:color w:val="auto"/>
        </w:rPr>
      </w:pPr>
      <w:r>
        <w:rPr>
          <w:color w:val="auto"/>
        </w:rPr>
        <w:t>1、建设单位</w:t>
      </w:r>
      <w:r>
        <w:rPr>
          <w:rFonts w:hint="eastAsia"/>
          <w:color w:val="auto"/>
        </w:rPr>
        <w:t>在生产过程中应严格控制风险，认真落实各项治理措施；加强项目环保设施的日常管理工作，强化环保设施的维修、保养，保证环保设施的正常稳定运行，确保污染物稳定达标排放；杜绝污染物非正常排放。</w:t>
      </w:r>
    </w:p>
    <w:p>
      <w:pPr>
        <w:ind w:firstLine="480"/>
        <w:rPr>
          <w:rFonts w:hint="eastAsia"/>
          <w:color w:val="auto"/>
        </w:rPr>
      </w:pPr>
      <w:r>
        <w:rPr>
          <w:color w:val="auto"/>
        </w:rPr>
        <w:t>2</w:t>
      </w:r>
      <w:r>
        <w:rPr>
          <w:rFonts w:hint="eastAsia"/>
          <w:color w:val="auto"/>
        </w:rPr>
        <w:t>、建设项目在建设过程中，应严格执行环保设施与主体工程同时设计、同时施工、同时投产的“三同时”制度。建设项目实施后，应加强环境保护管理工作，制定必要的规章制度，实现各项污染物稳定达标排放。</w:t>
      </w:r>
    </w:p>
    <w:p>
      <w:pPr>
        <w:ind w:firstLine="480"/>
        <w:rPr>
          <w:color w:val="auto"/>
        </w:rPr>
      </w:pPr>
      <w:r>
        <w:rPr>
          <w:color w:val="auto"/>
        </w:rPr>
        <w:t>3、加强项目</w:t>
      </w:r>
      <w:r>
        <w:rPr>
          <w:rFonts w:hint="eastAsia"/>
          <w:color w:val="auto"/>
        </w:rPr>
        <w:t>污染物排放的日常监测</w:t>
      </w:r>
      <w:r>
        <w:rPr>
          <w:color w:val="auto"/>
        </w:rPr>
        <w:t>，建立污染源档案，</w:t>
      </w:r>
      <w:r>
        <w:rPr>
          <w:rFonts w:hint="eastAsia"/>
          <w:color w:val="auto"/>
        </w:rPr>
        <w:t>接</w:t>
      </w:r>
      <w:r>
        <w:rPr>
          <w:color w:val="auto"/>
        </w:rPr>
        <w:t>受当地环保部门</w:t>
      </w:r>
      <w:r>
        <w:rPr>
          <w:rFonts w:hint="eastAsia"/>
          <w:color w:val="auto"/>
        </w:rPr>
        <w:t>监管，预防事故排放；定期为猪只作全面健康检查，避免疫情发生。</w:t>
      </w:r>
    </w:p>
    <w:p>
      <w:pPr>
        <w:ind w:firstLine="480"/>
        <w:rPr>
          <w:color w:val="auto"/>
        </w:rPr>
      </w:pPr>
      <w:r>
        <w:rPr>
          <w:color w:val="auto"/>
        </w:rPr>
        <w:t>4、项目</w:t>
      </w:r>
      <w:r>
        <w:rPr>
          <w:rFonts w:hint="eastAsia"/>
          <w:color w:val="auto"/>
        </w:rPr>
        <w:t>建设应重视引进和建立先进的环保管理模式，完善管理机制，强化企业职工自身的环保意识和事故风险意识。</w:t>
      </w:r>
    </w:p>
    <w:p>
      <w:pPr>
        <w:ind w:firstLine="480"/>
        <w:rPr>
          <w:rFonts w:hint="eastAsia"/>
          <w:color w:val="auto"/>
        </w:rPr>
      </w:pPr>
      <w:r>
        <w:rPr>
          <w:color w:val="auto"/>
        </w:rPr>
        <w:t>5、</w:t>
      </w:r>
      <w:r>
        <w:rPr>
          <w:rFonts w:hint="eastAsia"/>
          <w:color w:val="auto"/>
        </w:rPr>
        <w:t>加强企业体系管理，开展清洁生产审核，提高员工的素质和能力，提高企业的管理水平和清洁生产水平；进一步优化养殖工艺，从源强上削减污染物的产生量。加强对职工环境保护的宣传教育工作，提高全体员工的环保意识，做到环境保护，人人有责，积极探索进一步提高清洁生产水平。</w:t>
      </w:r>
    </w:p>
    <w:sectPr>
      <w:headerReference r:id="rId24" w:type="default"/>
      <w:pgSz w:w="11906" w:h="16838"/>
      <w:pgMar w:top="1418" w:right="1418" w:bottom="1418" w:left="1701"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3" w:usb1="00000000" w:usb2="00000000" w:usb3="00000000" w:csb0="0000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宋三简体">
    <w:altName w:val="宋体"/>
    <w:panose1 w:val="00000000000000000000"/>
    <w:charset w:val="86"/>
    <w:family w:val="auto"/>
    <w:pitch w:val="default"/>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SymbolMT">
    <w:altName w:val="Cambria"/>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imesNewRomanPSMT">
    <w:altName w:val="宋体"/>
    <w:panose1 w:val="00000000000000000000"/>
    <w:charset w:val="86"/>
    <w:family w:val="roman"/>
    <w:pitch w:val="default"/>
    <w:sig w:usb0="00000000" w:usb1="00000000" w:usb2="00000000" w:usb3="00000000" w:csb0="00040001" w:csb1="00000000"/>
  </w:font>
  <w:font w:name="TimesNewRoman">
    <w:altName w:val="Times New Roman"/>
    <w:panose1 w:val="00000000000000000000"/>
    <w:charset w:val="00"/>
    <w:family w:val="roman"/>
    <w:pitch w:val="default"/>
    <w:sig w:usb0="00000003" w:usb1="00000000" w:usb2="00000000" w:usb3="00000000" w:csb0="00000001" w:csb1="00000000"/>
  </w:font>
  <w:font w:name="华文中宋">
    <w:altName w:val="宋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琥珀">
    <w:altName w:val="宋体"/>
    <w:panose1 w:val="02010800040101010101"/>
    <w:charset w:val="86"/>
    <w:family w:val="auto"/>
    <w:pitch w:val="default"/>
    <w:sig w:usb0="00000001" w:usb1="080F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148</w:t>
    </w:r>
    <w:r>
      <w:rPr>
        <w:rFonts w:ascii="Times New Roman" w:hAnsi="Times New Roman"/>
      </w:rPr>
      <w:fldChar w:fldCharType="end"/>
    </w:r>
  </w:p>
  <w:p>
    <w:pPr>
      <w:pStyle w:val="31"/>
      <w:ind w:firstLine="360"/>
      <w:jc w:val="right"/>
      <w:rPr>
        <w:rFonts w:ascii="Times New Roman" w:hAnsi="Times New Roman"/>
      </w:rPr>
    </w:pPr>
    <w:r>
      <w:rPr>
        <w:rFonts w:hint="eastAsia" w:ascii="宋体" w:hAnsi="宋体"/>
        <w:lang w:eastAsia="zh-CN"/>
      </w:rPr>
      <w:t>德阳显众环境科技有限公司</w:t>
    </w:r>
    <w:r>
      <w:rPr>
        <w:rFonts w:hint="eastAsia" w:ascii="宋体" w:hAnsi="宋体"/>
      </w:rPr>
      <w:t>编制</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sz w:val="16"/>
        <w:szCs w:val="16"/>
      </w:rPr>
    </w:pPr>
    <w:r>
      <w:rPr>
        <w:rFonts w:hint="eastAsia" w:ascii="宋体" w:hAnsi="宋体"/>
        <w:sz w:val="16"/>
        <w:szCs w:val="16"/>
        <w:lang w:eastAsia="zh-CN"/>
      </w:rPr>
      <w:t>绵阳市硕牧云康畜牧养殖有限责任公司生猪养殖项目</w:t>
    </w:r>
    <w:r>
      <w:rPr>
        <w:rFonts w:hint="eastAsia" w:ascii="宋体" w:hAnsi="宋体"/>
        <w:sz w:val="16"/>
        <w:szCs w:val="16"/>
      </w:rPr>
      <w:t xml:space="preserve">环境影响报告书  </w:t>
    </w:r>
    <w:r>
      <w:rPr>
        <w:rFonts w:ascii="宋体" w:hAnsi="宋体"/>
        <w:sz w:val="16"/>
        <w:szCs w:val="16"/>
      </w:rPr>
      <w:t xml:space="preserve"> </w:t>
    </w:r>
    <w:r>
      <w:rPr>
        <w:rFonts w:hint="eastAsia" w:ascii="宋体" w:hAnsi="宋体"/>
        <w:sz w:val="16"/>
        <w:szCs w:val="16"/>
      </w:rPr>
      <w:t xml:space="preserve">                     </w:t>
    </w:r>
    <w:r>
      <w:rPr>
        <w:rFonts w:ascii="宋体" w:hAnsi="宋体"/>
        <w:sz w:val="16"/>
        <w:szCs w:val="16"/>
      </w:rPr>
      <w:t xml:space="preserve">           </w:t>
    </w:r>
    <w:r>
      <w:rPr>
        <w:rFonts w:hint="eastAsia" w:ascii="宋体" w:hAnsi="宋体"/>
        <w:sz w:val="16"/>
        <w:szCs w:val="16"/>
      </w:rPr>
      <w:t xml:space="preserve">    目录</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left"/>
      <w:rPr>
        <w:rFonts w:hint="eastAsia" w:ascii="宋体" w:hAnsi="宋体"/>
      </w:rPr>
    </w:pPr>
    <w:r>
      <w:rPr>
        <w:rFonts w:hint="eastAsia" w:ascii="宋体" w:hAnsi="宋体"/>
      </w:rPr>
      <w:t xml:space="preserve">   </w:t>
    </w:r>
  </w:p>
  <w:p>
    <w:pPr>
      <w:pStyle w:val="32"/>
      <w:ind w:firstLine="0" w:firstLineChars="0"/>
      <w:jc w:val="left"/>
      <w:rPr>
        <w:rFonts w:hint="eastAsia" w:ascii="宋体" w:hAnsi="宋体"/>
      </w:rPr>
    </w:pPr>
    <w:r>
      <w:rPr>
        <w:rFonts w:hint="eastAsia" w:ascii="宋体" w:hAnsi="宋体"/>
      </w:rPr>
      <w:t xml:space="preserve"> </w:t>
    </w:r>
    <w:r>
      <w:rPr>
        <w:rFonts w:hint="eastAsia" w:ascii="宋体" w:hAnsi="宋体"/>
        <w:lang w:eastAsia="zh-CN"/>
      </w:rPr>
      <w:t>绵阳市硕牧云康畜牧养殖有限责任公司生猪养殖项目</w:t>
    </w:r>
    <w:r>
      <w:rPr>
        <w:rFonts w:hint="eastAsia" w:ascii="宋体" w:hAnsi="宋体"/>
      </w:rPr>
      <w:t xml:space="preserve">环境影响报告书                    </w:t>
    </w:r>
    <w:r>
      <w:rPr>
        <w:rFonts w:ascii="宋体" w:hAnsi="宋体"/>
      </w:rPr>
      <w:t xml:space="preserve">         </w:t>
    </w:r>
    <w:r>
      <w:rPr>
        <w:rFonts w:hint="eastAsia" w:ascii="宋体" w:hAnsi="宋体"/>
      </w:rPr>
      <w:t>概述</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left"/>
      <w:rPr>
        <w:rFonts w:hint="eastAsia" w:ascii="宋体" w:hAnsi="宋体"/>
        <w:lang w:eastAsia="zh-CN"/>
      </w:rPr>
    </w:pPr>
  </w:p>
  <w:p>
    <w:pPr>
      <w:pStyle w:val="32"/>
      <w:ind w:firstLine="0" w:firstLineChars="0"/>
      <w:jc w:val="left"/>
      <w:rPr>
        <w:rFonts w:hint="eastAsia" w:ascii="宋体" w:hAnsi="宋体" w:eastAsia="宋体"/>
        <w:lang w:eastAsia="zh-CN"/>
      </w:rPr>
    </w:pPr>
    <w:r>
      <w:rPr>
        <w:rFonts w:hint="eastAsia" w:ascii="宋体" w:hAnsi="宋体"/>
        <w:lang w:eastAsia="zh-CN"/>
      </w:rPr>
      <w:t>绵阳市硕牧云康畜牧养殖有限责任公司生猪养殖项目</w:t>
    </w:r>
    <w:r>
      <w:rPr>
        <w:rFonts w:hint="eastAsia" w:ascii="宋体" w:hAnsi="宋体"/>
      </w:rPr>
      <w:t xml:space="preserve">环境影响报告书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lang w:val="en-US" w:eastAsia="zh-CN"/>
      </w:rPr>
      <w:t>总则</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ascii="Times New Roman" w:hAnsi="Times New Roman"/>
        <w:sz w:val="32"/>
        <w:szCs w:val="32"/>
      </w:rPr>
    </w:pPr>
    <w:r>
      <w:rPr>
        <w:rFonts w:hint="eastAsia" w:ascii="Times New Roman" w:hAnsi="Times New Roman"/>
        <w:lang w:eastAsia="zh-CN"/>
      </w:rPr>
      <w:t xml:space="preserve"> 绵阳市硕牧云康畜牧养殖有限责任公司生猪养殖项目</w:t>
    </w:r>
    <w:r>
      <w:rPr>
        <w:rFonts w:ascii="Times New Roman" w:hAnsi="Times New Roman"/>
      </w:rPr>
      <w:t>环境影响报告书                建设项目工程分析</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left"/>
      <w:rPr>
        <w:rFonts w:hint="eastAsia" w:ascii="宋体" w:hAnsi="宋体"/>
        <w:lang w:eastAsia="zh-CN"/>
      </w:rPr>
    </w:pPr>
  </w:p>
  <w:p>
    <w:pPr>
      <w:pStyle w:val="32"/>
      <w:ind w:firstLine="0" w:firstLineChars="0"/>
      <w:jc w:val="left"/>
      <w:rPr>
        <w:rFonts w:ascii="宋体" w:hAnsi="宋体"/>
        <w:sz w:val="32"/>
        <w:szCs w:val="32"/>
      </w:rPr>
    </w:pPr>
    <w:r>
      <w:rPr>
        <w:rFonts w:hint="eastAsia" w:ascii="宋体" w:hAnsi="宋体"/>
        <w:lang w:eastAsia="zh-CN"/>
      </w:rPr>
      <w:t>绵阳市硕牧云康畜牧养殖有限责任公司生猪养殖项目</w:t>
    </w:r>
    <w:r>
      <w:rPr>
        <w:rFonts w:hint="eastAsia" w:ascii="宋体" w:hAnsi="宋体"/>
      </w:rPr>
      <w:t>环境影响报告书</w:t>
    </w:r>
    <w:r>
      <w:rPr>
        <w:rFonts w:ascii="宋体" w:hAnsi="宋体"/>
      </w:rPr>
      <w:t xml:space="preserve">      </w:t>
    </w:r>
    <w:r>
      <w:rPr>
        <w:rFonts w:ascii="Times New Roman" w:hAnsi="Times New Roman"/>
      </w:rPr>
      <w:t>建设项目工程分析</w:t>
    </w:r>
    <w:r>
      <w:rPr>
        <w:rFonts w:ascii="宋体" w:hAnsi="宋体"/>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sz w:val="32"/>
        <w:szCs w:val="32"/>
      </w:rPr>
    </w:pPr>
    <w:r>
      <w:rPr>
        <w:rFonts w:hint="eastAsia" w:ascii="宋体" w:hAnsi="宋体"/>
        <w:lang w:eastAsia="zh-CN"/>
      </w:rPr>
      <w:t>绵阳市硕牧云康畜牧养殖有限责任公司生猪养殖项目</w:t>
    </w:r>
    <w:r>
      <w:rPr>
        <w:rFonts w:hint="eastAsia" w:ascii="宋体" w:hAnsi="宋体"/>
      </w:rPr>
      <w:t xml:space="preserve">环境影响报告书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 xml:space="preserve">   环境现状调查与评价</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Times New Roman" w:hAnsi="Times New Roman"/>
        <w:lang w:eastAsia="zh-CN"/>
      </w:rPr>
    </w:pPr>
  </w:p>
  <w:p>
    <w:pPr>
      <w:pStyle w:val="32"/>
      <w:ind w:firstLine="0" w:firstLineChars="0"/>
      <w:jc w:val="both"/>
      <w:rPr>
        <w:rFonts w:hint="eastAsia" w:ascii="宋体" w:hAnsi="宋体"/>
        <w:sz w:val="32"/>
        <w:szCs w:val="32"/>
      </w:rPr>
    </w:pPr>
    <w:r>
      <w:rPr>
        <w:rFonts w:hint="eastAsia" w:ascii="Times New Roman" w:hAnsi="Times New Roman"/>
        <w:lang w:eastAsia="zh-CN"/>
      </w:rPr>
      <w:t>绵阳市硕牧云康畜牧养殖有限责任公司生猪养殖项目</w:t>
    </w:r>
    <w:r>
      <w:rPr>
        <w:rFonts w:ascii="Times New Roman" w:hAnsi="Times New Roman"/>
      </w:rPr>
      <w:t xml:space="preserve">环境影响报告书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环境影响预测</w:t>
    </w:r>
    <w:r>
      <w:rPr>
        <w:rFonts w:ascii="宋体" w:hAnsi="宋体"/>
      </w:rPr>
      <w:t>与评价</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lang w:eastAsia="zh-CN"/>
      </w:rPr>
    </w:pPr>
  </w:p>
  <w:p>
    <w:pPr>
      <w:pStyle w:val="32"/>
      <w:ind w:firstLine="0" w:firstLineChars="0"/>
      <w:jc w:val="both"/>
      <w:rPr>
        <w:rFonts w:hint="eastAsia" w:ascii="宋体" w:hAnsi="宋体"/>
        <w:sz w:val="32"/>
        <w:szCs w:val="32"/>
      </w:rPr>
    </w:pPr>
    <w:r>
      <w:rPr>
        <w:rFonts w:hint="eastAsia" w:ascii="宋体" w:hAnsi="宋体"/>
        <w:lang w:eastAsia="zh-CN"/>
      </w:rPr>
      <w:t>绵阳市硕牧云康畜牧养殖有限责任公司生猪养殖项目</w:t>
    </w:r>
    <w:r>
      <w:rPr>
        <w:rFonts w:hint="eastAsia" w:ascii="宋体" w:hAnsi="宋体"/>
      </w:rPr>
      <w:t>环境影响报告书</w:t>
    </w:r>
    <w:r>
      <w:rPr>
        <w:rFonts w:ascii="宋体" w:hAnsi="宋体"/>
      </w:rPr>
      <w:t xml:space="preserve">        </w:t>
    </w:r>
    <w:r>
      <w:rPr>
        <w:rFonts w:hint="eastAsia" w:ascii="宋体" w:hAnsi="宋体"/>
      </w:rPr>
      <w:t xml:space="preserve">            环境风险评价</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Times New Roman" w:hAnsi="Times New Roman"/>
        <w:lang w:eastAsia="zh-CN"/>
      </w:rPr>
    </w:pPr>
  </w:p>
  <w:p>
    <w:pPr>
      <w:pStyle w:val="32"/>
      <w:ind w:firstLine="0" w:firstLineChars="0"/>
      <w:jc w:val="both"/>
      <w:rPr>
        <w:rFonts w:hint="eastAsia" w:ascii="宋体" w:hAnsi="宋体"/>
        <w:sz w:val="32"/>
        <w:szCs w:val="32"/>
      </w:rPr>
    </w:pPr>
    <w:r>
      <w:rPr>
        <w:rFonts w:hint="eastAsia" w:ascii="Times New Roman" w:hAnsi="Times New Roman"/>
        <w:lang w:eastAsia="zh-CN"/>
      </w:rPr>
      <w:t>绵阳市硕牧云康畜牧养殖有限责任公司生猪养殖项目</w:t>
    </w:r>
    <w:r>
      <w:rPr>
        <w:rFonts w:ascii="Times New Roman" w:hAnsi="Times New Roman"/>
      </w:rPr>
      <w:t>环境影响报告书</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 xml:space="preserve"> 环境保护措施及其可行性论证</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sz w:val="32"/>
        <w:szCs w:val="32"/>
      </w:rPr>
    </w:pPr>
    <w:bookmarkStart w:id="276" w:name="_Hlk47339366"/>
    <w:r>
      <w:rPr>
        <w:rFonts w:hint="eastAsia" w:ascii="宋体" w:hAnsi="宋体"/>
        <w:lang w:eastAsia="zh-CN"/>
      </w:rPr>
      <w:t>绵阳市硕牧云康畜牧养殖有限责任公司生猪养殖项目</w:t>
    </w:r>
    <w:r>
      <w:rPr>
        <w:rFonts w:hint="eastAsia" w:ascii="宋体" w:hAnsi="宋体"/>
      </w:rPr>
      <w:t>环境影响报告书</w:t>
    </w:r>
    <w:bookmarkEnd w:id="276"/>
    <w:r>
      <w:rPr>
        <w:rFonts w:hint="eastAsia" w:ascii="宋体" w:hAnsi="宋体"/>
      </w:rPr>
      <w:t xml:space="preserve"> </w:t>
    </w:r>
    <w:r>
      <w:rPr>
        <w:rFonts w:ascii="宋体" w:hAnsi="宋体"/>
      </w:rPr>
      <w:t xml:space="preserve">        </w:t>
    </w:r>
    <w:r>
      <w:rPr>
        <w:rFonts w:hint="eastAsia" w:ascii="宋体" w:hAnsi="宋体"/>
      </w:rPr>
      <w:t>环境影响</w:t>
    </w:r>
    <w:r>
      <w:rPr>
        <w:rFonts w:ascii="宋体" w:hAnsi="宋体"/>
      </w:rPr>
      <w:t>经济损益分析</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sz w:val="32"/>
        <w:szCs w:val="32"/>
      </w:rPr>
    </w:pPr>
    <w:r>
      <w:rPr>
        <w:rFonts w:hint="eastAsia" w:ascii="宋体" w:hAnsi="宋体"/>
        <w:lang w:eastAsia="zh-CN"/>
      </w:rPr>
      <w:t>绵阳市硕牧云康畜牧养殖有限责任公司 绵阳市硕牧云康畜牧养殖有限责任公司生猪养殖项目</w:t>
    </w:r>
    <w:r>
      <w:rPr>
        <w:rFonts w:hint="eastAsia" w:ascii="宋体" w:hAnsi="宋体"/>
      </w:rPr>
      <w:t>环境影响报告书</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 xml:space="preserve">    环境管理</w:t>
    </w:r>
    <w:r>
      <w:rPr>
        <w:rFonts w:ascii="宋体" w:hAnsi="宋体"/>
      </w:rPr>
      <w:t>与监测计划</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sz w:val="32"/>
        <w:szCs w:val="32"/>
      </w:rPr>
    </w:pPr>
    <w:r>
      <w:rPr>
        <w:rFonts w:hint="eastAsia" w:ascii="宋体" w:hAnsi="宋体"/>
        <w:lang w:eastAsia="zh-CN"/>
      </w:rPr>
      <w:t>绵阳市硕牧云康畜牧养殖有限责任公司 绵阳市硕牧云康畜牧养殖有限责任公司生猪养殖项目</w:t>
    </w:r>
    <w:r>
      <w:rPr>
        <w:rFonts w:hint="eastAsia" w:ascii="宋体" w:hAnsi="宋体"/>
      </w:rPr>
      <w:t>环境影响报告书</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环境管理</w:t>
    </w:r>
    <w:r>
      <w:rPr>
        <w:rFonts w:ascii="宋体" w:hAnsi="宋体"/>
      </w:rPr>
      <w:t>与监测计划</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firstLine="0" w:firstLineChars="0"/>
      <w:jc w:val="both"/>
      <w:rPr>
        <w:rFonts w:hint="eastAsia" w:ascii="宋体" w:hAnsi="宋体"/>
        <w:lang w:eastAsia="zh-CN"/>
      </w:rPr>
    </w:pPr>
  </w:p>
  <w:p>
    <w:pPr>
      <w:pStyle w:val="32"/>
      <w:ind w:firstLine="0" w:firstLineChars="0"/>
      <w:jc w:val="both"/>
      <w:rPr>
        <w:rFonts w:hint="eastAsia" w:ascii="宋体" w:hAnsi="宋体"/>
        <w:sz w:val="32"/>
        <w:szCs w:val="32"/>
      </w:rPr>
    </w:pPr>
    <w:r>
      <w:rPr>
        <w:rFonts w:hint="eastAsia" w:ascii="宋体" w:hAnsi="宋体"/>
        <w:lang w:eastAsia="zh-CN"/>
      </w:rPr>
      <w:t>绵阳市硕牧云康畜牧养殖有限责任公司生猪养殖项目</w:t>
    </w:r>
    <w:r>
      <w:rPr>
        <w:rFonts w:ascii="宋体" w:hAnsi="宋体"/>
      </w:rPr>
      <w:t>环境影响报告书</w:t>
    </w:r>
    <w:r>
      <w:rPr>
        <w:rFonts w:hint="eastAsia" w:ascii="宋体" w:hAnsi="宋体"/>
      </w:rPr>
      <w:t xml:space="preserve">   </w:t>
    </w:r>
    <w:r>
      <w:rPr>
        <w:rFonts w:ascii="宋体" w:hAnsi="宋体"/>
      </w:rPr>
      <w:t xml:space="preserve">                </w:t>
    </w:r>
    <w:r>
      <w:rPr>
        <w:rFonts w:hint="eastAsia" w:ascii="宋体" w:hAnsi="宋体"/>
      </w:rPr>
      <w:t xml:space="preserve">  结论及</w:t>
    </w:r>
    <w:r>
      <w:rPr>
        <w:rFonts w:ascii="宋体" w:hAnsi="宋体"/>
      </w:rPr>
      <w:t>建议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EB4F1"/>
    <w:multiLevelType w:val="singleLevel"/>
    <w:tmpl w:val="8C8EB4F1"/>
    <w:lvl w:ilvl="0" w:tentative="0">
      <w:start w:val="1"/>
      <w:numFmt w:val="decimalEnclosedCircleChinese"/>
      <w:suff w:val="nothing"/>
      <w:lvlText w:val="%1　"/>
      <w:lvlJc w:val="left"/>
      <w:pPr>
        <w:ind w:left="0" w:firstLine="400"/>
      </w:pPr>
      <w:rPr>
        <w:rFonts w:hint="eastAsia"/>
      </w:rPr>
    </w:lvl>
  </w:abstractNum>
  <w:abstractNum w:abstractNumId="1">
    <w:nsid w:val="947030CC"/>
    <w:multiLevelType w:val="singleLevel"/>
    <w:tmpl w:val="947030CC"/>
    <w:lvl w:ilvl="0" w:tentative="0">
      <w:start w:val="1"/>
      <w:numFmt w:val="decimalEnclosedCircleChinese"/>
      <w:suff w:val="nothing"/>
      <w:lvlText w:val="%1　"/>
      <w:lvlJc w:val="left"/>
      <w:pPr>
        <w:ind w:left="0" w:firstLine="400"/>
      </w:pPr>
      <w:rPr>
        <w:rFonts w:hint="eastAsia"/>
      </w:rPr>
    </w:lvl>
  </w:abstractNum>
  <w:abstractNum w:abstractNumId="2">
    <w:nsid w:val="98BA04B9"/>
    <w:multiLevelType w:val="singleLevel"/>
    <w:tmpl w:val="98BA04B9"/>
    <w:lvl w:ilvl="0" w:tentative="0">
      <w:start w:val="1"/>
      <w:numFmt w:val="decimalEnclosedCircleChinese"/>
      <w:suff w:val="nothing"/>
      <w:lvlText w:val="%1　"/>
      <w:lvlJc w:val="left"/>
      <w:pPr>
        <w:ind w:left="0" w:firstLine="400"/>
      </w:pPr>
      <w:rPr>
        <w:rFonts w:hint="eastAsia"/>
      </w:rPr>
    </w:lvl>
  </w:abstractNum>
  <w:abstractNum w:abstractNumId="3">
    <w:nsid w:val="9D1F041D"/>
    <w:multiLevelType w:val="singleLevel"/>
    <w:tmpl w:val="9D1F041D"/>
    <w:lvl w:ilvl="0" w:tentative="0">
      <w:start w:val="1"/>
      <w:numFmt w:val="lowerLetter"/>
      <w:lvlText w:val="%1."/>
      <w:lvlJc w:val="left"/>
      <w:pPr>
        <w:ind w:left="425" w:hanging="425"/>
      </w:pPr>
      <w:rPr>
        <w:rFonts w:hint="default"/>
      </w:rPr>
    </w:lvl>
  </w:abstractNum>
  <w:abstractNum w:abstractNumId="4">
    <w:nsid w:val="9D20C1B4"/>
    <w:multiLevelType w:val="singleLevel"/>
    <w:tmpl w:val="9D20C1B4"/>
    <w:lvl w:ilvl="0" w:tentative="0">
      <w:start w:val="1"/>
      <w:numFmt w:val="decimal"/>
      <w:lvlText w:val="%1"/>
      <w:lvlJc w:val="left"/>
      <w:pPr>
        <w:tabs>
          <w:tab w:val="left" w:pos="420"/>
        </w:tabs>
        <w:ind w:left="425" w:hanging="425"/>
      </w:pPr>
      <w:rPr>
        <w:rFonts w:hint="default"/>
      </w:rPr>
    </w:lvl>
  </w:abstractNum>
  <w:abstractNum w:abstractNumId="5">
    <w:nsid w:val="9E1085C9"/>
    <w:multiLevelType w:val="singleLevel"/>
    <w:tmpl w:val="9E1085C9"/>
    <w:lvl w:ilvl="0" w:tentative="0">
      <w:start w:val="1"/>
      <w:numFmt w:val="decimal"/>
      <w:lvlText w:val="%1."/>
      <w:lvlJc w:val="left"/>
      <w:pPr>
        <w:tabs>
          <w:tab w:val="left" w:pos="312"/>
        </w:tabs>
      </w:pPr>
    </w:lvl>
  </w:abstractNum>
  <w:abstractNum w:abstractNumId="6">
    <w:nsid w:val="B037CAA2"/>
    <w:multiLevelType w:val="singleLevel"/>
    <w:tmpl w:val="B037CAA2"/>
    <w:lvl w:ilvl="0" w:tentative="0">
      <w:start w:val="1"/>
      <w:numFmt w:val="decimal"/>
      <w:lvlText w:val="%1."/>
      <w:lvlJc w:val="left"/>
      <w:pPr>
        <w:tabs>
          <w:tab w:val="left" w:pos="420"/>
        </w:tabs>
        <w:ind w:left="425" w:hanging="425"/>
      </w:pPr>
      <w:rPr>
        <w:rFonts w:hint="default"/>
      </w:rPr>
    </w:lvl>
  </w:abstractNum>
  <w:abstractNum w:abstractNumId="7">
    <w:nsid w:val="CBB986A4"/>
    <w:multiLevelType w:val="singleLevel"/>
    <w:tmpl w:val="CBB986A4"/>
    <w:lvl w:ilvl="0" w:tentative="0">
      <w:start w:val="1"/>
      <w:numFmt w:val="upperLetter"/>
      <w:suff w:val="nothing"/>
      <w:lvlText w:val="%1，"/>
      <w:lvlJc w:val="left"/>
      <w:pPr>
        <w:ind w:left="826" w:firstLine="0"/>
      </w:pPr>
    </w:lvl>
  </w:abstractNum>
  <w:abstractNum w:abstractNumId="8">
    <w:nsid w:val="CD33D182"/>
    <w:multiLevelType w:val="singleLevel"/>
    <w:tmpl w:val="CD33D182"/>
    <w:lvl w:ilvl="0" w:tentative="0">
      <w:start w:val="1"/>
      <w:numFmt w:val="decimal"/>
      <w:lvlText w:val="%1."/>
      <w:lvlJc w:val="left"/>
      <w:pPr>
        <w:ind w:left="425" w:hanging="425"/>
      </w:pPr>
      <w:rPr>
        <w:rFonts w:hint="default"/>
      </w:rPr>
    </w:lvl>
  </w:abstractNum>
  <w:abstractNum w:abstractNumId="9">
    <w:nsid w:val="CDD4EA73"/>
    <w:multiLevelType w:val="singleLevel"/>
    <w:tmpl w:val="CDD4EA73"/>
    <w:lvl w:ilvl="0" w:tentative="0">
      <w:start w:val="1"/>
      <w:numFmt w:val="decimalEnclosedCircleChinese"/>
      <w:suff w:val="nothing"/>
      <w:lvlText w:val="%1　"/>
      <w:lvlJc w:val="left"/>
      <w:pPr>
        <w:ind w:left="0" w:firstLine="400"/>
      </w:pPr>
      <w:rPr>
        <w:rFonts w:hint="eastAsia"/>
      </w:rPr>
    </w:lvl>
  </w:abstractNum>
  <w:abstractNum w:abstractNumId="10">
    <w:nsid w:val="DD9176B1"/>
    <w:multiLevelType w:val="singleLevel"/>
    <w:tmpl w:val="DD9176B1"/>
    <w:lvl w:ilvl="0" w:tentative="0">
      <w:start w:val="1"/>
      <w:numFmt w:val="decimalEnclosedCircleChinese"/>
      <w:suff w:val="nothing"/>
      <w:lvlText w:val="%1　"/>
      <w:lvlJc w:val="left"/>
      <w:pPr>
        <w:ind w:left="0" w:firstLine="400"/>
      </w:pPr>
      <w:rPr>
        <w:rFonts w:hint="eastAsia"/>
      </w:rPr>
    </w:lvl>
  </w:abstractNum>
  <w:abstractNum w:abstractNumId="11">
    <w:nsid w:val="DEFE34D1"/>
    <w:multiLevelType w:val="singleLevel"/>
    <w:tmpl w:val="DEFE34D1"/>
    <w:lvl w:ilvl="0" w:tentative="0">
      <w:start w:val="1"/>
      <w:numFmt w:val="decimal"/>
      <w:lvlText w:val="%1."/>
      <w:lvlJc w:val="left"/>
      <w:pPr>
        <w:ind w:left="425" w:hanging="425"/>
      </w:pPr>
      <w:rPr>
        <w:rFonts w:hint="default"/>
      </w:rPr>
    </w:lvl>
  </w:abstractNum>
  <w:abstractNum w:abstractNumId="12">
    <w:nsid w:val="F18B4E34"/>
    <w:multiLevelType w:val="singleLevel"/>
    <w:tmpl w:val="F18B4E34"/>
    <w:lvl w:ilvl="0" w:tentative="0">
      <w:start w:val="1"/>
      <w:numFmt w:val="decimal"/>
      <w:lvlText w:val="%1"/>
      <w:lvlJc w:val="left"/>
      <w:pPr>
        <w:tabs>
          <w:tab w:val="left" w:pos="420"/>
        </w:tabs>
        <w:ind w:left="425" w:hanging="425"/>
      </w:pPr>
      <w:rPr>
        <w:rFonts w:hint="default"/>
      </w:rPr>
    </w:lvl>
  </w:abstractNum>
  <w:abstractNum w:abstractNumId="13">
    <w:nsid w:val="F21DE699"/>
    <w:multiLevelType w:val="singleLevel"/>
    <w:tmpl w:val="F21DE699"/>
    <w:lvl w:ilvl="0" w:tentative="0">
      <w:start w:val="1"/>
      <w:numFmt w:val="bullet"/>
      <w:pStyle w:val="4"/>
      <w:lvlText w:val=""/>
      <w:lvlJc w:val="left"/>
      <w:pPr>
        <w:tabs>
          <w:tab w:val="left" w:pos="2040"/>
        </w:tabs>
        <w:ind w:left="2040" w:hanging="360"/>
      </w:pPr>
      <w:rPr>
        <w:rFonts w:hint="default" w:ascii="Wingdings" w:hAnsi="Wingdings"/>
      </w:rPr>
    </w:lvl>
  </w:abstractNum>
  <w:abstractNum w:abstractNumId="14">
    <w:nsid w:val="1A54F94D"/>
    <w:multiLevelType w:val="singleLevel"/>
    <w:tmpl w:val="1A54F94D"/>
    <w:lvl w:ilvl="0" w:tentative="0">
      <w:start w:val="1"/>
      <w:numFmt w:val="decimal"/>
      <w:lvlText w:val="%1."/>
      <w:lvlJc w:val="left"/>
      <w:pPr>
        <w:ind w:left="425" w:hanging="425"/>
      </w:pPr>
      <w:rPr>
        <w:rFonts w:hint="default"/>
      </w:rPr>
    </w:lvl>
  </w:abstractNum>
  <w:abstractNum w:abstractNumId="15">
    <w:nsid w:val="250D9E2F"/>
    <w:multiLevelType w:val="singleLevel"/>
    <w:tmpl w:val="250D9E2F"/>
    <w:lvl w:ilvl="0" w:tentative="0">
      <w:start w:val="2"/>
      <w:numFmt w:val="decimal"/>
      <w:suff w:val="nothing"/>
      <w:lvlText w:val="（%1）"/>
      <w:lvlJc w:val="left"/>
    </w:lvl>
  </w:abstractNum>
  <w:abstractNum w:abstractNumId="16">
    <w:nsid w:val="48C6BA1D"/>
    <w:multiLevelType w:val="singleLevel"/>
    <w:tmpl w:val="48C6BA1D"/>
    <w:lvl w:ilvl="0" w:tentative="0">
      <w:start w:val="1"/>
      <w:numFmt w:val="decimalEnclosedCircleChinese"/>
      <w:suff w:val="nothing"/>
      <w:lvlText w:val="%1　"/>
      <w:lvlJc w:val="left"/>
      <w:pPr>
        <w:ind w:left="0" w:firstLine="400"/>
      </w:pPr>
      <w:rPr>
        <w:rFonts w:hint="eastAsia"/>
      </w:rPr>
    </w:lvl>
  </w:abstractNum>
  <w:abstractNum w:abstractNumId="17">
    <w:nsid w:val="4E236956"/>
    <w:multiLevelType w:val="multilevel"/>
    <w:tmpl w:val="4E236956"/>
    <w:lvl w:ilvl="0" w:tentative="0">
      <w:start w:val="1"/>
      <w:numFmt w:val="decimal"/>
      <w:pStyle w:val="268"/>
      <w:lvlText w:val="%1"/>
      <w:lvlJc w:val="left"/>
      <w:pPr>
        <w:ind w:left="0" w:firstLine="0"/>
      </w:pPr>
      <w:rPr>
        <w:rFonts w:hint="eastAsia" w:ascii="Arial Unicode MS" w:hAnsi="Arial Unicode MS" w:eastAsia="宋体"/>
      </w:rPr>
    </w:lvl>
    <w:lvl w:ilvl="1" w:tentative="0">
      <w:start w:val="1"/>
      <w:numFmt w:val="decimal"/>
      <w:pStyle w:val="333"/>
      <w:lvlText w:val="%1.%2"/>
      <w:lvlJc w:val="left"/>
      <w:pPr>
        <w:ind w:left="992" w:hanging="567"/>
      </w:pPr>
      <w:rPr>
        <w:rFonts w:hint="eastAsia"/>
      </w:rPr>
    </w:lvl>
    <w:lvl w:ilvl="2" w:tentative="0">
      <w:start w:val="1"/>
      <w:numFmt w:val="decimal"/>
      <w:pStyle w:val="8"/>
      <w:lvlText w:val="%1.%2.%3"/>
      <w:lvlJc w:val="left"/>
      <w:pPr>
        <w:ind w:left="1418" w:hanging="567"/>
      </w:pPr>
      <w:rPr>
        <w:rFonts w:hint="eastAsia"/>
      </w:rPr>
    </w:lvl>
    <w:lvl w:ilvl="3" w:tentative="0">
      <w:start w:val="1"/>
      <w:numFmt w:val="decimal"/>
      <w:pStyle w:val="9"/>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8">
    <w:nsid w:val="56EF1BD2"/>
    <w:multiLevelType w:val="singleLevel"/>
    <w:tmpl w:val="56EF1BD2"/>
    <w:lvl w:ilvl="0" w:tentative="0">
      <w:start w:val="1"/>
      <w:numFmt w:val="decimalEnclosedCircleChinese"/>
      <w:suff w:val="nothing"/>
      <w:lvlText w:val="%1　"/>
      <w:lvlJc w:val="left"/>
      <w:pPr>
        <w:ind w:left="0" w:firstLine="400"/>
      </w:pPr>
      <w:rPr>
        <w:rFonts w:hint="eastAsia"/>
      </w:rPr>
    </w:lvl>
  </w:abstractNum>
  <w:abstractNum w:abstractNumId="19">
    <w:nsid w:val="57A65E26"/>
    <w:multiLevelType w:val="singleLevel"/>
    <w:tmpl w:val="57A65E26"/>
    <w:lvl w:ilvl="0" w:tentative="0">
      <w:start w:val="1"/>
      <w:numFmt w:val="decimalEnclosedCircleChinese"/>
      <w:suff w:val="nothing"/>
      <w:lvlText w:val="%1　"/>
      <w:lvlJc w:val="left"/>
      <w:pPr>
        <w:ind w:left="0" w:firstLine="400"/>
      </w:pPr>
      <w:rPr>
        <w:rFonts w:hint="eastAsia"/>
      </w:rPr>
    </w:lvl>
  </w:abstractNum>
  <w:abstractNum w:abstractNumId="20">
    <w:nsid w:val="64009439"/>
    <w:multiLevelType w:val="singleLevel"/>
    <w:tmpl w:val="64009439"/>
    <w:lvl w:ilvl="0" w:tentative="0">
      <w:start w:val="1"/>
      <w:numFmt w:val="decimalEnclosedCircleChinese"/>
      <w:suff w:val="nothing"/>
      <w:lvlText w:val="%1　"/>
      <w:lvlJc w:val="left"/>
      <w:pPr>
        <w:ind w:left="0" w:firstLine="400"/>
      </w:pPr>
      <w:rPr>
        <w:rFonts w:hint="eastAsia"/>
      </w:rPr>
    </w:lvl>
  </w:abstractNum>
  <w:abstractNum w:abstractNumId="21">
    <w:nsid w:val="7566244C"/>
    <w:multiLevelType w:val="singleLevel"/>
    <w:tmpl w:val="7566244C"/>
    <w:lvl w:ilvl="0" w:tentative="0">
      <w:start w:val="1"/>
      <w:numFmt w:val="decimalEnclosedCircleChinese"/>
      <w:suff w:val="nothing"/>
      <w:lvlText w:val="%1　"/>
      <w:lvlJc w:val="left"/>
      <w:pPr>
        <w:ind w:left="0" w:firstLine="400"/>
      </w:pPr>
      <w:rPr>
        <w:rFonts w:hint="eastAsia"/>
      </w:rPr>
    </w:lvl>
  </w:abstractNum>
  <w:abstractNum w:abstractNumId="22">
    <w:nsid w:val="76563ACD"/>
    <w:multiLevelType w:val="singleLevel"/>
    <w:tmpl w:val="76563ACD"/>
    <w:lvl w:ilvl="0" w:tentative="0">
      <w:start w:val="1"/>
      <w:numFmt w:val="decimal"/>
      <w:lvlText w:val="%1"/>
      <w:lvlJc w:val="left"/>
      <w:pPr>
        <w:tabs>
          <w:tab w:val="left" w:pos="420"/>
        </w:tabs>
        <w:ind w:left="425" w:hanging="425"/>
      </w:pPr>
      <w:rPr>
        <w:rFonts w:hint="default"/>
      </w:rPr>
    </w:lvl>
  </w:abstractNum>
  <w:num w:numId="1">
    <w:abstractNumId w:val="17"/>
  </w:num>
  <w:num w:numId="2">
    <w:abstractNumId w:val="13"/>
  </w:num>
  <w:num w:numId="3">
    <w:abstractNumId w:val="11"/>
  </w:num>
  <w:num w:numId="4">
    <w:abstractNumId w:val="12"/>
  </w:num>
  <w:num w:numId="5">
    <w:abstractNumId w:val="19"/>
  </w:num>
  <w:num w:numId="6">
    <w:abstractNumId w:val="8"/>
  </w:num>
  <w:num w:numId="7">
    <w:abstractNumId w:val="15"/>
  </w:num>
  <w:num w:numId="8">
    <w:abstractNumId w:val="6"/>
  </w:num>
  <w:num w:numId="9">
    <w:abstractNumId w:val="1"/>
  </w:num>
  <w:num w:numId="10">
    <w:abstractNumId w:val="3"/>
  </w:num>
  <w:num w:numId="11">
    <w:abstractNumId w:val="14"/>
  </w:num>
  <w:num w:numId="12">
    <w:abstractNumId w:val="5"/>
  </w:num>
  <w:num w:numId="13">
    <w:abstractNumId w:val="4"/>
  </w:num>
  <w:num w:numId="14">
    <w:abstractNumId w:val="10"/>
  </w:num>
  <w:num w:numId="15">
    <w:abstractNumId w:val="21"/>
  </w:num>
  <w:num w:numId="16">
    <w:abstractNumId w:val="9"/>
  </w:num>
  <w:num w:numId="17">
    <w:abstractNumId w:val="2"/>
  </w:num>
  <w:num w:numId="18">
    <w:abstractNumId w:val="16"/>
  </w:num>
  <w:num w:numId="19">
    <w:abstractNumId w:val="0"/>
  </w:num>
  <w:num w:numId="20">
    <w:abstractNumId w:val="20"/>
  </w:num>
  <w:num w:numId="21">
    <w:abstractNumId w:val="7"/>
  </w:num>
  <w:num w:numId="22">
    <w:abstractNumId w:val="18"/>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3D"/>
    <w:rsid w:val="00001EE5"/>
    <w:rsid w:val="00002BF8"/>
    <w:rsid w:val="000049BA"/>
    <w:rsid w:val="000055FE"/>
    <w:rsid w:val="00005F93"/>
    <w:rsid w:val="00007347"/>
    <w:rsid w:val="000074C0"/>
    <w:rsid w:val="00007F13"/>
    <w:rsid w:val="00010131"/>
    <w:rsid w:val="00010BDF"/>
    <w:rsid w:val="0001500B"/>
    <w:rsid w:val="00015750"/>
    <w:rsid w:val="00017001"/>
    <w:rsid w:val="00020C61"/>
    <w:rsid w:val="00020D15"/>
    <w:rsid w:val="0002129C"/>
    <w:rsid w:val="0002259D"/>
    <w:rsid w:val="00022957"/>
    <w:rsid w:val="0002382C"/>
    <w:rsid w:val="00023E20"/>
    <w:rsid w:val="0002444B"/>
    <w:rsid w:val="00031C87"/>
    <w:rsid w:val="00032C79"/>
    <w:rsid w:val="00033ED5"/>
    <w:rsid w:val="00034799"/>
    <w:rsid w:val="000360B7"/>
    <w:rsid w:val="00036496"/>
    <w:rsid w:val="000365ED"/>
    <w:rsid w:val="00040343"/>
    <w:rsid w:val="0004139A"/>
    <w:rsid w:val="0004198F"/>
    <w:rsid w:val="00041A54"/>
    <w:rsid w:val="000426BC"/>
    <w:rsid w:val="000433C1"/>
    <w:rsid w:val="000444F6"/>
    <w:rsid w:val="00045EBD"/>
    <w:rsid w:val="000470B3"/>
    <w:rsid w:val="0005169E"/>
    <w:rsid w:val="0005173A"/>
    <w:rsid w:val="00052608"/>
    <w:rsid w:val="00052D57"/>
    <w:rsid w:val="00053647"/>
    <w:rsid w:val="00056655"/>
    <w:rsid w:val="000571F4"/>
    <w:rsid w:val="00057885"/>
    <w:rsid w:val="00057DA7"/>
    <w:rsid w:val="00060F1C"/>
    <w:rsid w:val="0006238D"/>
    <w:rsid w:val="00062A96"/>
    <w:rsid w:val="000639E6"/>
    <w:rsid w:val="00063F49"/>
    <w:rsid w:val="000648DD"/>
    <w:rsid w:val="000673A8"/>
    <w:rsid w:val="00070C46"/>
    <w:rsid w:val="00071884"/>
    <w:rsid w:val="00072B35"/>
    <w:rsid w:val="00073B4B"/>
    <w:rsid w:val="00073D5A"/>
    <w:rsid w:val="00075034"/>
    <w:rsid w:val="000752BE"/>
    <w:rsid w:val="0007619C"/>
    <w:rsid w:val="00076A51"/>
    <w:rsid w:val="00076B33"/>
    <w:rsid w:val="00076D12"/>
    <w:rsid w:val="00076E20"/>
    <w:rsid w:val="000827F0"/>
    <w:rsid w:val="00082D77"/>
    <w:rsid w:val="00083368"/>
    <w:rsid w:val="00083F47"/>
    <w:rsid w:val="00086210"/>
    <w:rsid w:val="00086641"/>
    <w:rsid w:val="0009008D"/>
    <w:rsid w:val="00090230"/>
    <w:rsid w:val="0009043C"/>
    <w:rsid w:val="00090A67"/>
    <w:rsid w:val="00090C51"/>
    <w:rsid w:val="00091203"/>
    <w:rsid w:val="00092199"/>
    <w:rsid w:val="00094469"/>
    <w:rsid w:val="00096FBD"/>
    <w:rsid w:val="00096FF6"/>
    <w:rsid w:val="00097D0C"/>
    <w:rsid w:val="000A0C9F"/>
    <w:rsid w:val="000A28A3"/>
    <w:rsid w:val="000A3B8F"/>
    <w:rsid w:val="000A7220"/>
    <w:rsid w:val="000B06D5"/>
    <w:rsid w:val="000B0A32"/>
    <w:rsid w:val="000B20F3"/>
    <w:rsid w:val="000B26F7"/>
    <w:rsid w:val="000B2E7A"/>
    <w:rsid w:val="000B324C"/>
    <w:rsid w:val="000B4472"/>
    <w:rsid w:val="000B4BBD"/>
    <w:rsid w:val="000B4FC1"/>
    <w:rsid w:val="000B572A"/>
    <w:rsid w:val="000B579B"/>
    <w:rsid w:val="000B7D3D"/>
    <w:rsid w:val="000C0073"/>
    <w:rsid w:val="000C1238"/>
    <w:rsid w:val="000C18F6"/>
    <w:rsid w:val="000C39AF"/>
    <w:rsid w:val="000C47EC"/>
    <w:rsid w:val="000C627B"/>
    <w:rsid w:val="000C6D8E"/>
    <w:rsid w:val="000D078B"/>
    <w:rsid w:val="000D16E5"/>
    <w:rsid w:val="000D38D6"/>
    <w:rsid w:val="000D6707"/>
    <w:rsid w:val="000D6A8F"/>
    <w:rsid w:val="000D6F08"/>
    <w:rsid w:val="000D6FE8"/>
    <w:rsid w:val="000E1491"/>
    <w:rsid w:val="000E181D"/>
    <w:rsid w:val="000E378B"/>
    <w:rsid w:val="000E3CEB"/>
    <w:rsid w:val="000E494E"/>
    <w:rsid w:val="000E49DB"/>
    <w:rsid w:val="000E594E"/>
    <w:rsid w:val="000E5B2D"/>
    <w:rsid w:val="000E5C7D"/>
    <w:rsid w:val="000E65E3"/>
    <w:rsid w:val="000E7740"/>
    <w:rsid w:val="000F1892"/>
    <w:rsid w:val="000F1F13"/>
    <w:rsid w:val="000F2BFE"/>
    <w:rsid w:val="000F2FB4"/>
    <w:rsid w:val="000F3E9C"/>
    <w:rsid w:val="000F4576"/>
    <w:rsid w:val="000F6416"/>
    <w:rsid w:val="000F7635"/>
    <w:rsid w:val="00101A12"/>
    <w:rsid w:val="00101C9C"/>
    <w:rsid w:val="00102AA4"/>
    <w:rsid w:val="00104DFF"/>
    <w:rsid w:val="00106519"/>
    <w:rsid w:val="00106E1A"/>
    <w:rsid w:val="001077EB"/>
    <w:rsid w:val="001102D3"/>
    <w:rsid w:val="00111D2B"/>
    <w:rsid w:val="00114BE7"/>
    <w:rsid w:val="001155EC"/>
    <w:rsid w:val="00115A5F"/>
    <w:rsid w:val="001165E4"/>
    <w:rsid w:val="00116821"/>
    <w:rsid w:val="0011746A"/>
    <w:rsid w:val="00120582"/>
    <w:rsid w:val="0012154C"/>
    <w:rsid w:val="001237DA"/>
    <w:rsid w:val="00125CBB"/>
    <w:rsid w:val="001268E3"/>
    <w:rsid w:val="00130227"/>
    <w:rsid w:val="00130EDE"/>
    <w:rsid w:val="00131A4B"/>
    <w:rsid w:val="00131BE0"/>
    <w:rsid w:val="00133578"/>
    <w:rsid w:val="00133F6C"/>
    <w:rsid w:val="00135073"/>
    <w:rsid w:val="001352CD"/>
    <w:rsid w:val="001359FF"/>
    <w:rsid w:val="001363D8"/>
    <w:rsid w:val="00137AA9"/>
    <w:rsid w:val="001402B1"/>
    <w:rsid w:val="00140C94"/>
    <w:rsid w:val="00140FF8"/>
    <w:rsid w:val="00142CE0"/>
    <w:rsid w:val="00142F98"/>
    <w:rsid w:val="00143641"/>
    <w:rsid w:val="00145112"/>
    <w:rsid w:val="001453C0"/>
    <w:rsid w:val="00146939"/>
    <w:rsid w:val="001501BA"/>
    <w:rsid w:val="001503DC"/>
    <w:rsid w:val="00150623"/>
    <w:rsid w:val="00150833"/>
    <w:rsid w:val="00150C14"/>
    <w:rsid w:val="001528DF"/>
    <w:rsid w:val="001541C7"/>
    <w:rsid w:val="001543C1"/>
    <w:rsid w:val="00154968"/>
    <w:rsid w:val="00154C66"/>
    <w:rsid w:val="001552EB"/>
    <w:rsid w:val="00155F95"/>
    <w:rsid w:val="001561A0"/>
    <w:rsid w:val="00156780"/>
    <w:rsid w:val="00160BA2"/>
    <w:rsid w:val="0016235F"/>
    <w:rsid w:val="0016277D"/>
    <w:rsid w:val="00162E1B"/>
    <w:rsid w:val="00164BC8"/>
    <w:rsid w:val="0016540E"/>
    <w:rsid w:val="001666B8"/>
    <w:rsid w:val="001669EF"/>
    <w:rsid w:val="00166DCB"/>
    <w:rsid w:val="00166FB0"/>
    <w:rsid w:val="001675C3"/>
    <w:rsid w:val="00167BDE"/>
    <w:rsid w:val="001704FA"/>
    <w:rsid w:val="00170EDC"/>
    <w:rsid w:val="001737C9"/>
    <w:rsid w:val="0017411D"/>
    <w:rsid w:val="00174313"/>
    <w:rsid w:val="001747B9"/>
    <w:rsid w:val="0017553A"/>
    <w:rsid w:val="00176087"/>
    <w:rsid w:val="001766B0"/>
    <w:rsid w:val="00180838"/>
    <w:rsid w:val="00180D16"/>
    <w:rsid w:val="00181AF8"/>
    <w:rsid w:val="00182E7E"/>
    <w:rsid w:val="00183BC5"/>
    <w:rsid w:val="00183DD6"/>
    <w:rsid w:val="00185740"/>
    <w:rsid w:val="00186C1F"/>
    <w:rsid w:val="00190A45"/>
    <w:rsid w:val="00190E2B"/>
    <w:rsid w:val="001935E3"/>
    <w:rsid w:val="00193FC5"/>
    <w:rsid w:val="00194AFF"/>
    <w:rsid w:val="00195F06"/>
    <w:rsid w:val="001965E9"/>
    <w:rsid w:val="0019666E"/>
    <w:rsid w:val="00196ABF"/>
    <w:rsid w:val="00196F1A"/>
    <w:rsid w:val="001A0048"/>
    <w:rsid w:val="001A1009"/>
    <w:rsid w:val="001A1952"/>
    <w:rsid w:val="001A1DD5"/>
    <w:rsid w:val="001A219F"/>
    <w:rsid w:val="001A26FB"/>
    <w:rsid w:val="001A2A76"/>
    <w:rsid w:val="001A2E55"/>
    <w:rsid w:val="001A5EA9"/>
    <w:rsid w:val="001A6434"/>
    <w:rsid w:val="001A6DAD"/>
    <w:rsid w:val="001A7E93"/>
    <w:rsid w:val="001B0B38"/>
    <w:rsid w:val="001B1FEE"/>
    <w:rsid w:val="001B2A87"/>
    <w:rsid w:val="001B30D8"/>
    <w:rsid w:val="001B60CC"/>
    <w:rsid w:val="001B6110"/>
    <w:rsid w:val="001C06FF"/>
    <w:rsid w:val="001C3C7D"/>
    <w:rsid w:val="001C3E98"/>
    <w:rsid w:val="001C6F86"/>
    <w:rsid w:val="001D1EB4"/>
    <w:rsid w:val="001D2448"/>
    <w:rsid w:val="001D2714"/>
    <w:rsid w:val="001D2880"/>
    <w:rsid w:val="001D3C0D"/>
    <w:rsid w:val="001D3FA2"/>
    <w:rsid w:val="001D53FA"/>
    <w:rsid w:val="001D6D4B"/>
    <w:rsid w:val="001E04A3"/>
    <w:rsid w:val="001E17EA"/>
    <w:rsid w:val="001E4AAB"/>
    <w:rsid w:val="001E51EA"/>
    <w:rsid w:val="001E53E3"/>
    <w:rsid w:val="001E5FF0"/>
    <w:rsid w:val="001E6853"/>
    <w:rsid w:val="001E7744"/>
    <w:rsid w:val="001F0093"/>
    <w:rsid w:val="001F07E5"/>
    <w:rsid w:val="001F0A36"/>
    <w:rsid w:val="001F1543"/>
    <w:rsid w:val="001F2277"/>
    <w:rsid w:val="001F36FE"/>
    <w:rsid w:val="001F67A7"/>
    <w:rsid w:val="001F6BB8"/>
    <w:rsid w:val="001F7298"/>
    <w:rsid w:val="001F7E00"/>
    <w:rsid w:val="002011C0"/>
    <w:rsid w:val="00203502"/>
    <w:rsid w:val="00211701"/>
    <w:rsid w:val="002135E8"/>
    <w:rsid w:val="00213933"/>
    <w:rsid w:val="00213D9B"/>
    <w:rsid w:val="002154FE"/>
    <w:rsid w:val="00215C53"/>
    <w:rsid w:val="002203E1"/>
    <w:rsid w:val="002233E7"/>
    <w:rsid w:val="002251E6"/>
    <w:rsid w:val="00225631"/>
    <w:rsid w:val="00225735"/>
    <w:rsid w:val="00226361"/>
    <w:rsid w:val="00231D04"/>
    <w:rsid w:val="002324CE"/>
    <w:rsid w:val="002330D3"/>
    <w:rsid w:val="002330E3"/>
    <w:rsid w:val="00233FC3"/>
    <w:rsid w:val="00235423"/>
    <w:rsid w:val="00235ADB"/>
    <w:rsid w:val="00236F11"/>
    <w:rsid w:val="00240112"/>
    <w:rsid w:val="0024098A"/>
    <w:rsid w:val="002422D9"/>
    <w:rsid w:val="00243172"/>
    <w:rsid w:val="00243674"/>
    <w:rsid w:val="00243F13"/>
    <w:rsid w:val="00244A94"/>
    <w:rsid w:val="00245184"/>
    <w:rsid w:val="00245AEE"/>
    <w:rsid w:val="0025278D"/>
    <w:rsid w:val="00254BE3"/>
    <w:rsid w:val="002558F6"/>
    <w:rsid w:val="002570B8"/>
    <w:rsid w:val="00257293"/>
    <w:rsid w:val="00257C6B"/>
    <w:rsid w:val="0026051E"/>
    <w:rsid w:val="002626D8"/>
    <w:rsid w:val="002644AC"/>
    <w:rsid w:val="00265DEC"/>
    <w:rsid w:val="0026607A"/>
    <w:rsid w:val="00267B55"/>
    <w:rsid w:val="002708C4"/>
    <w:rsid w:val="00270A49"/>
    <w:rsid w:val="00270ADA"/>
    <w:rsid w:val="00271CC7"/>
    <w:rsid w:val="002726AA"/>
    <w:rsid w:val="002727F4"/>
    <w:rsid w:val="00273180"/>
    <w:rsid w:val="00273385"/>
    <w:rsid w:val="00273BEC"/>
    <w:rsid w:val="00276518"/>
    <w:rsid w:val="00281E3C"/>
    <w:rsid w:val="00282E40"/>
    <w:rsid w:val="00284C44"/>
    <w:rsid w:val="00285442"/>
    <w:rsid w:val="002906D7"/>
    <w:rsid w:val="00291341"/>
    <w:rsid w:val="0029286A"/>
    <w:rsid w:val="0029298D"/>
    <w:rsid w:val="00292BD6"/>
    <w:rsid w:val="002948AB"/>
    <w:rsid w:val="00295549"/>
    <w:rsid w:val="002957F4"/>
    <w:rsid w:val="002961A4"/>
    <w:rsid w:val="002966DD"/>
    <w:rsid w:val="0029776B"/>
    <w:rsid w:val="00297D21"/>
    <w:rsid w:val="00297D70"/>
    <w:rsid w:val="002A3A46"/>
    <w:rsid w:val="002A3C26"/>
    <w:rsid w:val="002A48CC"/>
    <w:rsid w:val="002A4983"/>
    <w:rsid w:val="002A4E7D"/>
    <w:rsid w:val="002A6534"/>
    <w:rsid w:val="002A7F42"/>
    <w:rsid w:val="002B0E82"/>
    <w:rsid w:val="002B4AEC"/>
    <w:rsid w:val="002B4D7A"/>
    <w:rsid w:val="002B5442"/>
    <w:rsid w:val="002B7428"/>
    <w:rsid w:val="002B7ACE"/>
    <w:rsid w:val="002C1625"/>
    <w:rsid w:val="002C2FB3"/>
    <w:rsid w:val="002C3FC1"/>
    <w:rsid w:val="002C40FC"/>
    <w:rsid w:val="002C5716"/>
    <w:rsid w:val="002C5FCC"/>
    <w:rsid w:val="002C6391"/>
    <w:rsid w:val="002C6608"/>
    <w:rsid w:val="002C7DA3"/>
    <w:rsid w:val="002D033B"/>
    <w:rsid w:val="002D1745"/>
    <w:rsid w:val="002D2775"/>
    <w:rsid w:val="002D708C"/>
    <w:rsid w:val="002D770A"/>
    <w:rsid w:val="002E02B1"/>
    <w:rsid w:val="002E04FD"/>
    <w:rsid w:val="002E0577"/>
    <w:rsid w:val="002E0836"/>
    <w:rsid w:val="002E19AA"/>
    <w:rsid w:val="002E2A03"/>
    <w:rsid w:val="002E3026"/>
    <w:rsid w:val="002E3620"/>
    <w:rsid w:val="002E3778"/>
    <w:rsid w:val="002E3E40"/>
    <w:rsid w:val="002E4485"/>
    <w:rsid w:val="002E5903"/>
    <w:rsid w:val="002E5921"/>
    <w:rsid w:val="002E5E6B"/>
    <w:rsid w:val="002E61EF"/>
    <w:rsid w:val="002E645B"/>
    <w:rsid w:val="002E7D23"/>
    <w:rsid w:val="002F4063"/>
    <w:rsid w:val="002F41CB"/>
    <w:rsid w:val="002F61EB"/>
    <w:rsid w:val="002F7481"/>
    <w:rsid w:val="0030066B"/>
    <w:rsid w:val="00300B12"/>
    <w:rsid w:val="00303EB9"/>
    <w:rsid w:val="00303F5D"/>
    <w:rsid w:val="0030425A"/>
    <w:rsid w:val="003049CC"/>
    <w:rsid w:val="003060AE"/>
    <w:rsid w:val="003064AB"/>
    <w:rsid w:val="00307239"/>
    <w:rsid w:val="00310410"/>
    <w:rsid w:val="0031045B"/>
    <w:rsid w:val="003104E1"/>
    <w:rsid w:val="003109FC"/>
    <w:rsid w:val="00311792"/>
    <w:rsid w:val="0031378A"/>
    <w:rsid w:val="003139A1"/>
    <w:rsid w:val="00313D37"/>
    <w:rsid w:val="00314A5D"/>
    <w:rsid w:val="0031504D"/>
    <w:rsid w:val="00315264"/>
    <w:rsid w:val="00316047"/>
    <w:rsid w:val="00316843"/>
    <w:rsid w:val="00316DDE"/>
    <w:rsid w:val="00317D1F"/>
    <w:rsid w:val="0032346C"/>
    <w:rsid w:val="003250E2"/>
    <w:rsid w:val="00327FC2"/>
    <w:rsid w:val="003323FC"/>
    <w:rsid w:val="00333CF9"/>
    <w:rsid w:val="00333FD1"/>
    <w:rsid w:val="003349C5"/>
    <w:rsid w:val="00334CAB"/>
    <w:rsid w:val="0033578C"/>
    <w:rsid w:val="00335BBA"/>
    <w:rsid w:val="0033609A"/>
    <w:rsid w:val="00337754"/>
    <w:rsid w:val="00337C5F"/>
    <w:rsid w:val="00340214"/>
    <w:rsid w:val="00340F31"/>
    <w:rsid w:val="003411A1"/>
    <w:rsid w:val="00341A4C"/>
    <w:rsid w:val="003421DD"/>
    <w:rsid w:val="0034396A"/>
    <w:rsid w:val="00343A3F"/>
    <w:rsid w:val="00343BC3"/>
    <w:rsid w:val="003443AA"/>
    <w:rsid w:val="00344D3A"/>
    <w:rsid w:val="00346753"/>
    <w:rsid w:val="00347CC6"/>
    <w:rsid w:val="00350636"/>
    <w:rsid w:val="003517AA"/>
    <w:rsid w:val="003538F1"/>
    <w:rsid w:val="003548A5"/>
    <w:rsid w:val="00355F2D"/>
    <w:rsid w:val="003565C5"/>
    <w:rsid w:val="00357ED9"/>
    <w:rsid w:val="00360109"/>
    <w:rsid w:val="003603BD"/>
    <w:rsid w:val="00360CA2"/>
    <w:rsid w:val="00361204"/>
    <w:rsid w:val="00362B27"/>
    <w:rsid w:val="00363ABC"/>
    <w:rsid w:val="00363BC4"/>
    <w:rsid w:val="00365757"/>
    <w:rsid w:val="00365D77"/>
    <w:rsid w:val="00366359"/>
    <w:rsid w:val="00371548"/>
    <w:rsid w:val="003728D4"/>
    <w:rsid w:val="00373A36"/>
    <w:rsid w:val="0037572F"/>
    <w:rsid w:val="00375C5B"/>
    <w:rsid w:val="00375F6D"/>
    <w:rsid w:val="003802F4"/>
    <w:rsid w:val="0038045F"/>
    <w:rsid w:val="00380524"/>
    <w:rsid w:val="0038117C"/>
    <w:rsid w:val="003815EF"/>
    <w:rsid w:val="00384010"/>
    <w:rsid w:val="003858A0"/>
    <w:rsid w:val="0038757F"/>
    <w:rsid w:val="00391BCF"/>
    <w:rsid w:val="00392FF6"/>
    <w:rsid w:val="00397749"/>
    <w:rsid w:val="003A1650"/>
    <w:rsid w:val="003A3579"/>
    <w:rsid w:val="003A40B3"/>
    <w:rsid w:val="003A4426"/>
    <w:rsid w:val="003A5C18"/>
    <w:rsid w:val="003A5D91"/>
    <w:rsid w:val="003A7236"/>
    <w:rsid w:val="003A7EE7"/>
    <w:rsid w:val="003B0B22"/>
    <w:rsid w:val="003B1510"/>
    <w:rsid w:val="003B2297"/>
    <w:rsid w:val="003B3E20"/>
    <w:rsid w:val="003B4715"/>
    <w:rsid w:val="003B4DC7"/>
    <w:rsid w:val="003B5D94"/>
    <w:rsid w:val="003B60D0"/>
    <w:rsid w:val="003B6463"/>
    <w:rsid w:val="003B72B7"/>
    <w:rsid w:val="003C045A"/>
    <w:rsid w:val="003C1CBD"/>
    <w:rsid w:val="003C204C"/>
    <w:rsid w:val="003C287C"/>
    <w:rsid w:val="003C35FE"/>
    <w:rsid w:val="003C3D76"/>
    <w:rsid w:val="003C4360"/>
    <w:rsid w:val="003C478F"/>
    <w:rsid w:val="003D0B53"/>
    <w:rsid w:val="003D4073"/>
    <w:rsid w:val="003D44CE"/>
    <w:rsid w:val="003D4832"/>
    <w:rsid w:val="003D4A4E"/>
    <w:rsid w:val="003D76B9"/>
    <w:rsid w:val="003E260D"/>
    <w:rsid w:val="003E2C9F"/>
    <w:rsid w:val="003E311F"/>
    <w:rsid w:val="003E504F"/>
    <w:rsid w:val="003E5E5E"/>
    <w:rsid w:val="003E6172"/>
    <w:rsid w:val="003E6480"/>
    <w:rsid w:val="003E69C9"/>
    <w:rsid w:val="003E746A"/>
    <w:rsid w:val="003F0202"/>
    <w:rsid w:val="003F120A"/>
    <w:rsid w:val="003F3379"/>
    <w:rsid w:val="003F5474"/>
    <w:rsid w:val="003F5BD8"/>
    <w:rsid w:val="003F615B"/>
    <w:rsid w:val="003F6A42"/>
    <w:rsid w:val="003F6CD9"/>
    <w:rsid w:val="003F7FB8"/>
    <w:rsid w:val="004003CD"/>
    <w:rsid w:val="0040133B"/>
    <w:rsid w:val="004015CD"/>
    <w:rsid w:val="004046DC"/>
    <w:rsid w:val="00404DA4"/>
    <w:rsid w:val="00405367"/>
    <w:rsid w:val="0040542D"/>
    <w:rsid w:val="0040663F"/>
    <w:rsid w:val="00406879"/>
    <w:rsid w:val="0040706C"/>
    <w:rsid w:val="004078DD"/>
    <w:rsid w:val="0041038D"/>
    <w:rsid w:val="00410E84"/>
    <w:rsid w:val="004119A2"/>
    <w:rsid w:val="00413DD4"/>
    <w:rsid w:val="00413E53"/>
    <w:rsid w:val="0041550E"/>
    <w:rsid w:val="00415B00"/>
    <w:rsid w:val="00416E4C"/>
    <w:rsid w:val="00417619"/>
    <w:rsid w:val="004211B1"/>
    <w:rsid w:val="004217FC"/>
    <w:rsid w:val="004219E0"/>
    <w:rsid w:val="00421D3F"/>
    <w:rsid w:val="00421E46"/>
    <w:rsid w:val="004226BE"/>
    <w:rsid w:val="00423DB8"/>
    <w:rsid w:val="00423E69"/>
    <w:rsid w:val="00426462"/>
    <w:rsid w:val="0042648E"/>
    <w:rsid w:val="00426E04"/>
    <w:rsid w:val="0042710A"/>
    <w:rsid w:val="00430769"/>
    <w:rsid w:val="00430882"/>
    <w:rsid w:val="00430BB8"/>
    <w:rsid w:val="0043113D"/>
    <w:rsid w:val="00431BC2"/>
    <w:rsid w:val="00433174"/>
    <w:rsid w:val="0043650E"/>
    <w:rsid w:val="00436AC1"/>
    <w:rsid w:val="00437730"/>
    <w:rsid w:val="00441DB4"/>
    <w:rsid w:val="00443191"/>
    <w:rsid w:val="0044471F"/>
    <w:rsid w:val="004467CA"/>
    <w:rsid w:val="004470EB"/>
    <w:rsid w:val="00447208"/>
    <w:rsid w:val="004502E6"/>
    <w:rsid w:val="004505E1"/>
    <w:rsid w:val="004507AC"/>
    <w:rsid w:val="0045117B"/>
    <w:rsid w:val="00451275"/>
    <w:rsid w:val="0045468C"/>
    <w:rsid w:val="004549CF"/>
    <w:rsid w:val="00456937"/>
    <w:rsid w:val="00456D8E"/>
    <w:rsid w:val="00457B3D"/>
    <w:rsid w:val="0046419B"/>
    <w:rsid w:val="00466337"/>
    <w:rsid w:val="00467752"/>
    <w:rsid w:val="0047059A"/>
    <w:rsid w:val="0047224B"/>
    <w:rsid w:val="00474B7C"/>
    <w:rsid w:val="00477D66"/>
    <w:rsid w:val="00481FCA"/>
    <w:rsid w:val="00482A14"/>
    <w:rsid w:val="004830E1"/>
    <w:rsid w:val="004831DC"/>
    <w:rsid w:val="00484267"/>
    <w:rsid w:val="0048490B"/>
    <w:rsid w:val="00484D2B"/>
    <w:rsid w:val="004850F4"/>
    <w:rsid w:val="0048519D"/>
    <w:rsid w:val="00491EBE"/>
    <w:rsid w:val="00491EEA"/>
    <w:rsid w:val="0049209D"/>
    <w:rsid w:val="00492DB0"/>
    <w:rsid w:val="00493711"/>
    <w:rsid w:val="00493B17"/>
    <w:rsid w:val="004946A8"/>
    <w:rsid w:val="00494F24"/>
    <w:rsid w:val="00495001"/>
    <w:rsid w:val="00495B90"/>
    <w:rsid w:val="004A03AC"/>
    <w:rsid w:val="004A0675"/>
    <w:rsid w:val="004A09A2"/>
    <w:rsid w:val="004A15C2"/>
    <w:rsid w:val="004A1743"/>
    <w:rsid w:val="004A287A"/>
    <w:rsid w:val="004A61D3"/>
    <w:rsid w:val="004A716F"/>
    <w:rsid w:val="004B0A0A"/>
    <w:rsid w:val="004B0F8B"/>
    <w:rsid w:val="004B3708"/>
    <w:rsid w:val="004B43F8"/>
    <w:rsid w:val="004B61D7"/>
    <w:rsid w:val="004B65F4"/>
    <w:rsid w:val="004B6F09"/>
    <w:rsid w:val="004C21A5"/>
    <w:rsid w:val="004C2320"/>
    <w:rsid w:val="004C2347"/>
    <w:rsid w:val="004C2558"/>
    <w:rsid w:val="004C3172"/>
    <w:rsid w:val="004C3FB7"/>
    <w:rsid w:val="004C60D3"/>
    <w:rsid w:val="004C6EDD"/>
    <w:rsid w:val="004D036C"/>
    <w:rsid w:val="004D278D"/>
    <w:rsid w:val="004D2B6E"/>
    <w:rsid w:val="004D2E1C"/>
    <w:rsid w:val="004D482F"/>
    <w:rsid w:val="004D5112"/>
    <w:rsid w:val="004D528A"/>
    <w:rsid w:val="004D66B9"/>
    <w:rsid w:val="004D6B1B"/>
    <w:rsid w:val="004D7569"/>
    <w:rsid w:val="004E0395"/>
    <w:rsid w:val="004E0EC7"/>
    <w:rsid w:val="004E1DD9"/>
    <w:rsid w:val="004E1E02"/>
    <w:rsid w:val="004E2156"/>
    <w:rsid w:val="004E271C"/>
    <w:rsid w:val="004E28BD"/>
    <w:rsid w:val="004E44BA"/>
    <w:rsid w:val="004E4D2F"/>
    <w:rsid w:val="004E4F91"/>
    <w:rsid w:val="004E5B15"/>
    <w:rsid w:val="004E690E"/>
    <w:rsid w:val="004E6E07"/>
    <w:rsid w:val="004E6F0F"/>
    <w:rsid w:val="004E7959"/>
    <w:rsid w:val="004E7D40"/>
    <w:rsid w:val="004E7E0C"/>
    <w:rsid w:val="004F035E"/>
    <w:rsid w:val="004F06B1"/>
    <w:rsid w:val="004F0FAB"/>
    <w:rsid w:val="004F24BF"/>
    <w:rsid w:val="004F2553"/>
    <w:rsid w:val="004F2810"/>
    <w:rsid w:val="004F32C0"/>
    <w:rsid w:val="004F4A17"/>
    <w:rsid w:val="004F4ED5"/>
    <w:rsid w:val="004F4F32"/>
    <w:rsid w:val="004F55D4"/>
    <w:rsid w:val="004F58C5"/>
    <w:rsid w:val="004F594F"/>
    <w:rsid w:val="004F5F08"/>
    <w:rsid w:val="004F6E7F"/>
    <w:rsid w:val="005001B9"/>
    <w:rsid w:val="00500A17"/>
    <w:rsid w:val="00500C2A"/>
    <w:rsid w:val="0050316C"/>
    <w:rsid w:val="00506285"/>
    <w:rsid w:val="00507687"/>
    <w:rsid w:val="00510743"/>
    <w:rsid w:val="0051273D"/>
    <w:rsid w:val="005131D5"/>
    <w:rsid w:val="00515A62"/>
    <w:rsid w:val="00515E32"/>
    <w:rsid w:val="00516B95"/>
    <w:rsid w:val="00520A43"/>
    <w:rsid w:val="0052267B"/>
    <w:rsid w:val="00524506"/>
    <w:rsid w:val="00524BD2"/>
    <w:rsid w:val="0052585F"/>
    <w:rsid w:val="00525C77"/>
    <w:rsid w:val="00526531"/>
    <w:rsid w:val="00527204"/>
    <w:rsid w:val="00527A5B"/>
    <w:rsid w:val="00527CFF"/>
    <w:rsid w:val="00527FDF"/>
    <w:rsid w:val="00530789"/>
    <w:rsid w:val="00533E51"/>
    <w:rsid w:val="005350EC"/>
    <w:rsid w:val="0054104D"/>
    <w:rsid w:val="00541D5F"/>
    <w:rsid w:val="00546B38"/>
    <w:rsid w:val="00547B72"/>
    <w:rsid w:val="0055026C"/>
    <w:rsid w:val="00551327"/>
    <w:rsid w:val="0055269B"/>
    <w:rsid w:val="00552E1B"/>
    <w:rsid w:val="00554489"/>
    <w:rsid w:val="00556EAC"/>
    <w:rsid w:val="0055700D"/>
    <w:rsid w:val="0055774C"/>
    <w:rsid w:val="00557C6C"/>
    <w:rsid w:val="005633D4"/>
    <w:rsid w:val="00566A29"/>
    <w:rsid w:val="005670C8"/>
    <w:rsid w:val="005679C8"/>
    <w:rsid w:val="005707A1"/>
    <w:rsid w:val="005719A9"/>
    <w:rsid w:val="00571A8F"/>
    <w:rsid w:val="00571CB0"/>
    <w:rsid w:val="005732AF"/>
    <w:rsid w:val="00573A50"/>
    <w:rsid w:val="0057578D"/>
    <w:rsid w:val="005762EC"/>
    <w:rsid w:val="00577765"/>
    <w:rsid w:val="00577DE6"/>
    <w:rsid w:val="005808D5"/>
    <w:rsid w:val="005821AA"/>
    <w:rsid w:val="0058275E"/>
    <w:rsid w:val="005829E1"/>
    <w:rsid w:val="00585118"/>
    <w:rsid w:val="005854CA"/>
    <w:rsid w:val="005863FC"/>
    <w:rsid w:val="00587314"/>
    <w:rsid w:val="00587F32"/>
    <w:rsid w:val="00590D61"/>
    <w:rsid w:val="00592A1D"/>
    <w:rsid w:val="00592A50"/>
    <w:rsid w:val="00593001"/>
    <w:rsid w:val="00593A8F"/>
    <w:rsid w:val="00595E1A"/>
    <w:rsid w:val="005975AF"/>
    <w:rsid w:val="00597B73"/>
    <w:rsid w:val="005A0E02"/>
    <w:rsid w:val="005A467D"/>
    <w:rsid w:val="005A625F"/>
    <w:rsid w:val="005A69CC"/>
    <w:rsid w:val="005A729F"/>
    <w:rsid w:val="005B081F"/>
    <w:rsid w:val="005B0D8F"/>
    <w:rsid w:val="005B1474"/>
    <w:rsid w:val="005B197B"/>
    <w:rsid w:val="005B22AE"/>
    <w:rsid w:val="005B256C"/>
    <w:rsid w:val="005B25C6"/>
    <w:rsid w:val="005B28BF"/>
    <w:rsid w:val="005B2AF0"/>
    <w:rsid w:val="005B35BB"/>
    <w:rsid w:val="005B3D6A"/>
    <w:rsid w:val="005B4897"/>
    <w:rsid w:val="005B4D57"/>
    <w:rsid w:val="005B5321"/>
    <w:rsid w:val="005B5772"/>
    <w:rsid w:val="005B586D"/>
    <w:rsid w:val="005B61BD"/>
    <w:rsid w:val="005B67AF"/>
    <w:rsid w:val="005B7415"/>
    <w:rsid w:val="005B7918"/>
    <w:rsid w:val="005C0D43"/>
    <w:rsid w:val="005C117F"/>
    <w:rsid w:val="005C18A6"/>
    <w:rsid w:val="005C19E6"/>
    <w:rsid w:val="005C2CD9"/>
    <w:rsid w:val="005C2D0A"/>
    <w:rsid w:val="005C2D7A"/>
    <w:rsid w:val="005C3938"/>
    <w:rsid w:val="005C39B5"/>
    <w:rsid w:val="005C50AD"/>
    <w:rsid w:val="005C5978"/>
    <w:rsid w:val="005C5ABF"/>
    <w:rsid w:val="005C5C6A"/>
    <w:rsid w:val="005C6917"/>
    <w:rsid w:val="005D04AD"/>
    <w:rsid w:val="005D0C46"/>
    <w:rsid w:val="005D3931"/>
    <w:rsid w:val="005D3CAC"/>
    <w:rsid w:val="005D59E7"/>
    <w:rsid w:val="005D6175"/>
    <w:rsid w:val="005D7D57"/>
    <w:rsid w:val="005D7E72"/>
    <w:rsid w:val="005E1F60"/>
    <w:rsid w:val="005E2305"/>
    <w:rsid w:val="005E301C"/>
    <w:rsid w:val="005E3264"/>
    <w:rsid w:val="005E3D44"/>
    <w:rsid w:val="005E5F3E"/>
    <w:rsid w:val="005E690A"/>
    <w:rsid w:val="005E6FFF"/>
    <w:rsid w:val="005F232B"/>
    <w:rsid w:val="005F2884"/>
    <w:rsid w:val="005F3BDA"/>
    <w:rsid w:val="005F3BDF"/>
    <w:rsid w:val="005F45C6"/>
    <w:rsid w:val="005F54AF"/>
    <w:rsid w:val="00600534"/>
    <w:rsid w:val="0060094D"/>
    <w:rsid w:val="006016BD"/>
    <w:rsid w:val="00602079"/>
    <w:rsid w:val="0060275E"/>
    <w:rsid w:val="006044D2"/>
    <w:rsid w:val="00604BF5"/>
    <w:rsid w:val="00604C9E"/>
    <w:rsid w:val="0060570C"/>
    <w:rsid w:val="00605959"/>
    <w:rsid w:val="006078B0"/>
    <w:rsid w:val="00611333"/>
    <w:rsid w:val="00612E01"/>
    <w:rsid w:val="00613A98"/>
    <w:rsid w:val="0061425B"/>
    <w:rsid w:val="00614AC4"/>
    <w:rsid w:val="00615C8B"/>
    <w:rsid w:val="00616D44"/>
    <w:rsid w:val="006175E0"/>
    <w:rsid w:val="006202E8"/>
    <w:rsid w:val="0062124A"/>
    <w:rsid w:val="00622AF4"/>
    <w:rsid w:val="00622CD2"/>
    <w:rsid w:val="00623035"/>
    <w:rsid w:val="00624DBA"/>
    <w:rsid w:val="0062519B"/>
    <w:rsid w:val="00625C16"/>
    <w:rsid w:val="00626D4D"/>
    <w:rsid w:val="0063031C"/>
    <w:rsid w:val="006307AA"/>
    <w:rsid w:val="006319A7"/>
    <w:rsid w:val="00632BB5"/>
    <w:rsid w:val="00637693"/>
    <w:rsid w:val="006405D3"/>
    <w:rsid w:val="00640814"/>
    <w:rsid w:val="006411CB"/>
    <w:rsid w:val="00641262"/>
    <w:rsid w:val="0064239A"/>
    <w:rsid w:val="006427E1"/>
    <w:rsid w:val="00642E53"/>
    <w:rsid w:val="00643408"/>
    <w:rsid w:val="006441D8"/>
    <w:rsid w:val="00644DA7"/>
    <w:rsid w:val="006450DA"/>
    <w:rsid w:val="00646790"/>
    <w:rsid w:val="00646CE8"/>
    <w:rsid w:val="00651D1F"/>
    <w:rsid w:val="00651F9C"/>
    <w:rsid w:val="00652AD8"/>
    <w:rsid w:val="00653472"/>
    <w:rsid w:val="00653BAB"/>
    <w:rsid w:val="00654C26"/>
    <w:rsid w:val="00660567"/>
    <w:rsid w:val="00660932"/>
    <w:rsid w:val="00661165"/>
    <w:rsid w:val="006613C4"/>
    <w:rsid w:val="006625CA"/>
    <w:rsid w:val="006629C7"/>
    <w:rsid w:val="00662E1F"/>
    <w:rsid w:val="0066373A"/>
    <w:rsid w:val="00663C3B"/>
    <w:rsid w:val="006640B0"/>
    <w:rsid w:val="00665186"/>
    <w:rsid w:val="006653B8"/>
    <w:rsid w:val="0066596C"/>
    <w:rsid w:val="0066637F"/>
    <w:rsid w:val="00666FD8"/>
    <w:rsid w:val="00670740"/>
    <w:rsid w:val="00670AE0"/>
    <w:rsid w:val="00671404"/>
    <w:rsid w:val="00671709"/>
    <w:rsid w:val="00671DF7"/>
    <w:rsid w:val="00672A3B"/>
    <w:rsid w:val="006745C5"/>
    <w:rsid w:val="00674FDD"/>
    <w:rsid w:val="006754C8"/>
    <w:rsid w:val="00675822"/>
    <w:rsid w:val="006758C6"/>
    <w:rsid w:val="00680C75"/>
    <w:rsid w:val="00681BE4"/>
    <w:rsid w:val="006820F8"/>
    <w:rsid w:val="00682CB6"/>
    <w:rsid w:val="006830BE"/>
    <w:rsid w:val="006840A0"/>
    <w:rsid w:val="006851C8"/>
    <w:rsid w:val="006852D0"/>
    <w:rsid w:val="00685319"/>
    <w:rsid w:val="00685F75"/>
    <w:rsid w:val="006870D4"/>
    <w:rsid w:val="0068757E"/>
    <w:rsid w:val="00687581"/>
    <w:rsid w:val="006900CC"/>
    <w:rsid w:val="00691EB7"/>
    <w:rsid w:val="00691F43"/>
    <w:rsid w:val="006937DE"/>
    <w:rsid w:val="006941F6"/>
    <w:rsid w:val="006946A5"/>
    <w:rsid w:val="00694B02"/>
    <w:rsid w:val="0069511A"/>
    <w:rsid w:val="00695C4B"/>
    <w:rsid w:val="00697C39"/>
    <w:rsid w:val="006A1DCB"/>
    <w:rsid w:val="006A2A48"/>
    <w:rsid w:val="006A2E94"/>
    <w:rsid w:val="006A4A3C"/>
    <w:rsid w:val="006A5483"/>
    <w:rsid w:val="006A6A79"/>
    <w:rsid w:val="006B0C0C"/>
    <w:rsid w:val="006B1803"/>
    <w:rsid w:val="006B18F1"/>
    <w:rsid w:val="006B1A14"/>
    <w:rsid w:val="006B43FA"/>
    <w:rsid w:val="006B5760"/>
    <w:rsid w:val="006C08B8"/>
    <w:rsid w:val="006C0AAD"/>
    <w:rsid w:val="006C2A51"/>
    <w:rsid w:val="006C2F23"/>
    <w:rsid w:val="006C3384"/>
    <w:rsid w:val="006C3A4B"/>
    <w:rsid w:val="006C3CD9"/>
    <w:rsid w:val="006C3DA4"/>
    <w:rsid w:val="006C4634"/>
    <w:rsid w:val="006C616E"/>
    <w:rsid w:val="006D1AAF"/>
    <w:rsid w:val="006D1F99"/>
    <w:rsid w:val="006D4011"/>
    <w:rsid w:val="006D5ACA"/>
    <w:rsid w:val="006D6460"/>
    <w:rsid w:val="006D6C48"/>
    <w:rsid w:val="006D7500"/>
    <w:rsid w:val="006D75BC"/>
    <w:rsid w:val="006D7F9D"/>
    <w:rsid w:val="006E18DE"/>
    <w:rsid w:val="006E1914"/>
    <w:rsid w:val="006E20EF"/>
    <w:rsid w:val="006E51DC"/>
    <w:rsid w:val="006E555F"/>
    <w:rsid w:val="006E5D42"/>
    <w:rsid w:val="006E635E"/>
    <w:rsid w:val="006E71D4"/>
    <w:rsid w:val="006E771F"/>
    <w:rsid w:val="006E7C6D"/>
    <w:rsid w:val="006E7FA5"/>
    <w:rsid w:val="006F31CC"/>
    <w:rsid w:val="006F57DC"/>
    <w:rsid w:val="006F5852"/>
    <w:rsid w:val="006F5E21"/>
    <w:rsid w:val="00703BCF"/>
    <w:rsid w:val="00705C34"/>
    <w:rsid w:val="0070640C"/>
    <w:rsid w:val="0070662F"/>
    <w:rsid w:val="00710301"/>
    <w:rsid w:val="007106DD"/>
    <w:rsid w:val="007111A0"/>
    <w:rsid w:val="00711BA2"/>
    <w:rsid w:val="00711CE7"/>
    <w:rsid w:val="007131C9"/>
    <w:rsid w:val="00714A23"/>
    <w:rsid w:val="00721B54"/>
    <w:rsid w:val="0072250A"/>
    <w:rsid w:val="007231DE"/>
    <w:rsid w:val="00723B43"/>
    <w:rsid w:val="007240C0"/>
    <w:rsid w:val="00724E66"/>
    <w:rsid w:val="007252A8"/>
    <w:rsid w:val="0072546B"/>
    <w:rsid w:val="00727A4C"/>
    <w:rsid w:val="00731168"/>
    <w:rsid w:val="00731661"/>
    <w:rsid w:val="007339C4"/>
    <w:rsid w:val="00734287"/>
    <w:rsid w:val="00734DBB"/>
    <w:rsid w:val="00735B81"/>
    <w:rsid w:val="00742936"/>
    <w:rsid w:val="007448B2"/>
    <w:rsid w:val="00744F4B"/>
    <w:rsid w:val="00745B12"/>
    <w:rsid w:val="00746FE1"/>
    <w:rsid w:val="00747500"/>
    <w:rsid w:val="0075000E"/>
    <w:rsid w:val="007504FC"/>
    <w:rsid w:val="00750ABB"/>
    <w:rsid w:val="00750B95"/>
    <w:rsid w:val="00750DFB"/>
    <w:rsid w:val="007518EF"/>
    <w:rsid w:val="00751CF1"/>
    <w:rsid w:val="00751FD4"/>
    <w:rsid w:val="00753180"/>
    <w:rsid w:val="00753AEE"/>
    <w:rsid w:val="007551FB"/>
    <w:rsid w:val="007559B7"/>
    <w:rsid w:val="007600A5"/>
    <w:rsid w:val="0076098D"/>
    <w:rsid w:val="00760B57"/>
    <w:rsid w:val="00760D61"/>
    <w:rsid w:val="00761882"/>
    <w:rsid w:val="00761BAB"/>
    <w:rsid w:val="0076227E"/>
    <w:rsid w:val="007628E0"/>
    <w:rsid w:val="00766662"/>
    <w:rsid w:val="007703AB"/>
    <w:rsid w:val="00770500"/>
    <w:rsid w:val="007716B4"/>
    <w:rsid w:val="0077188A"/>
    <w:rsid w:val="0077207B"/>
    <w:rsid w:val="00772932"/>
    <w:rsid w:val="00772ADF"/>
    <w:rsid w:val="00772FFD"/>
    <w:rsid w:val="007732CA"/>
    <w:rsid w:val="0077469F"/>
    <w:rsid w:val="00775DED"/>
    <w:rsid w:val="00776287"/>
    <w:rsid w:val="00776A2F"/>
    <w:rsid w:val="00782504"/>
    <w:rsid w:val="00782DB7"/>
    <w:rsid w:val="00783FCF"/>
    <w:rsid w:val="00787CBB"/>
    <w:rsid w:val="007908D1"/>
    <w:rsid w:val="00790E7C"/>
    <w:rsid w:val="00791A47"/>
    <w:rsid w:val="00792A34"/>
    <w:rsid w:val="00792C9E"/>
    <w:rsid w:val="00793CBA"/>
    <w:rsid w:val="007943F7"/>
    <w:rsid w:val="00794A85"/>
    <w:rsid w:val="0079507B"/>
    <w:rsid w:val="007959D3"/>
    <w:rsid w:val="00795C9F"/>
    <w:rsid w:val="00795EFB"/>
    <w:rsid w:val="00797B8D"/>
    <w:rsid w:val="007A45DD"/>
    <w:rsid w:val="007A4BC6"/>
    <w:rsid w:val="007A6E8C"/>
    <w:rsid w:val="007A70DB"/>
    <w:rsid w:val="007A7954"/>
    <w:rsid w:val="007B23E1"/>
    <w:rsid w:val="007B2696"/>
    <w:rsid w:val="007B2AFC"/>
    <w:rsid w:val="007B3282"/>
    <w:rsid w:val="007B3381"/>
    <w:rsid w:val="007B382A"/>
    <w:rsid w:val="007B3E25"/>
    <w:rsid w:val="007B44FC"/>
    <w:rsid w:val="007B4CA5"/>
    <w:rsid w:val="007B4FC1"/>
    <w:rsid w:val="007B52BE"/>
    <w:rsid w:val="007B54E1"/>
    <w:rsid w:val="007B60D6"/>
    <w:rsid w:val="007B629C"/>
    <w:rsid w:val="007B6490"/>
    <w:rsid w:val="007B6FF6"/>
    <w:rsid w:val="007C16CE"/>
    <w:rsid w:val="007C25A8"/>
    <w:rsid w:val="007C25D3"/>
    <w:rsid w:val="007C3798"/>
    <w:rsid w:val="007C3FB7"/>
    <w:rsid w:val="007C4478"/>
    <w:rsid w:val="007C4636"/>
    <w:rsid w:val="007C4DCE"/>
    <w:rsid w:val="007C5C4E"/>
    <w:rsid w:val="007C6A34"/>
    <w:rsid w:val="007C6C0B"/>
    <w:rsid w:val="007C79DD"/>
    <w:rsid w:val="007C7C3B"/>
    <w:rsid w:val="007D0565"/>
    <w:rsid w:val="007D073D"/>
    <w:rsid w:val="007D22AB"/>
    <w:rsid w:val="007D38DF"/>
    <w:rsid w:val="007D3D26"/>
    <w:rsid w:val="007D5126"/>
    <w:rsid w:val="007D5FE5"/>
    <w:rsid w:val="007D6094"/>
    <w:rsid w:val="007D6E30"/>
    <w:rsid w:val="007D761D"/>
    <w:rsid w:val="007D7687"/>
    <w:rsid w:val="007E01D8"/>
    <w:rsid w:val="007E140F"/>
    <w:rsid w:val="007E15A8"/>
    <w:rsid w:val="007E3055"/>
    <w:rsid w:val="007E35CA"/>
    <w:rsid w:val="007E3A74"/>
    <w:rsid w:val="007E5324"/>
    <w:rsid w:val="007E5D6F"/>
    <w:rsid w:val="007E614B"/>
    <w:rsid w:val="007E71DD"/>
    <w:rsid w:val="007E7C6F"/>
    <w:rsid w:val="007F0074"/>
    <w:rsid w:val="007F1429"/>
    <w:rsid w:val="007F1C85"/>
    <w:rsid w:val="007F28FD"/>
    <w:rsid w:val="007F2DDB"/>
    <w:rsid w:val="007F347E"/>
    <w:rsid w:val="007F4387"/>
    <w:rsid w:val="007F58ED"/>
    <w:rsid w:val="007F64F5"/>
    <w:rsid w:val="007F653B"/>
    <w:rsid w:val="007F6AB9"/>
    <w:rsid w:val="007F7212"/>
    <w:rsid w:val="007F7631"/>
    <w:rsid w:val="007F79A1"/>
    <w:rsid w:val="00800157"/>
    <w:rsid w:val="008002DA"/>
    <w:rsid w:val="008020E4"/>
    <w:rsid w:val="00802AEA"/>
    <w:rsid w:val="00802F1C"/>
    <w:rsid w:val="00802F20"/>
    <w:rsid w:val="00803E4D"/>
    <w:rsid w:val="00804092"/>
    <w:rsid w:val="008055F4"/>
    <w:rsid w:val="008057E8"/>
    <w:rsid w:val="008059F8"/>
    <w:rsid w:val="00806216"/>
    <w:rsid w:val="00806587"/>
    <w:rsid w:val="0080672D"/>
    <w:rsid w:val="00806A88"/>
    <w:rsid w:val="00807B5B"/>
    <w:rsid w:val="00807FD3"/>
    <w:rsid w:val="00810374"/>
    <w:rsid w:val="0081081E"/>
    <w:rsid w:val="00810A85"/>
    <w:rsid w:val="00810F8A"/>
    <w:rsid w:val="008112C2"/>
    <w:rsid w:val="00814CAD"/>
    <w:rsid w:val="008153A2"/>
    <w:rsid w:val="008153E9"/>
    <w:rsid w:val="0081673E"/>
    <w:rsid w:val="008173BF"/>
    <w:rsid w:val="00817CD5"/>
    <w:rsid w:val="0082026B"/>
    <w:rsid w:val="00821281"/>
    <w:rsid w:val="0082134D"/>
    <w:rsid w:val="00822543"/>
    <w:rsid w:val="00822848"/>
    <w:rsid w:val="008229CF"/>
    <w:rsid w:val="00823214"/>
    <w:rsid w:val="00825049"/>
    <w:rsid w:val="00825EB3"/>
    <w:rsid w:val="008274C9"/>
    <w:rsid w:val="00830025"/>
    <w:rsid w:val="008311B6"/>
    <w:rsid w:val="008317E9"/>
    <w:rsid w:val="00831CA9"/>
    <w:rsid w:val="00831D4C"/>
    <w:rsid w:val="0083347F"/>
    <w:rsid w:val="008342F9"/>
    <w:rsid w:val="00835054"/>
    <w:rsid w:val="0083547D"/>
    <w:rsid w:val="008356CF"/>
    <w:rsid w:val="00835993"/>
    <w:rsid w:val="008407E9"/>
    <w:rsid w:val="00840BFE"/>
    <w:rsid w:val="00841959"/>
    <w:rsid w:val="00843AE3"/>
    <w:rsid w:val="0084623B"/>
    <w:rsid w:val="0084681A"/>
    <w:rsid w:val="00847169"/>
    <w:rsid w:val="0084790D"/>
    <w:rsid w:val="00850776"/>
    <w:rsid w:val="008518A8"/>
    <w:rsid w:val="00852483"/>
    <w:rsid w:val="00853A0B"/>
    <w:rsid w:val="0085496E"/>
    <w:rsid w:val="008570D8"/>
    <w:rsid w:val="0086080B"/>
    <w:rsid w:val="0086173B"/>
    <w:rsid w:val="00862FE9"/>
    <w:rsid w:val="008638C2"/>
    <w:rsid w:val="00864355"/>
    <w:rsid w:val="00866F4E"/>
    <w:rsid w:val="0087019D"/>
    <w:rsid w:val="0087164E"/>
    <w:rsid w:val="008730C7"/>
    <w:rsid w:val="0087353E"/>
    <w:rsid w:val="008735E1"/>
    <w:rsid w:val="00873CD3"/>
    <w:rsid w:val="008749B9"/>
    <w:rsid w:val="00874B3B"/>
    <w:rsid w:val="008752F7"/>
    <w:rsid w:val="00875A92"/>
    <w:rsid w:val="00875DF5"/>
    <w:rsid w:val="00876B73"/>
    <w:rsid w:val="00877297"/>
    <w:rsid w:val="00877654"/>
    <w:rsid w:val="008779CD"/>
    <w:rsid w:val="008804C9"/>
    <w:rsid w:val="00881DCF"/>
    <w:rsid w:val="00882625"/>
    <w:rsid w:val="00882F33"/>
    <w:rsid w:val="00884379"/>
    <w:rsid w:val="00886696"/>
    <w:rsid w:val="0088765B"/>
    <w:rsid w:val="00891223"/>
    <w:rsid w:val="008927E9"/>
    <w:rsid w:val="00892B4B"/>
    <w:rsid w:val="00893058"/>
    <w:rsid w:val="008931CD"/>
    <w:rsid w:val="0089349D"/>
    <w:rsid w:val="0089400C"/>
    <w:rsid w:val="00894A5D"/>
    <w:rsid w:val="00894EA1"/>
    <w:rsid w:val="00895642"/>
    <w:rsid w:val="008968F4"/>
    <w:rsid w:val="008974CE"/>
    <w:rsid w:val="008A091A"/>
    <w:rsid w:val="008A0D99"/>
    <w:rsid w:val="008A429B"/>
    <w:rsid w:val="008A5D0B"/>
    <w:rsid w:val="008B005F"/>
    <w:rsid w:val="008B155B"/>
    <w:rsid w:val="008B18B3"/>
    <w:rsid w:val="008B2BA1"/>
    <w:rsid w:val="008B3C38"/>
    <w:rsid w:val="008B3C57"/>
    <w:rsid w:val="008B3C81"/>
    <w:rsid w:val="008B577C"/>
    <w:rsid w:val="008B6445"/>
    <w:rsid w:val="008B7C54"/>
    <w:rsid w:val="008B7EEF"/>
    <w:rsid w:val="008C1C9C"/>
    <w:rsid w:val="008C331D"/>
    <w:rsid w:val="008C5008"/>
    <w:rsid w:val="008C53D7"/>
    <w:rsid w:val="008C56AF"/>
    <w:rsid w:val="008C62A4"/>
    <w:rsid w:val="008C649F"/>
    <w:rsid w:val="008D000B"/>
    <w:rsid w:val="008D0697"/>
    <w:rsid w:val="008D1421"/>
    <w:rsid w:val="008D16FA"/>
    <w:rsid w:val="008D1E1E"/>
    <w:rsid w:val="008D1E29"/>
    <w:rsid w:val="008D232D"/>
    <w:rsid w:val="008D4EBA"/>
    <w:rsid w:val="008D589C"/>
    <w:rsid w:val="008D6354"/>
    <w:rsid w:val="008E08FA"/>
    <w:rsid w:val="008E097E"/>
    <w:rsid w:val="008E1078"/>
    <w:rsid w:val="008E1BD6"/>
    <w:rsid w:val="008E1F07"/>
    <w:rsid w:val="008E2C3B"/>
    <w:rsid w:val="008E3C44"/>
    <w:rsid w:val="008E4498"/>
    <w:rsid w:val="008E66C6"/>
    <w:rsid w:val="008E7E91"/>
    <w:rsid w:val="008F141A"/>
    <w:rsid w:val="008F35AB"/>
    <w:rsid w:val="008F3CD6"/>
    <w:rsid w:val="008F513C"/>
    <w:rsid w:val="008F7229"/>
    <w:rsid w:val="008F777F"/>
    <w:rsid w:val="008F7AC6"/>
    <w:rsid w:val="0090180F"/>
    <w:rsid w:val="00902C7C"/>
    <w:rsid w:val="009042AF"/>
    <w:rsid w:val="00904748"/>
    <w:rsid w:val="00904C38"/>
    <w:rsid w:val="00904FBF"/>
    <w:rsid w:val="00907D10"/>
    <w:rsid w:val="009100C0"/>
    <w:rsid w:val="009117AE"/>
    <w:rsid w:val="009117CA"/>
    <w:rsid w:val="00911B2D"/>
    <w:rsid w:val="00911D68"/>
    <w:rsid w:val="00911EB5"/>
    <w:rsid w:val="00912A0B"/>
    <w:rsid w:val="00912B77"/>
    <w:rsid w:val="00913452"/>
    <w:rsid w:val="009144C4"/>
    <w:rsid w:val="0091472F"/>
    <w:rsid w:val="00915992"/>
    <w:rsid w:val="00916349"/>
    <w:rsid w:val="00916E07"/>
    <w:rsid w:val="009201EC"/>
    <w:rsid w:val="00922B0F"/>
    <w:rsid w:val="0092354E"/>
    <w:rsid w:val="00924C40"/>
    <w:rsid w:val="00925D98"/>
    <w:rsid w:val="00927852"/>
    <w:rsid w:val="00927C31"/>
    <w:rsid w:val="009302F7"/>
    <w:rsid w:val="0093057C"/>
    <w:rsid w:val="00930880"/>
    <w:rsid w:val="00930D33"/>
    <w:rsid w:val="00931528"/>
    <w:rsid w:val="00931631"/>
    <w:rsid w:val="00931AFC"/>
    <w:rsid w:val="00931C48"/>
    <w:rsid w:val="00932738"/>
    <w:rsid w:val="00932C74"/>
    <w:rsid w:val="00932F41"/>
    <w:rsid w:val="009337BF"/>
    <w:rsid w:val="00933FDE"/>
    <w:rsid w:val="00935279"/>
    <w:rsid w:val="0093623F"/>
    <w:rsid w:val="009374C0"/>
    <w:rsid w:val="00937C05"/>
    <w:rsid w:val="00940F24"/>
    <w:rsid w:val="00942BF2"/>
    <w:rsid w:val="00942CA3"/>
    <w:rsid w:val="00944B1D"/>
    <w:rsid w:val="00944BDA"/>
    <w:rsid w:val="009450BB"/>
    <w:rsid w:val="00946369"/>
    <w:rsid w:val="00947D70"/>
    <w:rsid w:val="009501F0"/>
    <w:rsid w:val="00950A2F"/>
    <w:rsid w:val="00950ACE"/>
    <w:rsid w:val="00951562"/>
    <w:rsid w:val="00951EB4"/>
    <w:rsid w:val="00953E3D"/>
    <w:rsid w:val="009550A1"/>
    <w:rsid w:val="00955231"/>
    <w:rsid w:val="00955579"/>
    <w:rsid w:val="00955800"/>
    <w:rsid w:val="009559C0"/>
    <w:rsid w:val="00955F48"/>
    <w:rsid w:val="00956DFA"/>
    <w:rsid w:val="00961C23"/>
    <w:rsid w:val="00962B8F"/>
    <w:rsid w:val="00963DAD"/>
    <w:rsid w:val="00964F6E"/>
    <w:rsid w:val="009650BC"/>
    <w:rsid w:val="0096555B"/>
    <w:rsid w:val="00970031"/>
    <w:rsid w:val="0097124E"/>
    <w:rsid w:val="00971321"/>
    <w:rsid w:val="00972CB3"/>
    <w:rsid w:val="00972E36"/>
    <w:rsid w:val="00973BC6"/>
    <w:rsid w:val="0097454D"/>
    <w:rsid w:val="00974995"/>
    <w:rsid w:val="00974D4B"/>
    <w:rsid w:val="009756CD"/>
    <w:rsid w:val="009767FD"/>
    <w:rsid w:val="00977229"/>
    <w:rsid w:val="00977B5E"/>
    <w:rsid w:val="00980691"/>
    <w:rsid w:val="009822B8"/>
    <w:rsid w:val="0098344E"/>
    <w:rsid w:val="00985BE0"/>
    <w:rsid w:val="00985FA7"/>
    <w:rsid w:val="009865F3"/>
    <w:rsid w:val="00987136"/>
    <w:rsid w:val="009878CB"/>
    <w:rsid w:val="00987C3F"/>
    <w:rsid w:val="009900B4"/>
    <w:rsid w:val="00991CCF"/>
    <w:rsid w:val="00991FEC"/>
    <w:rsid w:val="009926EE"/>
    <w:rsid w:val="00992FE4"/>
    <w:rsid w:val="00993291"/>
    <w:rsid w:val="00997AD8"/>
    <w:rsid w:val="00997CB8"/>
    <w:rsid w:val="009A048D"/>
    <w:rsid w:val="009A27E1"/>
    <w:rsid w:val="009A3051"/>
    <w:rsid w:val="009A41C7"/>
    <w:rsid w:val="009A483C"/>
    <w:rsid w:val="009A4CBA"/>
    <w:rsid w:val="009A5BD8"/>
    <w:rsid w:val="009A6988"/>
    <w:rsid w:val="009A6D71"/>
    <w:rsid w:val="009A70BF"/>
    <w:rsid w:val="009B03CE"/>
    <w:rsid w:val="009B3B47"/>
    <w:rsid w:val="009B458F"/>
    <w:rsid w:val="009B5E52"/>
    <w:rsid w:val="009B5E8A"/>
    <w:rsid w:val="009B6536"/>
    <w:rsid w:val="009B710A"/>
    <w:rsid w:val="009B7822"/>
    <w:rsid w:val="009C027D"/>
    <w:rsid w:val="009C05E6"/>
    <w:rsid w:val="009C0D3B"/>
    <w:rsid w:val="009C10C6"/>
    <w:rsid w:val="009C16AA"/>
    <w:rsid w:val="009C18F6"/>
    <w:rsid w:val="009C19CE"/>
    <w:rsid w:val="009C4DF8"/>
    <w:rsid w:val="009C6E04"/>
    <w:rsid w:val="009D19D1"/>
    <w:rsid w:val="009D1C9F"/>
    <w:rsid w:val="009D2290"/>
    <w:rsid w:val="009D4453"/>
    <w:rsid w:val="009D44B5"/>
    <w:rsid w:val="009D44B9"/>
    <w:rsid w:val="009D48C2"/>
    <w:rsid w:val="009D53E1"/>
    <w:rsid w:val="009D6A45"/>
    <w:rsid w:val="009E011D"/>
    <w:rsid w:val="009E037D"/>
    <w:rsid w:val="009E2BE2"/>
    <w:rsid w:val="009E67A2"/>
    <w:rsid w:val="009E77BB"/>
    <w:rsid w:val="009F0CBA"/>
    <w:rsid w:val="009F0E38"/>
    <w:rsid w:val="009F2826"/>
    <w:rsid w:val="009F4434"/>
    <w:rsid w:val="009F4593"/>
    <w:rsid w:val="009F58F5"/>
    <w:rsid w:val="009F5C5F"/>
    <w:rsid w:val="009F732C"/>
    <w:rsid w:val="009F73B4"/>
    <w:rsid w:val="009F7521"/>
    <w:rsid w:val="00A00ECC"/>
    <w:rsid w:val="00A01F8C"/>
    <w:rsid w:val="00A0411E"/>
    <w:rsid w:val="00A0482D"/>
    <w:rsid w:val="00A04AE9"/>
    <w:rsid w:val="00A05359"/>
    <w:rsid w:val="00A05AF9"/>
    <w:rsid w:val="00A0635D"/>
    <w:rsid w:val="00A0661D"/>
    <w:rsid w:val="00A06874"/>
    <w:rsid w:val="00A0769E"/>
    <w:rsid w:val="00A11A05"/>
    <w:rsid w:val="00A11D1B"/>
    <w:rsid w:val="00A13233"/>
    <w:rsid w:val="00A143C1"/>
    <w:rsid w:val="00A1674B"/>
    <w:rsid w:val="00A1737B"/>
    <w:rsid w:val="00A2376B"/>
    <w:rsid w:val="00A245CF"/>
    <w:rsid w:val="00A24DB5"/>
    <w:rsid w:val="00A251CA"/>
    <w:rsid w:val="00A2663E"/>
    <w:rsid w:val="00A26B52"/>
    <w:rsid w:val="00A30269"/>
    <w:rsid w:val="00A30BBD"/>
    <w:rsid w:val="00A3140A"/>
    <w:rsid w:val="00A3177B"/>
    <w:rsid w:val="00A33779"/>
    <w:rsid w:val="00A33A24"/>
    <w:rsid w:val="00A33C68"/>
    <w:rsid w:val="00A349BE"/>
    <w:rsid w:val="00A40602"/>
    <w:rsid w:val="00A409B3"/>
    <w:rsid w:val="00A4237D"/>
    <w:rsid w:val="00A43A9F"/>
    <w:rsid w:val="00A44920"/>
    <w:rsid w:val="00A45F8B"/>
    <w:rsid w:val="00A4673D"/>
    <w:rsid w:val="00A46FE0"/>
    <w:rsid w:val="00A52A6A"/>
    <w:rsid w:val="00A54BAC"/>
    <w:rsid w:val="00A550DD"/>
    <w:rsid w:val="00A55B15"/>
    <w:rsid w:val="00A564A3"/>
    <w:rsid w:val="00A57037"/>
    <w:rsid w:val="00A62695"/>
    <w:rsid w:val="00A63853"/>
    <w:rsid w:val="00A648F8"/>
    <w:rsid w:val="00A652FC"/>
    <w:rsid w:val="00A7000B"/>
    <w:rsid w:val="00A708D9"/>
    <w:rsid w:val="00A71B90"/>
    <w:rsid w:val="00A720D9"/>
    <w:rsid w:val="00A72BF7"/>
    <w:rsid w:val="00A72E3E"/>
    <w:rsid w:val="00A758BD"/>
    <w:rsid w:val="00A75ADB"/>
    <w:rsid w:val="00A75F7D"/>
    <w:rsid w:val="00A76B66"/>
    <w:rsid w:val="00A7710B"/>
    <w:rsid w:val="00A80AA8"/>
    <w:rsid w:val="00A80E71"/>
    <w:rsid w:val="00A813C1"/>
    <w:rsid w:val="00A82A91"/>
    <w:rsid w:val="00A82B60"/>
    <w:rsid w:val="00A82FA4"/>
    <w:rsid w:val="00A8328C"/>
    <w:rsid w:val="00A84421"/>
    <w:rsid w:val="00A85EF3"/>
    <w:rsid w:val="00A87432"/>
    <w:rsid w:val="00A87690"/>
    <w:rsid w:val="00A87CBE"/>
    <w:rsid w:val="00A87D2E"/>
    <w:rsid w:val="00A90AC5"/>
    <w:rsid w:val="00A92701"/>
    <w:rsid w:val="00A939E6"/>
    <w:rsid w:val="00A94DA6"/>
    <w:rsid w:val="00A95EDE"/>
    <w:rsid w:val="00A9641C"/>
    <w:rsid w:val="00A9673F"/>
    <w:rsid w:val="00A96A35"/>
    <w:rsid w:val="00A96F3B"/>
    <w:rsid w:val="00AA0BC4"/>
    <w:rsid w:val="00AA0DBC"/>
    <w:rsid w:val="00AA16C9"/>
    <w:rsid w:val="00AA17BB"/>
    <w:rsid w:val="00AA4445"/>
    <w:rsid w:val="00AA4CDD"/>
    <w:rsid w:val="00AA59E9"/>
    <w:rsid w:val="00AA6C1E"/>
    <w:rsid w:val="00AA6F52"/>
    <w:rsid w:val="00AA6FBB"/>
    <w:rsid w:val="00AA7052"/>
    <w:rsid w:val="00AB2557"/>
    <w:rsid w:val="00AB3595"/>
    <w:rsid w:val="00AB4421"/>
    <w:rsid w:val="00AB489A"/>
    <w:rsid w:val="00AB4E04"/>
    <w:rsid w:val="00AB50BB"/>
    <w:rsid w:val="00AB7916"/>
    <w:rsid w:val="00AC0673"/>
    <w:rsid w:val="00AC0934"/>
    <w:rsid w:val="00AC0C98"/>
    <w:rsid w:val="00AC130B"/>
    <w:rsid w:val="00AC1AC8"/>
    <w:rsid w:val="00AC3B9D"/>
    <w:rsid w:val="00AC57C6"/>
    <w:rsid w:val="00AC5A87"/>
    <w:rsid w:val="00AC6F96"/>
    <w:rsid w:val="00AC7DA6"/>
    <w:rsid w:val="00AD0109"/>
    <w:rsid w:val="00AD0876"/>
    <w:rsid w:val="00AD4E97"/>
    <w:rsid w:val="00AD58EC"/>
    <w:rsid w:val="00AE0F71"/>
    <w:rsid w:val="00AE1BD8"/>
    <w:rsid w:val="00AE3164"/>
    <w:rsid w:val="00AE43C7"/>
    <w:rsid w:val="00AE5086"/>
    <w:rsid w:val="00AE6153"/>
    <w:rsid w:val="00AE62A3"/>
    <w:rsid w:val="00AE64A6"/>
    <w:rsid w:val="00AE6AC2"/>
    <w:rsid w:val="00AF16FE"/>
    <w:rsid w:val="00AF176C"/>
    <w:rsid w:val="00AF2495"/>
    <w:rsid w:val="00AF2A14"/>
    <w:rsid w:val="00AF3DFF"/>
    <w:rsid w:val="00AF540D"/>
    <w:rsid w:val="00AF5BED"/>
    <w:rsid w:val="00AF6C9B"/>
    <w:rsid w:val="00AF705B"/>
    <w:rsid w:val="00AF7237"/>
    <w:rsid w:val="00B015CD"/>
    <w:rsid w:val="00B019E6"/>
    <w:rsid w:val="00B027ED"/>
    <w:rsid w:val="00B033F1"/>
    <w:rsid w:val="00B03617"/>
    <w:rsid w:val="00B03F95"/>
    <w:rsid w:val="00B04083"/>
    <w:rsid w:val="00B04928"/>
    <w:rsid w:val="00B05705"/>
    <w:rsid w:val="00B0702D"/>
    <w:rsid w:val="00B07C5A"/>
    <w:rsid w:val="00B07C62"/>
    <w:rsid w:val="00B1071F"/>
    <w:rsid w:val="00B1109A"/>
    <w:rsid w:val="00B12513"/>
    <w:rsid w:val="00B14A8A"/>
    <w:rsid w:val="00B14CF4"/>
    <w:rsid w:val="00B150AD"/>
    <w:rsid w:val="00B15E77"/>
    <w:rsid w:val="00B16AF4"/>
    <w:rsid w:val="00B202D0"/>
    <w:rsid w:val="00B22A6F"/>
    <w:rsid w:val="00B23876"/>
    <w:rsid w:val="00B2463F"/>
    <w:rsid w:val="00B25863"/>
    <w:rsid w:val="00B26DC3"/>
    <w:rsid w:val="00B27EB0"/>
    <w:rsid w:val="00B305E5"/>
    <w:rsid w:val="00B30C3A"/>
    <w:rsid w:val="00B30EDF"/>
    <w:rsid w:val="00B31B2A"/>
    <w:rsid w:val="00B32589"/>
    <w:rsid w:val="00B35950"/>
    <w:rsid w:val="00B42138"/>
    <w:rsid w:val="00B42977"/>
    <w:rsid w:val="00B44AEE"/>
    <w:rsid w:val="00B44CFD"/>
    <w:rsid w:val="00B45864"/>
    <w:rsid w:val="00B4735F"/>
    <w:rsid w:val="00B51177"/>
    <w:rsid w:val="00B51F21"/>
    <w:rsid w:val="00B52966"/>
    <w:rsid w:val="00B565F3"/>
    <w:rsid w:val="00B57A82"/>
    <w:rsid w:val="00B608FE"/>
    <w:rsid w:val="00B61187"/>
    <w:rsid w:val="00B614E0"/>
    <w:rsid w:val="00B6282E"/>
    <w:rsid w:val="00B6297A"/>
    <w:rsid w:val="00B62C16"/>
    <w:rsid w:val="00B63139"/>
    <w:rsid w:val="00B633E8"/>
    <w:rsid w:val="00B63C21"/>
    <w:rsid w:val="00B65403"/>
    <w:rsid w:val="00B65527"/>
    <w:rsid w:val="00B6638B"/>
    <w:rsid w:val="00B7002A"/>
    <w:rsid w:val="00B712B4"/>
    <w:rsid w:val="00B7140F"/>
    <w:rsid w:val="00B72C7C"/>
    <w:rsid w:val="00B7361D"/>
    <w:rsid w:val="00B74327"/>
    <w:rsid w:val="00B74650"/>
    <w:rsid w:val="00B75E1F"/>
    <w:rsid w:val="00B76931"/>
    <w:rsid w:val="00B76972"/>
    <w:rsid w:val="00B800A7"/>
    <w:rsid w:val="00B82A41"/>
    <w:rsid w:val="00B82CCA"/>
    <w:rsid w:val="00B831A8"/>
    <w:rsid w:val="00B83CA4"/>
    <w:rsid w:val="00B84A91"/>
    <w:rsid w:val="00B85716"/>
    <w:rsid w:val="00B85EBD"/>
    <w:rsid w:val="00B861E6"/>
    <w:rsid w:val="00B86BED"/>
    <w:rsid w:val="00B875FE"/>
    <w:rsid w:val="00B90569"/>
    <w:rsid w:val="00B90804"/>
    <w:rsid w:val="00B909B8"/>
    <w:rsid w:val="00B90ABF"/>
    <w:rsid w:val="00B92663"/>
    <w:rsid w:val="00B929C5"/>
    <w:rsid w:val="00B932F8"/>
    <w:rsid w:val="00B95896"/>
    <w:rsid w:val="00B962EF"/>
    <w:rsid w:val="00B96EF1"/>
    <w:rsid w:val="00B973DD"/>
    <w:rsid w:val="00BA0370"/>
    <w:rsid w:val="00BA0CEA"/>
    <w:rsid w:val="00BA1328"/>
    <w:rsid w:val="00BA1BB7"/>
    <w:rsid w:val="00BA4324"/>
    <w:rsid w:val="00BA4EF6"/>
    <w:rsid w:val="00BA66A1"/>
    <w:rsid w:val="00BA6C75"/>
    <w:rsid w:val="00BA79B2"/>
    <w:rsid w:val="00BB0FCD"/>
    <w:rsid w:val="00BB259A"/>
    <w:rsid w:val="00BB34B6"/>
    <w:rsid w:val="00BC0211"/>
    <w:rsid w:val="00BC0DC7"/>
    <w:rsid w:val="00BC318F"/>
    <w:rsid w:val="00BC75E4"/>
    <w:rsid w:val="00BD033A"/>
    <w:rsid w:val="00BD0B1D"/>
    <w:rsid w:val="00BD2C23"/>
    <w:rsid w:val="00BD311D"/>
    <w:rsid w:val="00BD402C"/>
    <w:rsid w:val="00BD40A6"/>
    <w:rsid w:val="00BD42A4"/>
    <w:rsid w:val="00BD5ECE"/>
    <w:rsid w:val="00BD6E7F"/>
    <w:rsid w:val="00BE02CD"/>
    <w:rsid w:val="00BE0872"/>
    <w:rsid w:val="00BE1505"/>
    <w:rsid w:val="00BE35FE"/>
    <w:rsid w:val="00BE4B65"/>
    <w:rsid w:val="00BE4CD2"/>
    <w:rsid w:val="00BE4DCE"/>
    <w:rsid w:val="00BE6FB1"/>
    <w:rsid w:val="00BF0D74"/>
    <w:rsid w:val="00BF1103"/>
    <w:rsid w:val="00BF273A"/>
    <w:rsid w:val="00BF3D9C"/>
    <w:rsid w:val="00BF3F3A"/>
    <w:rsid w:val="00BF5928"/>
    <w:rsid w:val="00BF6FE0"/>
    <w:rsid w:val="00BF7437"/>
    <w:rsid w:val="00BF7D00"/>
    <w:rsid w:val="00C00A75"/>
    <w:rsid w:val="00C01847"/>
    <w:rsid w:val="00C02A60"/>
    <w:rsid w:val="00C02AE9"/>
    <w:rsid w:val="00C051B5"/>
    <w:rsid w:val="00C060D0"/>
    <w:rsid w:val="00C06E79"/>
    <w:rsid w:val="00C07CAF"/>
    <w:rsid w:val="00C10CD6"/>
    <w:rsid w:val="00C1172E"/>
    <w:rsid w:val="00C12009"/>
    <w:rsid w:val="00C13F2B"/>
    <w:rsid w:val="00C14A39"/>
    <w:rsid w:val="00C15A6B"/>
    <w:rsid w:val="00C1694B"/>
    <w:rsid w:val="00C17453"/>
    <w:rsid w:val="00C17B83"/>
    <w:rsid w:val="00C203A7"/>
    <w:rsid w:val="00C20B5A"/>
    <w:rsid w:val="00C2152E"/>
    <w:rsid w:val="00C21EBB"/>
    <w:rsid w:val="00C228CA"/>
    <w:rsid w:val="00C243E1"/>
    <w:rsid w:val="00C24945"/>
    <w:rsid w:val="00C25B16"/>
    <w:rsid w:val="00C26225"/>
    <w:rsid w:val="00C26FFF"/>
    <w:rsid w:val="00C30E31"/>
    <w:rsid w:val="00C32526"/>
    <w:rsid w:val="00C32986"/>
    <w:rsid w:val="00C33FAC"/>
    <w:rsid w:val="00C33FB5"/>
    <w:rsid w:val="00C3469A"/>
    <w:rsid w:val="00C36C96"/>
    <w:rsid w:val="00C36DF6"/>
    <w:rsid w:val="00C371F4"/>
    <w:rsid w:val="00C41F49"/>
    <w:rsid w:val="00C42508"/>
    <w:rsid w:val="00C4302D"/>
    <w:rsid w:val="00C4380B"/>
    <w:rsid w:val="00C439DE"/>
    <w:rsid w:val="00C44E61"/>
    <w:rsid w:val="00C45986"/>
    <w:rsid w:val="00C45E93"/>
    <w:rsid w:val="00C532D5"/>
    <w:rsid w:val="00C54CFF"/>
    <w:rsid w:val="00C56F4C"/>
    <w:rsid w:val="00C6067C"/>
    <w:rsid w:val="00C6079B"/>
    <w:rsid w:val="00C6164A"/>
    <w:rsid w:val="00C61DBF"/>
    <w:rsid w:val="00C61F67"/>
    <w:rsid w:val="00C626C5"/>
    <w:rsid w:val="00C62F8D"/>
    <w:rsid w:val="00C62FC9"/>
    <w:rsid w:val="00C65233"/>
    <w:rsid w:val="00C655FA"/>
    <w:rsid w:val="00C65B56"/>
    <w:rsid w:val="00C65F30"/>
    <w:rsid w:val="00C6658C"/>
    <w:rsid w:val="00C66629"/>
    <w:rsid w:val="00C66821"/>
    <w:rsid w:val="00C72BDC"/>
    <w:rsid w:val="00C72D9C"/>
    <w:rsid w:val="00C72DAA"/>
    <w:rsid w:val="00C73CC1"/>
    <w:rsid w:val="00C7416B"/>
    <w:rsid w:val="00C74D08"/>
    <w:rsid w:val="00C74EA1"/>
    <w:rsid w:val="00C755C6"/>
    <w:rsid w:val="00C75797"/>
    <w:rsid w:val="00C76943"/>
    <w:rsid w:val="00C76D8D"/>
    <w:rsid w:val="00C77AF5"/>
    <w:rsid w:val="00C77C14"/>
    <w:rsid w:val="00C801C0"/>
    <w:rsid w:val="00C80723"/>
    <w:rsid w:val="00C819AC"/>
    <w:rsid w:val="00C82186"/>
    <w:rsid w:val="00C82684"/>
    <w:rsid w:val="00C8340D"/>
    <w:rsid w:val="00C83676"/>
    <w:rsid w:val="00C83934"/>
    <w:rsid w:val="00C83C13"/>
    <w:rsid w:val="00C86470"/>
    <w:rsid w:val="00C870F9"/>
    <w:rsid w:val="00C8767F"/>
    <w:rsid w:val="00C8784B"/>
    <w:rsid w:val="00C87DE8"/>
    <w:rsid w:val="00C90B09"/>
    <w:rsid w:val="00C925BB"/>
    <w:rsid w:val="00C927E2"/>
    <w:rsid w:val="00C93312"/>
    <w:rsid w:val="00C94317"/>
    <w:rsid w:val="00C94693"/>
    <w:rsid w:val="00C94CD3"/>
    <w:rsid w:val="00C95D5D"/>
    <w:rsid w:val="00CA03F8"/>
    <w:rsid w:val="00CA315A"/>
    <w:rsid w:val="00CA3252"/>
    <w:rsid w:val="00CA444D"/>
    <w:rsid w:val="00CA6704"/>
    <w:rsid w:val="00CA7741"/>
    <w:rsid w:val="00CB314D"/>
    <w:rsid w:val="00CB4623"/>
    <w:rsid w:val="00CB669A"/>
    <w:rsid w:val="00CB727F"/>
    <w:rsid w:val="00CB7ABC"/>
    <w:rsid w:val="00CC00B7"/>
    <w:rsid w:val="00CC0D02"/>
    <w:rsid w:val="00CC0FC7"/>
    <w:rsid w:val="00CC4E23"/>
    <w:rsid w:val="00CC75FA"/>
    <w:rsid w:val="00CC762B"/>
    <w:rsid w:val="00CC7BCD"/>
    <w:rsid w:val="00CD0BF6"/>
    <w:rsid w:val="00CD1082"/>
    <w:rsid w:val="00CD1431"/>
    <w:rsid w:val="00CD154D"/>
    <w:rsid w:val="00CD350E"/>
    <w:rsid w:val="00CD4DBC"/>
    <w:rsid w:val="00CD567A"/>
    <w:rsid w:val="00CD64A5"/>
    <w:rsid w:val="00CD6ADE"/>
    <w:rsid w:val="00CD6E2D"/>
    <w:rsid w:val="00CD7171"/>
    <w:rsid w:val="00CD7D2A"/>
    <w:rsid w:val="00CE1030"/>
    <w:rsid w:val="00CE1584"/>
    <w:rsid w:val="00CE1B51"/>
    <w:rsid w:val="00CE47A5"/>
    <w:rsid w:val="00CE690A"/>
    <w:rsid w:val="00CF553E"/>
    <w:rsid w:val="00CF563B"/>
    <w:rsid w:val="00CF59EF"/>
    <w:rsid w:val="00CF7481"/>
    <w:rsid w:val="00D004F1"/>
    <w:rsid w:val="00D01CAC"/>
    <w:rsid w:val="00D037ED"/>
    <w:rsid w:val="00D05292"/>
    <w:rsid w:val="00D0684B"/>
    <w:rsid w:val="00D075FA"/>
    <w:rsid w:val="00D078F3"/>
    <w:rsid w:val="00D1084A"/>
    <w:rsid w:val="00D15251"/>
    <w:rsid w:val="00D1562A"/>
    <w:rsid w:val="00D15668"/>
    <w:rsid w:val="00D158EC"/>
    <w:rsid w:val="00D17109"/>
    <w:rsid w:val="00D17443"/>
    <w:rsid w:val="00D21538"/>
    <w:rsid w:val="00D21F76"/>
    <w:rsid w:val="00D22217"/>
    <w:rsid w:val="00D22E2B"/>
    <w:rsid w:val="00D23973"/>
    <w:rsid w:val="00D25384"/>
    <w:rsid w:val="00D25D58"/>
    <w:rsid w:val="00D26AAC"/>
    <w:rsid w:val="00D26C9A"/>
    <w:rsid w:val="00D2738F"/>
    <w:rsid w:val="00D27570"/>
    <w:rsid w:val="00D3072E"/>
    <w:rsid w:val="00D30C7E"/>
    <w:rsid w:val="00D30F38"/>
    <w:rsid w:val="00D323B9"/>
    <w:rsid w:val="00D32C56"/>
    <w:rsid w:val="00D33A4D"/>
    <w:rsid w:val="00D3400C"/>
    <w:rsid w:val="00D357AD"/>
    <w:rsid w:val="00D36830"/>
    <w:rsid w:val="00D3782D"/>
    <w:rsid w:val="00D40767"/>
    <w:rsid w:val="00D41A2F"/>
    <w:rsid w:val="00D42EB4"/>
    <w:rsid w:val="00D42EF6"/>
    <w:rsid w:val="00D44FB8"/>
    <w:rsid w:val="00D45C67"/>
    <w:rsid w:val="00D463BF"/>
    <w:rsid w:val="00D47143"/>
    <w:rsid w:val="00D51E58"/>
    <w:rsid w:val="00D52C0F"/>
    <w:rsid w:val="00D5364B"/>
    <w:rsid w:val="00D536A7"/>
    <w:rsid w:val="00D5419B"/>
    <w:rsid w:val="00D546F9"/>
    <w:rsid w:val="00D54AAC"/>
    <w:rsid w:val="00D56AFE"/>
    <w:rsid w:val="00D601B5"/>
    <w:rsid w:val="00D602C6"/>
    <w:rsid w:val="00D62992"/>
    <w:rsid w:val="00D6384F"/>
    <w:rsid w:val="00D63CFD"/>
    <w:rsid w:val="00D64A1D"/>
    <w:rsid w:val="00D64DF0"/>
    <w:rsid w:val="00D65307"/>
    <w:rsid w:val="00D654D6"/>
    <w:rsid w:val="00D65C0E"/>
    <w:rsid w:val="00D66A12"/>
    <w:rsid w:val="00D67386"/>
    <w:rsid w:val="00D676BC"/>
    <w:rsid w:val="00D71528"/>
    <w:rsid w:val="00D71633"/>
    <w:rsid w:val="00D71FDA"/>
    <w:rsid w:val="00D72E45"/>
    <w:rsid w:val="00D7407A"/>
    <w:rsid w:val="00D745AA"/>
    <w:rsid w:val="00D74B09"/>
    <w:rsid w:val="00D7548A"/>
    <w:rsid w:val="00D7565B"/>
    <w:rsid w:val="00D75EB1"/>
    <w:rsid w:val="00D764C6"/>
    <w:rsid w:val="00D777FB"/>
    <w:rsid w:val="00D8028C"/>
    <w:rsid w:val="00D80817"/>
    <w:rsid w:val="00D8202D"/>
    <w:rsid w:val="00D8396D"/>
    <w:rsid w:val="00D83AC8"/>
    <w:rsid w:val="00D845C3"/>
    <w:rsid w:val="00D86C15"/>
    <w:rsid w:val="00D91B82"/>
    <w:rsid w:val="00D923D4"/>
    <w:rsid w:val="00D929FC"/>
    <w:rsid w:val="00D95C16"/>
    <w:rsid w:val="00DA124E"/>
    <w:rsid w:val="00DA2079"/>
    <w:rsid w:val="00DA4DC2"/>
    <w:rsid w:val="00DA56C8"/>
    <w:rsid w:val="00DA7420"/>
    <w:rsid w:val="00DB0F10"/>
    <w:rsid w:val="00DB46E7"/>
    <w:rsid w:val="00DB5AC4"/>
    <w:rsid w:val="00DB60A3"/>
    <w:rsid w:val="00DB60B6"/>
    <w:rsid w:val="00DB7A07"/>
    <w:rsid w:val="00DB7B0E"/>
    <w:rsid w:val="00DC0253"/>
    <w:rsid w:val="00DC2B1E"/>
    <w:rsid w:val="00DC366D"/>
    <w:rsid w:val="00DC41B2"/>
    <w:rsid w:val="00DC45D6"/>
    <w:rsid w:val="00DC59CD"/>
    <w:rsid w:val="00DC5D91"/>
    <w:rsid w:val="00DC7FBA"/>
    <w:rsid w:val="00DD0125"/>
    <w:rsid w:val="00DD1567"/>
    <w:rsid w:val="00DD2C7A"/>
    <w:rsid w:val="00DD3DD3"/>
    <w:rsid w:val="00DD3F6B"/>
    <w:rsid w:val="00DD4C10"/>
    <w:rsid w:val="00DD6198"/>
    <w:rsid w:val="00DD6B8E"/>
    <w:rsid w:val="00DD6C3B"/>
    <w:rsid w:val="00DD7039"/>
    <w:rsid w:val="00DD74FA"/>
    <w:rsid w:val="00DE0C63"/>
    <w:rsid w:val="00DE16B7"/>
    <w:rsid w:val="00DE3997"/>
    <w:rsid w:val="00DE468C"/>
    <w:rsid w:val="00DE6D05"/>
    <w:rsid w:val="00DE7E2A"/>
    <w:rsid w:val="00DF0782"/>
    <w:rsid w:val="00DF1546"/>
    <w:rsid w:val="00DF162B"/>
    <w:rsid w:val="00DF390C"/>
    <w:rsid w:val="00DF4BB5"/>
    <w:rsid w:val="00DF5127"/>
    <w:rsid w:val="00E0081B"/>
    <w:rsid w:val="00E00B64"/>
    <w:rsid w:val="00E02C84"/>
    <w:rsid w:val="00E033C3"/>
    <w:rsid w:val="00E0445C"/>
    <w:rsid w:val="00E06328"/>
    <w:rsid w:val="00E069F8"/>
    <w:rsid w:val="00E10788"/>
    <w:rsid w:val="00E10B52"/>
    <w:rsid w:val="00E10F71"/>
    <w:rsid w:val="00E12475"/>
    <w:rsid w:val="00E12547"/>
    <w:rsid w:val="00E1263E"/>
    <w:rsid w:val="00E128ED"/>
    <w:rsid w:val="00E12D45"/>
    <w:rsid w:val="00E12ECF"/>
    <w:rsid w:val="00E13D51"/>
    <w:rsid w:val="00E14B09"/>
    <w:rsid w:val="00E14D42"/>
    <w:rsid w:val="00E172D3"/>
    <w:rsid w:val="00E22A2D"/>
    <w:rsid w:val="00E25107"/>
    <w:rsid w:val="00E26A23"/>
    <w:rsid w:val="00E26EBD"/>
    <w:rsid w:val="00E26F0C"/>
    <w:rsid w:val="00E2768A"/>
    <w:rsid w:val="00E277E4"/>
    <w:rsid w:val="00E27FEF"/>
    <w:rsid w:val="00E313BC"/>
    <w:rsid w:val="00E321B8"/>
    <w:rsid w:val="00E336B4"/>
    <w:rsid w:val="00E34C6A"/>
    <w:rsid w:val="00E34D25"/>
    <w:rsid w:val="00E3530F"/>
    <w:rsid w:val="00E36A1E"/>
    <w:rsid w:val="00E409AF"/>
    <w:rsid w:val="00E40EF6"/>
    <w:rsid w:val="00E41F26"/>
    <w:rsid w:val="00E43D7D"/>
    <w:rsid w:val="00E44C0D"/>
    <w:rsid w:val="00E44C84"/>
    <w:rsid w:val="00E503A8"/>
    <w:rsid w:val="00E513C8"/>
    <w:rsid w:val="00E5391F"/>
    <w:rsid w:val="00E54529"/>
    <w:rsid w:val="00E556E6"/>
    <w:rsid w:val="00E55B6E"/>
    <w:rsid w:val="00E56D31"/>
    <w:rsid w:val="00E62075"/>
    <w:rsid w:val="00E659F6"/>
    <w:rsid w:val="00E67826"/>
    <w:rsid w:val="00E702FF"/>
    <w:rsid w:val="00E70677"/>
    <w:rsid w:val="00E72C4C"/>
    <w:rsid w:val="00E73DF1"/>
    <w:rsid w:val="00E749A3"/>
    <w:rsid w:val="00E77A7E"/>
    <w:rsid w:val="00E77EC4"/>
    <w:rsid w:val="00E80695"/>
    <w:rsid w:val="00E80CEE"/>
    <w:rsid w:val="00E82018"/>
    <w:rsid w:val="00E84B74"/>
    <w:rsid w:val="00E861E8"/>
    <w:rsid w:val="00E86658"/>
    <w:rsid w:val="00E91412"/>
    <w:rsid w:val="00E916D0"/>
    <w:rsid w:val="00E91C3C"/>
    <w:rsid w:val="00E93E85"/>
    <w:rsid w:val="00E9579B"/>
    <w:rsid w:val="00E95C7A"/>
    <w:rsid w:val="00E9650C"/>
    <w:rsid w:val="00E96ADA"/>
    <w:rsid w:val="00E96DF4"/>
    <w:rsid w:val="00E97E1D"/>
    <w:rsid w:val="00EA02A5"/>
    <w:rsid w:val="00EA064D"/>
    <w:rsid w:val="00EA0714"/>
    <w:rsid w:val="00EA08A3"/>
    <w:rsid w:val="00EA2524"/>
    <w:rsid w:val="00EA29BC"/>
    <w:rsid w:val="00EA2AA9"/>
    <w:rsid w:val="00EA2DE6"/>
    <w:rsid w:val="00EA2EBA"/>
    <w:rsid w:val="00EA53EA"/>
    <w:rsid w:val="00EA54A4"/>
    <w:rsid w:val="00EA57FF"/>
    <w:rsid w:val="00EA5D8E"/>
    <w:rsid w:val="00EA6B66"/>
    <w:rsid w:val="00EA7F4F"/>
    <w:rsid w:val="00EB1213"/>
    <w:rsid w:val="00EB1238"/>
    <w:rsid w:val="00EB29D1"/>
    <w:rsid w:val="00EB61BA"/>
    <w:rsid w:val="00EB683A"/>
    <w:rsid w:val="00EB780B"/>
    <w:rsid w:val="00EB7B34"/>
    <w:rsid w:val="00EC076B"/>
    <w:rsid w:val="00EC1AE3"/>
    <w:rsid w:val="00EC20A2"/>
    <w:rsid w:val="00EC2140"/>
    <w:rsid w:val="00EC2A36"/>
    <w:rsid w:val="00EC2D6E"/>
    <w:rsid w:val="00EC386C"/>
    <w:rsid w:val="00EC42A2"/>
    <w:rsid w:val="00EC697B"/>
    <w:rsid w:val="00EC6AF7"/>
    <w:rsid w:val="00ED0319"/>
    <w:rsid w:val="00ED1E00"/>
    <w:rsid w:val="00ED2805"/>
    <w:rsid w:val="00ED3512"/>
    <w:rsid w:val="00ED3A01"/>
    <w:rsid w:val="00ED3BE9"/>
    <w:rsid w:val="00ED4A07"/>
    <w:rsid w:val="00ED553A"/>
    <w:rsid w:val="00ED76F1"/>
    <w:rsid w:val="00ED7C76"/>
    <w:rsid w:val="00EE0A37"/>
    <w:rsid w:val="00EE18C5"/>
    <w:rsid w:val="00EE460F"/>
    <w:rsid w:val="00EE587A"/>
    <w:rsid w:val="00EE5920"/>
    <w:rsid w:val="00EF09B3"/>
    <w:rsid w:val="00EF1471"/>
    <w:rsid w:val="00EF2006"/>
    <w:rsid w:val="00EF449B"/>
    <w:rsid w:val="00EF45D2"/>
    <w:rsid w:val="00EF4A86"/>
    <w:rsid w:val="00EF5526"/>
    <w:rsid w:val="00EF56F2"/>
    <w:rsid w:val="00EF58C0"/>
    <w:rsid w:val="00EF7025"/>
    <w:rsid w:val="00F0022B"/>
    <w:rsid w:val="00F00DD8"/>
    <w:rsid w:val="00F01233"/>
    <w:rsid w:val="00F013C1"/>
    <w:rsid w:val="00F013D1"/>
    <w:rsid w:val="00F0170B"/>
    <w:rsid w:val="00F023C7"/>
    <w:rsid w:val="00F02AAC"/>
    <w:rsid w:val="00F05EB2"/>
    <w:rsid w:val="00F06424"/>
    <w:rsid w:val="00F0766B"/>
    <w:rsid w:val="00F10D8E"/>
    <w:rsid w:val="00F11A30"/>
    <w:rsid w:val="00F11ABE"/>
    <w:rsid w:val="00F12C4C"/>
    <w:rsid w:val="00F1356C"/>
    <w:rsid w:val="00F13E6C"/>
    <w:rsid w:val="00F15A16"/>
    <w:rsid w:val="00F17350"/>
    <w:rsid w:val="00F213EB"/>
    <w:rsid w:val="00F21713"/>
    <w:rsid w:val="00F217A1"/>
    <w:rsid w:val="00F21B09"/>
    <w:rsid w:val="00F236CB"/>
    <w:rsid w:val="00F2397E"/>
    <w:rsid w:val="00F239A7"/>
    <w:rsid w:val="00F25944"/>
    <w:rsid w:val="00F266C6"/>
    <w:rsid w:val="00F269F1"/>
    <w:rsid w:val="00F30773"/>
    <w:rsid w:val="00F30C15"/>
    <w:rsid w:val="00F31111"/>
    <w:rsid w:val="00F322D8"/>
    <w:rsid w:val="00F32877"/>
    <w:rsid w:val="00F32993"/>
    <w:rsid w:val="00F338FD"/>
    <w:rsid w:val="00F34135"/>
    <w:rsid w:val="00F35829"/>
    <w:rsid w:val="00F35D9F"/>
    <w:rsid w:val="00F36B5E"/>
    <w:rsid w:val="00F36C12"/>
    <w:rsid w:val="00F41B0F"/>
    <w:rsid w:val="00F4253F"/>
    <w:rsid w:val="00F4338E"/>
    <w:rsid w:val="00F434F6"/>
    <w:rsid w:val="00F44CD8"/>
    <w:rsid w:val="00F45D25"/>
    <w:rsid w:val="00F464CF"/>
    <w:rsid w:val="00F524B9"/>
    <w:rsid w:val="00F5354B"/>
    <w:rsid w:val="00F537F0"/>
    <w:rsid w:val="00F551F7"/>
    <w:rsid w:val="00F55970"/>
    <w:rsid w:val="00F57AF9"/>
    <w:rsid w:val="00F60F78"/>
    <w:rsid w:val="00F61CFF"/>
    <w:rsid w:val="00F623BB"/>
    <w:rsid w:val="00F62C56"/>
    <w:rsid w:val="00F62D90"/>
    <w:rsid w:val="00F65077"/>
    <w:rsid w:val="00F65736"/>
    <w:rsid w:val="00F658AD"/>
    <w:rsid w:val="00F65A81"/>
    <w:rsid w:val="00F710F0"/>
    <w:rsid w:val="00F713E7"/>
    <w:rsid w:val="00F74267"/>
    <w:rsid w:val="00F77F3B"/>
    <w:rsid w:val="00F80E10"/>
    <w:rsid w:val="00F8257F"/>
    <w:rsid w:val="00F832FD"/>
    <w:rsid w:val="00F837F5"/>
    <w:rsid w:val="00F840E2"/>
    <w:rsid w:val="00F84BFE"/>
    <w:rsid w:val="00F85812"/>
    <w:rsid w:val="00F8688C"/>
    <w:rsid w:val="00F9178F"/>
    <w:rsid w:val="00F92843"/>
    <w:rsid w:val="00F94935"/>
    <w:rsid w:val="00F95384"/>
    <w:rsid w:val="00F97632"/>
    <w:rsid w:val="00FA0AB5"/>
    <w:rsid w:val="00FA1C26"/>
    <w:rsid w:val="00FA1D80"/>
    <w:rsid w:val="00FA2972"/>
    <w:rsid w:val="00FA33F7"/>
    <w:rsid w:val="00FA4545"/>
    <w:rsid w:val="00FA54E9"/>
    <w:rsid w:val="00FA6486"/>
    <w:rsid w:val="00FA71E3"/>
    <w:rsid w:val="00FA79AC"/>
    <w:rsid w:val="00FA7C7D"/>
    <w:rsid w:val="00FB0100"/>
    <w:rsid w:val="00FB06A8"/>
    <w:rsid w:val="00FB0B00"/>
    <w:rsid w:val="00FB1D4E"/>
    <w:rsid w:val="00FB21E8"/>
    <w:rsid w:val="00FB2918"/>
    <w:rsid w:val="00FB2BC9"/>
    <w:rsid w:val="00FB3115"/>
    <w:rsid w:val="00FB332B"/>
    <w:rsid w:val="00FB3469"/>
    <w:rsid w:val="00FB37D3"/>
    <w:rsid w:val="00FB3859"/>
    <w:rsid w:val="00FB50D2"/>
    <w:rsid w:val="00FB5B9E"/>
    <w:rsid w:val="00FB691E"/>
    <w:rsid w:val="00FC2CBF"/>
    <w:rsid w:val="00FC2F39"/>
    <w:rsid w:val="00FC42DC"/>
    <w:rsid w:val="00FC4550"/>
    <w:rsid w:val="00FC45B0"/>
    <w:rsid w:val="00FC48D5"/>
    <w:rsid w:val="00FC7546"/>
    <w:rsid w:val="00FD1AB3"/>
    <w:rsid w:val="00FD1E43"/>
    <w:rsid w:val="00FD25E4"/>
    <w:rsid w:val="00FD26D9"/>
    <w:rsid w:val="00FD3C89"/>
    <w:rsid w:val="00FD419F"/>
    <w:rsid w:val="00FD4B45"/>
    <w:rsid w:val="00FD5ADC"/>
    <w:rsid w:val="00FD5F4B"/>
    <w:rsid w:val="00FD6A51"/>
    <w:rsid w:val="00FE1D99"/>
    <w:rsid w:val="00FE4421"/>
    <w:rsid w:val="00FE49D4"/>
    <w:rsid w:val="00FE4A02"/>
    <w:rsid w:val="00FE557A"/>
    <w:rsid w:val="00FE6123"/>
    <w:rsid w:val="00FE650E"/>
    <w:rsid w:val="00FE719F"/>
    <w:rsid w:val="00FF1343"/>
    <w:rsid w:val="00FF14C4"/>
    <w:rsid w:val="00FF1B30"/>
    <w:rsid w:val="00FF1E27"/>
    <w:rsid w:val="00FF3300"/>
    <w:rsid w:val="00FF6CB1"/>
    <w:rsid w:val="01F1364C"/>
    <w:rsid w:val="04AD654A"/>
    <w:rsid w:val="05F113DE"/>
    <w:rsid w:val="06A859AE"/>
    <w:rsid w:val="0771520A"/>
    <w:rsid w:val="08402301"/>
    <w:rsid w:val="0951140F"/>
    <w:rsid w:val="0D0A5F71"/>
    <w:rsid w:val="0DF97B6A"/>
    <w:rsid w:val="10431BE4"/>
    <w:rsid w:val="12C17D51"/>
    <w:rsid w:val="144D57C0"/>
    <w:rsid w:val="153827EC"/>
    <w:rsid w:val="1706469E"/>
    <w:rsid w:val="1A1C2BB9"/>
    <w:rsid w:val="1A516582"/>
    <w:rsid w:val="1A7A3C00"/>
    <w:rsid w:val="1BF51A7D"/>
    <w:rsid w:val="1D3C365B"/>
    <w:rsid w:val="1E7D1275"/>
    <w:rsid w:val="1F7E70F9"/>
    <w:rsid w:val="205C7833"/>
    <w:rsid w:val="21143617"/>
    <w:rsid w:val="22052F0D"/>
    <w:rsid w:val="24382246"/>
    <w:rsid w:val="26C41479"/>
    <w:rsid w:val="272D149D"/>
    <w:rsid w:val="291E70B6"/>
    <w:rsid w:val="29DC5EB4"/>
    <w:rsid w:val="2A604EA4"/>
    <w:rsid w:val="2B8F2800"/>
    <w:rsid w:val="2E7E2DDB"/>
    <w:rsid w:val="304F10DB"/>
    <w:rsid w:val="334816FB"/>
    <w:rsid w:val="3472433A"/>
    <w:rsid w:val="37501E3C"/>
    <w:rsid w:val="379D7B21"/>
    <w:rsid w:val="38CC27C6"/>
    <w:rsid w:val="38FB6001"/>
    <w:rsid w:val="393E40AC"/>
    <w:rsid w:val="39BA2009"/>
    <w:rsid w:val="3D6544E3"/>
    <w:rsid w:val="3DEA2040"/>
    <w:rsid w:val="3EFB4C4F"/>
    <w:rsid w:val="41CA1497"/>
    <w:rsid w:val="429A47B5"/>
    <w:rsid w:val="431F76A9"/>
    <w:rsid w:val="46D02385"/>
    <w:rsid w:val="46F56D1A"/>
    <w:rsid w:val="475F1AEB"/>
    <w:rsid w:val="48263BE3"/>
    <w:rsid w:val="48475E3D"/>
    <w:rsid w:val="48742269"/>
    <w:rsid w:val="48B16008"/>
    <w:rsid w:val="4CCD4B65"/>
    <w:rsid w:val="4E3E6CD2"/>
    <w:rsid w:val="4FB67E17"/>
    <w:rsid w:val="535F36FF"/>
    <w:rsid w:val="55193611"/>
    <w:rsid w:val="55232856"/>
    <w:rsid w:val="559248EC"/>
    <w:rsid w:val="571141E6"/>
    <w:rsid w:val="583840CB"/>
    <w:rsid w:val="5860630E"/>
    <w:rsid w:val="58C25E41"/>
    <w:rsid w:val="5A797CC0"/>
    <w:rsid w:val="5A8556A3"/>
    <w:rsid w:val="5B0B08AF"/>
    <w:rsid w:val="5B9B5C25"/>
    <w:rsid w:val="5C2048B3"/>
    <w:rsid w:val="5D3D1807"/>
    <w:rsid w:val="5D9268ED"/>
    <w:rsid w:val="5F4B39BA"/>
    <w:rsid w:val="5F8C767E"/>
    <w:rsid w:val="62870A35"/>
    <w:rsid w:val="649F6EA6"/>
    <w:rsid w:val="64A71107"/>
    <w:rsid w:val="66082FEC"/>
    <w:rsid w:val="68A62403"/>
    <w:rsid w:val="68A7262E"/>
    <w:rsid w:val="6AF34388"/>
    <w:rsid w:val="6BAE0CB8"/>
    <w:rsid w:val="6BE324C2"/>
    <w:rsid w:val="6C6E17CF"/>
    <w:rsid w:val="6CAE0242"/>
    <w:rsid w:val="6CB46566"/>
    <w:rsid w:val="6D2D39C6"/>
    <w:rsid w:val="6D8C1CB5"/>
    <w:rsid w:val="6E5165D2"/>
    <w:rsid w:val="6E614315"/>
    <w:rsid w:val="714E209F"/>
    <w:rsid w:val="71911B7A"/>
    <w:rsid w:val="71C963CD"/>
    <w:rsid w:val="73046620"/>
    <w:rsid w:val="73350F08"/>
    <w:rsid w:val="74725F8D"/>
    <w:rsid w:val="753B3644"/>
    <w:rsid w:val="762B37A1"/>
    <w:rsid w:val="762D67F3"/>
    <w:rsid w:val="77013A08"/>
    <w:rsid w:val="786E2F2F"/>
    <w:rsid w:val="78C608ED"/>
    <w:rsid w:val="79C350D5"/>
    <w:rsid w:val="79EB6F71"/>
    <w:rsid w:val="7A2C602A"/>
    <w:rsid w:val="7A8C33CE"/>
    <w:rsid w:val="7CC02F53"/>
    <w:rsid w:val="7ED6438D"/>
    <w:rsid w:val="7F831546"/>
    <w:rsid w:val="7FBA7D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nhideWhenUsed="0" w:uiPriority="0" w:name="endnote reference"/>
    <w:lsdException w:unhideWhenUsed="0" w:uiPriority="0" w:name="endnote text"/>
    <w:lsdException w:uiPriority="99" w:name="table of authorities"/>
    <w:lsdException w:unhideWhenUsed="0" w:uiPriority="0" w:semiHidden="0" w:name="macro"/>
    <w:lsdException w:uiPriority="99" w:name="toa heading"/>
    <w:lsdException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semiHidden="0" w:name="Default Paragraph Font"/>
    <w:lsdException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unhideWhenUsed="0" w:uiPriority="0" w:semiHidden="0" w:name="Body Text First Indent"/>
    <w:lsdException w:uiPriority="99"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uiPriority="99" w:semiHidden="0" w:name="Normal Table"/>
    <w:lsdException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99" w:name="Placeholder Text"/>
    <w:lsdException w:qFormat="1" w:unhideWhenUsed="0" w:uiPriority="1" w:semiHidden="0"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qFormat="1" w:unhideWhenUsed="0" w:uiPriority="0" w:semiHidden="0" w:name="List Paragraph"/>
    <w:lsdException w:qFormat="1" w:unhideWhenUsed="0" w:uiPriority="29" w:semiHidden="0" w:name="Quote"/>
    <w:lsdException w:qFormat="1" w:unhideWhenUsed="0" w:uiPriority="99" w:semiHidden="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next w:val="2"/>
    <w:qFormat/>
    <w:uiPriority w:val="0"/>
    <w:pPr>
      <w:widowControl w:val="0"/>
      <w:spacing w:line="360" w:lineRule="auto"/>
      <w:ind w:firstLine="964" w:firstLineChars="200"/>
      <w:jc w:val="both"/>
    </w:pPr>
    <w:rPr>
      <w:kern w:val="2"/>
      <w:sz w:val="24"/>
      <w:szCs w:val="24"/>
      <w:lang w:val="en-US" w:eastAsia="zh-CN" w:bidi="ar-SA"/>
    </w:rPr>
  </w:style>
  <w:style w:type="paragraph" w:styleId="6">
    <w:name w:val="heading 1"/>
    <w:basedOn w:val="1"/>
    <w:next w:val="1"/>
    <w:link w:val="64"/>
    <w:qFormat/>
    <w:uiPriority w:val="9"/>
    <w:pPr>
      <w:keepNext/>
      <w:keepLines/>
      <w:numPr>
        <w:ilvl w:val="0"/>
        <w:numId w:val="1"/>
      </w:numPr>
      <w:spacing w:before="120" w:beforeLines="0" w:after="120" w:afterLines="0" w:line="360" w:lineRule="auto"/>
      <w:ind w:firstLineChars="0"/>
      <w:outlineLvl w:val="0"/>
    </w:pPr>
    <w:rPr>
      <w:rFonts w:ascii="Times New Roman" w:hAnsi="Times New Roman" w:eastAsia="黑体"/>
      <w:b/>
      <w:bCs/>
      <w:kern w:val="44"/>
      <w:sz w:val="36"/>
      <w:szCs w:val="44"/>
    </w:rPr>
  </w:style>
  <w:style w:type="paragraph" w:styleId="7">
    <w:name w:val="heading 2"/>
    <w:basedOn w:val="1"/>
    <w:next w:val="1"/>
    <w:link w:val="65"/>
    <w:qFormat/>
    <w:uiPriority w:val="9"/>
    <w:pPr>
      <w:keepNext/>
      <w:keepLines/>
      <w:numPr>
        <w:ilvl w:val="1"/>
        <w:numId w:val="1"/>
      </w:numPr>
      <w:spacing w:before="60" w:after="60"/>
      <w:ind w:left="0" w:firstLine="0" w:firstLineChars="0"/>
      <w:outlineLvl w:val="1"/>
    </w:pPr>
    <w:rPr>
      <w:rFonts w:ascii="Times New Roman" w:hAnsi="Times New Roman" w:eastAsia="黑体"/>
      <w:b/>
      <w:bCs/>
      <w:sz w:val="32"/>
      <w:szCs w:val="32"/>
    </w:rPr>
  </w:style>
  <w:style w:type="paragraph" w:styleId="8">
    <w:name w:val="heading 3"/>
    <w:basedOn w:val="1"/>
    <w:next w:val="1"/>
    <w:link w:val="66"/>
    <w:qFormat/>
    <w:uiPriority w:val="9"/>
    <w:pPr>
      <w:keepNext/>
      <w:keepLines/>
      <w:numPr>
        <w:ilvl w:val="2"/>
        <w:numId w:val="1"/>
      </w:numPr>
      <w:tabs>
        <w:tab w:val="left" w:pos="0"/>
        <w:tab w:val="left" w:pos="360"/>
      </w:tabs>
      <w:spacing w:before="40" w:after="40"/>
      <w:ind w:left="0" w:firstLine="0" w:firstLineChars="0"/>
      <w:outlineLvl w:val="2"/>
    </w:pPr>
    <w:rPr>
      <w:rFonts w:ascii="Times New Roman" w:hAnsi="Times New Roman" w:eastAsia="黑体"/>
      <w:b/>
      <w:bCs/>
      <w:sz w:val="28"/>
      <w:szCs w:val="32"/>
    </w:rPr>
  </w:style>
  <w:style w:type="paragraph" w:styleId="9">
    <w:name w:val="heading 4"/>
    <w:basedOn w:val="1"/>
    <w:next w:val="1"/>
    <w:link w:val="67"/>
    <w:qFormat/>
    <w:uiPriority w:val="9"/>
    <w:pPr>
      <w:keepNext/>
      <w:keepLines/>
      <w:numPr>
        <w:ilvl w:val="3"/>
        <w:numId w:val="1"/>
      </w:numPr>
      <w:ind w:left="0" w:firstLine="0" w:firstLineChars="0"/>
      <w:outlineLvl w:val="3"/>
    </w:pPr>
    <w:rPr>
      <w:rFonts w:eastAsia="黑体"/>
      <w:bCs/>
      <w:szCs w:val="28"/>
    </w:rPr>
  </w:style>
  <w:style w:type="paragraph" w:styleId="10">
    <w:name w:val="heading 5"/>
    <w:basedOn w:val="1"/>
    <w:next w:val="1"/>
    <w:link w:val="68"/>
    <w:qFormat/>
    <w:uiPriority w:val="99"/>
    <w:pPr>
      <w:keepNext/>
      <w:keepLines/>
      <w:autoSpaceDE w:val="0"/>
      <w:autoSpaceDN w:val="0"/>
      <w:adjustRightInd w:val="0"/>
      <w:spacing w:line="460" w:lineRule="exact"/>
      <w:jc w:val="left"/>
      <w:textAlignment w:val="baseline"/>
      <w:outlineLvl w:val="4"/>
    </w:pPr>
    <w:rPr>
      <w:rFonts w:ascii="Arial Unicode MS" w:hAnsi="Arial Unicode MS"/>
      <w:kern w:val="0"/>
      <w:szCs w:val="20"/>
    </w:rPr>
  </w:style>
  <w:style w:type="paragraph" w:styleId="11">
    <w:name w:val="heading 6"/>
    <w:basedOn w:val="1"/>
    <w:next w:val="1"/>
    <w:link w:val="69"/>
    <w:qFormat/>
    <w:uiPriority w:val="0"/>
    <w:pPr>
      <w:keepNext/>
      <w:keepLines/>
      <w:autoSpaceDE w:val="0"/>
      <w:autoSpaceDN w:val="0"/>
      <w:adjustRightInd w:val="0"/>
      <w:spacing w:before="240" w:beforeLines="0" w:after="64" w:afterLines="0" w:line="320" w:lineRule="auto"/>
      <w:jc w:val="left"/>
      <w:textAlignment w:val="baseline"/>
      <w:outlineLvl w:val="5"/>
    </w:pPr>
    <w:rPr>
      <w:rFonts w:ascii="Arial" w:hAnsi="Arial" w:eastAsia="黑体"/>
      <w:b/>
      <w:kern w:val="0"/>
      <w:szCs w:val="20"/>
    </w:rPr>
  </w:style>
  <w:style w:type="paragraph" w:styleId="12">
    <w:name w:val="heading 7"/>
    <w:basedOn w:val="1"/>
    <w:next w:val="1"/>
    <w:link w:val="70"/>
    <w:qFormat/>
    <w:uiPriority w:val="0"/>
    <w:pPr>
      <w:keepNext/>
      <w:keepLines/>
      <w:autoSpaceDE w:val="0"/>
      <w:autoSpaceDN w:val="0"/>
      <w:adjustRightInd w:val="0"/>
      <w:spacing w:before="240" w:beforeLines="0" w:after="64" w:afterLines="0" w:line="320" w:lineRule="auto"/>
      <w:jc w:val="left"/>
      <w:textAlignment w:val="baseline"/>
      <w:outlineLvl w:val="6"/>
    </w:pPr>
    <w:rPr>
      <w:rFonts w:ascii="Arial Unicode MS" w:hAnsi="Arial Unicode MS"/>
      <w:b/>
      <w:kern w:val="0"/>
      <w:szCs w:val="20"/>
    </w:rPr>
  </w:style>
  <w:style w:type="paragraph" w:styleId="13">
    <w:name w:val="heading 8"/>
    <w:basedOn w:val="1"/>
    <w:next w:val="1"/>
    <w:link w:val="71"/>
    <w:qFormat/>
    <w:uiPriority w:val="0"/>
    <w:pPr>
      <w:keepNext/>
      <w:keepLines/>
      <w:autoSpaceDE w:val="0"/>
      <w:autoSpaceDN w:val="0"/>
      <w:adjustRightInd w:val="0"/>
      <w:spacing w:before="240" w:beforeLines="0" w:after="64" w:afterLines="0" w:line="320" w:lineRule="auto"/>
      <w:jc w:val="left"/>
      <w:textAlignment w:val="baseline"/>
      <w:outlineLvl w:val="7"/>
    </w:pPr>
    <w:rPr>
      <w:rFonts w:ascii="Arial" w:hAnsi="Arial" w:eastAsia="黑体"/>
      <w:kern w:val="0"/>
      <w:szCs w:val="20"/>
    </w:rPr>
  </w:style>
  <w:style w:type="paragraph" w:styleId="14">
    <w:name w:val="heading 9"/>
    <w:basedOn w:val="1"/>
    <w:next w:val="1"/>
    <w:link w:val="72"/>
    <w:qFormat/>
    <w:uiPriority w:val="0"/>
    <w:pPr>
      <w:keepNext/>
      <w:keepLines/>
      <w:autoSpaceDE w:val="0"/>
      <w:autoSpaceDN w:val="0"/>
      <w:adjustRightInd w:val="0"/>
      <w:spacing w:before="240" w:beforeLines="0" w:after="64" w:afterLines="0" w:line="320" w:lineRule="auto"/>
      <w:jc w:val="left"/>
      <w:textAlignment w:val="baseline"/>
      <w:outlineLvl w:val="8"/>
    </w:pPr>
    <w:rPr>
      <w:rFonts w:ascii="Arial" w:hAnsi="Arial" w:eastAsia="黑体"/>
      <w:kern w:val="0"/>
      <w:sz w:val="21"/>
      <w:szCs w:val="20"/>
    </w:rPr>
  </w:style>
  <w:style w:type="character" w:default="1" w:styleId="53">
    <w:name w:val="Default Paragraph Font"/>
    <w:unhideWhenUsed/>
    <w:uiPriority w:val="1"/>
  </w:style>
  <w:style w:type="table" w:default="1" w:styleId="51">
    <w:name w:val="Normal Table"/>
    <w:unhideWhenUsed/>
    <w:uiPriority w:val="99"/>
    <w:tblPr>
      <w:tblStyle w:val="51"/>
      <w:tblCellMar>
        <w:top w:w="0" w:type="dxa"/>
        <w:left w:w="108" w:type="dxa"/>
        <w:bottom w:w="0" w:type="dxa"/>
        <w:right w:w="108" w:type="dxa"/>
      </w:tblCellMar>
    </w:tblPr>
  </w:style>
  <w:style w:type="paragraph" w:customStyle="1" w:styleId="2">
    <w:name w:val="表格文字"/>
    <w:basedOn w:val="3"/>
    <w:next w:val="1"/>
    <w:link w:val="62"/>
    <w:qFormat/>
    <w:uiPriority w:val="0"/>
    <w:pPr>
      <w:spacing w:before="60" w:beforeLines="0" w:after="60" w:afterLines="0" w:line="240" w:lineRule="auto"/>
      <w:ind w:firstLine="0" w:firstLineChars="0"/>
    </w:pPr>
    <w:rPr>
      <w:rFonts w:ascii="Times New Roman" w:hAnsi="Times New Roman"/>
      <w:szCs w:val="20"/>
    </w:rPr>
  </w:style>
  <w:style w:type="paragraph" w:styleId="3">
    <w:name w:val="Body Text"/>
    <w:basedOn w:val="1"/>
    <w:next w:val="4"/>
    <w:link w:val="61"/>
    <w:unhideWhenUsed/>
    <w:uiPriority w:val="99"/>
    <w:pPr>
      <w:spacing w:after="120" w:afterLines="0"/>
    </w:pPr>
    <w:rPr>
      <w:rFonts w:ascii="Arial Unicode MS" w:hAnsi="Arial Unicode MS"/>
    </w:rPr>
  </w:style>
  <w:style w:type="paragraph" w:styleId="4">
    <w:name w:val="List Bullet 5"/>
    <w:basedOn w:val="1"/>
    <w:unhideWhenUsed/>
    <w:uiPriority w:val="99"/>
    <w:pPr>
      <w:numPr>
        <w:ilvl w:val="0"/>
        <w:numId w:val="2"/>
      </w:numPr>
    </w:pPr>
  </w:style>
  <w:style w:type="paragraph" w:styleId="5">
    <w:name w:val="macro"/>
    <w:link w:val="63"/>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kern w:val="2"/>
      <w:sz w:val="24"/>
      <w:szCs w:val="24"/>
      <w:lang w:val="en-US" w:eastAsia="zh-CN" w:bidi="ar-SA"/>
    </w:rPr>
  </w:style>
  <w:style w:type="paragraph" w:styleId="15">
    <w:name w:val="toc 7"/>
    <w:basedOn w:val="1"/>
    <w:next w:val="1"/>
    <w:link w:val="73"/>
    <w:uiPriority w:val="39"/>
    <w:pPr>
      <w:spacing w:line="460" w:lineRule="exact"/>
      <w:ind w:left="1680"/>
      <w:jc w:val="left"/>
    </w:pPr>
    <w:rPr>
      <w:sz w:val="18"/>
      <w:szCs w:val="18"/>
    </w:rPr>
  </w:style>
  <w:style w:type="paragraph" w:styleId="16">
    <w:name w:val="Normal Indent"/>
    <w:basedOn w:val="1"/>
    <w:link w:val="74"/>
    <w:uiPriority w:val="0"/>
    <w:pPr>
      <w:spacing w:line="460" w:lineRule="exact"/>
      <w:ind w:firstLine="420"/>
    </w:pPr>
    <w:rPr>
      <w:rFonts w:ascii="Arial Unicode MS" w:hAnsi="Arial Unicode MS"/>
      <w:szCs w:val="20"/>
    </w:rPr>
  </w:style>
  <w:style w:type="paragraph" w:styleId="17">
    <w:name w:val="caption"/>
    <w:basedOn w:val="1"/>
    <w:next w:val="1"/>
    <w:link w:val="75"/>
    <w:qFormat/>
    <w:uiPriority w:val="0"/>
    <w:pPr>
      <w:spacing w:before="152" w:beforeLines="0" w:after="160" w:afterLines="0" w:line="240" w:lineRule="auto"/>
      <w:ind w:firstLine="0" w:firstLineChars="0"/>
    </w:pPr>
    <w:rPr>
      <w:rFonts w:ascii="Arial" w:hAnsi="Arial" w:eastAsia="黑体" w:cs="Arial"/>
      <w:sz w:val="20"/>
      <w:szCs w:val="20"/>
    </w:rPr>
  </w:style>
  <w:style w:type="paragraph" w:styleId="18">
    <w:name w:val="Document Map"/>
    <w:basedOn w:val="1"/>
    <w:link w:val="76"/>
    <w:uiPriority w:val="99"/>
    <w:pPr>
      <w:spacing w:line="460" w:lineRule="exact"/>
    </w:pPr>
    <w:rPr>
      <w:rFonts w:ascii="宋体" w:hAnsi="Calibri"/>
      <w:sz w:val="18"/>
      <w:szCs w:val="18"/>
    </w:rPr>
  </w:style>
  <w:style w:type="paragraph" w:styleId="19">
    <w:name w:val="annotation text"/>
    <w:basedOn w:val="1"/>
    <w:link w:val="77"/>
    <w:unhideWhenUsed/>
    <w:uiPriority w:val="0"/>
    <w:pPr>
      <w:jc w:val="left"/>
    </w:pPr>
    <w:rPr>
      <w:rFonts w:ascii="Arial Unicode MS" w:hAnsi="Arial Unicode MS"/>
    </w:rPr>
  </w:style>
  <w:style w:type="paragraph" w:styleId="20">
    <w:name w:val="Body Text 3"/>
    <w:basedOn w:val="1"/>
    <w:link w:val="78"/>
    <w:uiPriority w:val="0"/>
    <w:pPr>
      <w:spacing w:line="460" w:lineRule="exact"/>
    </w:pPr>
    <w:rPr>
      <w:rFonts w:ascii="Arial Unicode MS" w:hAnsi="Arial Unicode MS"/>
      <w:b/>
      <w:szCs w:val="20"/>
    </w:rPr>
  </w:style>
  <w:style w:type="paragraph" w:styleId="21">
    <w:name w:val="Body Text Indent"/>
    <w:basedOn w:val="1"/>
    <w:link w:val="79"/>
    <w:uiPriority w:val="99"/>
    <w:pPr>
      <w:spacing w:line="460" w:lineRule="exact"/>
      <w:ind w:firstLine="540"/>
    </w:pPr>
    <w:rPr>
      <w:rFonts w:ascii="Arial Unicode MS" w:hAnsi="Arial Unicode MS"/>
      <w:szCs w:val="28"/>
    </w:rPr>
  </w:style>
  <w:style w:type="paragraph" w:styleId="22">
    <w:name w:val="Block Text"/>
    <w:basedOn w:val="1"/>
    <w:uiPriority w:val="0"/>
    <w:pPr>
      <w:spacing w:line="440" w:lineRule="exact"/>
      <w:ind w:left="140" w:right="118" w:firstLine="482" w:firstLineChars="0"/>
    </w:pPr>
  </w:style>
  <w:style w:type="paragraph" w:styleId="23">
    <w:name w:val="toc 5"/>
    <w:basedOn w:val="1"/>
    <w:next w:val="1"/>
    <w:uiPriority w:val="39"/>
    <w:pPr>
      <w:spacing w:line="460" w:lineRule="exact"/>
      <w:ind w:left="1120"/>
      <w:jc w:val="left"/>
    </w:pPr>
    <w:rPr>
      <w:sz w:val="18"/>
      <w:szCs w:val="18"/>
    </w:rPr>
  </w:style>
  <w:style w:type="paragraph" w:styleId="24">
    <w:name w:val="toc 3"/>
    <w:basedOn w:val="1"/>
    <w:next w:val="1"/>
    <w:uiPriority w:val="39"/>
    <w:pPr>
      <w:tabs>
        <w:tab w:val="left" w:pos="1120"/>
        <w:tab w:val="left" w:pos="1680"/>
        <w:tab w:val="right" w:leader="dot" w:pos="8681"/>
      </w:tabs>
      <w:spacing w:line="340" w:lineRule="exact"/>
      <w:ind w:firstLine="400" w:firstLineChars="400"/>
      <w:jc w:val="left"/>
    </w:pPr>
    <w:rPr>
      <w:iCs/>
      <w:sz w:val="18"/>
      <w:szCs w:val="20"/>
    </w:rPr>
  </w:style>
  <w:style w:type="paragraph" w:styleId="25">
    <w:name w:val="Plain Text"/>
    <w:basedOn w:val="1"/>
    <w:next w:val="1"/>
    <w:link w:val="80"/>
    <w:qFormat/>
    <w:uiPriority w:val="99"/>
    <w:pPr>
      <w:spacing w:line="460" w:lineRule="exact"/>
    </w:pPr>
    <w:rPr>
      <w:rFonts w:ascii="宋体" w:hAnsi="Courier New"/>
      <w:sz w:val="28"/>
      <w:szCs w:val="21"/>
    </w:rPr>
  </w:style>
  <w:style w:type="paragraph" w:styleId="26">
    <w:name w:val="toc 8"/>
    <w:basedOn w:val="1"/>
    <w:next w:val="1"/>
    <w:uiPriority w:val="39"/>
    <w:pPr>
      <w:spacing w:line="460" w:lineRule="exact"/>
      <w:ind w:left="1960"/>
      <w:jc w:val="left"/>
    </w:pPr>
    <w:rPr>
      <w:sz w:val="18"/>
      <w:szCs w:val="18"/>
    </w:rPr>
  </w:style>
  <w:style w:type="paragraph" w:styleId="27">
    <w:name w:val="Date"/>
    <w:basedOn w:val="1"/>
    <w:next w:val="1"/>
    <w:link w:val="81"/>
    <w:uiPriority w:val="0"/>
    <w:pPr>
      <w:spacing w:line="460" w:lineRule="exact"/>
    </w:pPr>
    <w:rPr>
      <w:rFonts w:ascii="Arial Unicode MS" w:hAnsi="Arial Unicode MS"/>
      <w:spacing w:val="10"/>
      <w:sz w:val="45"/>
      <w:szCs w:val="20"/>
    </w:rPr>
  </w:style>
  <w:style w:type="paragraph" w:styleId="28">
    <w:name w:val="Body Text Indent 2"/>
    <w:basedOn w:val="1"/>
    <w:link w:val="82"/>
    <w:uiPriority w:val="0"/>
    <w:pPr>
      <w:spacing w:line="460" w:lineRule="exact"/>
      <w:ind w:firstLine="568" w:firstLineChars="203"/>
    </w:pPr>
    <w:rPr>
      <w:rFonts w:ascii="宋体" w:hAnsi="宋体"/>
    </w:rPr>
  </w:style>
  <w:style w:type="paragraph" w:styleId="29">
    <w:name w:val="endnote text"/>
    <w:basedOn w:val="1"/>
    <w:link w:val="83"/>
    <w:semiHidden/>
    <w:uiPriority w:val="0"/>
    <w:pPr>
      <w:snapToGrid w:val="0"/>
      <w:spacing w:line="460" w:lineRule="exact"/>
      <w:jc w:val="left"/>
    </w:pPr>
    <w:rPr>
      <w:rFonts w:ascii="Arial Unicode MS" w:hAnsi="Arial Unicode MS"/>
    </w:rPr>
  </w:style>
  <w:style w:type="paragraph" w:styleId="30">
    <w:name w:val="Balloon Text"/>
    <w:basedOn w:val="1"/>
    <w:link w:val="84"/>
    <w:uiPriority w:val="99"/>
    <w:pPr>
      <w:spacing w:line="460" w:lineRule="exact"/>
    </w:pPr>
    <w:rPr>
      <w:rFonts w:ascii="Arial Unicode MS" w:hAnsi="Arial Unicode MS"/>
      <w:sz w:val="18"/>
      <w:szCs w:val="18"/>
    </w:rPr>
  </w:style>
  <w:style w:type="paragraph" w:styleId="31">
    <w:name w:val="footer"/>
    <w:basedOn w:val="1"/>
    <w:link w:val="85"/>
    <w:unhideWhenUsed/>
    <w:qFormat/>
    <w:uiPriority w:val="99"/>
    <w:pPr>
      <w:tabs>
        <w:tab w:val="center" w:pos="4153"/>
        <w:tab w:val="right" w:pos="8306"/>
      </w:tabs>
      <w:snapToGrid w:val="0"/>
      <w:spacing w:line="240" w:lineRule="atLeast"/>
      <w:jc w:val="left"/>
    </w:pPr>
    <w:rPr>
      <w:rFonts w:ascii="Arial Unicode MS" w:hAnsi="Arial Unicode MS"/>
      <w:sz w:val="18"/>
      <w:szCs w:val="18"/>
    </w:rPr>
  </w:style>
  <w:style w:type="paragraph" w:styleId="32">
    <w:name w:val="header"/>
    <w:basedOn w:val="1"/>
    <w:next w:val="33"/>
    <w:link w:val="86"/>
    <w:unhideWhenUsed/>
    <w:qFormat/>
    <w:uiPriority w:val="99"/>
    <w:pPr>
      <w:pBdr>
        <w:bottom w:val="single" w:color="auto" w:sz="6" w:space="1"/>
      </w:pBdr>
      <w:tabs>
        <w:tab w:val="center" w:pos="4153"/>
        <w:tab w:val="right" w:pos="8306"/>
      </w:tabs>
      <w:snapToGrid w:val="0"/>
      <w:spacing w:line="240" w:lineRule="atLeast"/>
      <w:jc w:val="center"/>
    </w:pPr>
    <w:rPr>
      <w:rFonts w:ascii="Arial Unicode MS" w:hAnsi="Arial Unicode MS"/>
      <w:sz w:val="18"/>
      <w:szCs w:val="18"/>
    </w:rPr>
  </w:style>
  <w:style w:type="paragraph" w:customStyle="1" w:styleId="33">
    <w:name w:val="样式5"/>
    <w:basedOn w:val="34"/>
    <w:qFormat/>
    <w:uiPriority w:val="0"/>
    <w:pPr>
      <w:tabs>
        <w:tab w:val="center" w:pos="4153"/>
        <w:tab w:val="right" w:pos="8306"/>
      </w:tabs>
      <w:snapToGrid w:val="0"/>
    </w:pPr>
    <w:rPr>
      <w:rFonts w:ascii="Times New Roman" w:hAnsi="Times New Roman"/>
      <w:sz w:val="18"/>
    </w:rPr>
  </w:style>
  <w:style w:type="paragraph" w:customStyle="1" w:styleId="34">
    <w:name w:val="正文1"/>
    <w:basedOn w:val="1"/>
    <w:next w:val="1"/>
    <w:uiPriority w:val="0"/>
    <w:pPr>
      <w:widowControl/>
      <w:spacing w:line="440" w:lineRule="exact"/>
      <w:ind w:firstLine="425"/>
    </w:pPr>
    <w:rPr>
      <w:rFonts w:ascii="宋体" w:hAnsi="宋体"/>
      <w:color w:val="000000"/>
      <w:sz w:val="24"/>
      <w:szCs w:val="24"/>
    </w:rPr>
  </w:style>
  <w:style w:type="paragraph" w:styleId="35">
    <w:name w:val="toc 1"/>
    <w:basedOn w:val="1"/>
    <w:next w:val="1"/>
    <w:unhideWhenUsed/>
    <w:uiPriority w:val="39"/>
    <w:pPr>
      <w:spacing w:line="400" w:lineRule="exact"/>
      <w:ind w:firstLine="0" w:firstLineChars="0"/>
    </w:pPr>
    <w:rPr>
      <w:b/>
      <w:sz w:val="21"/>
    </w:rPr>
  </w:style>
  <w:style w:type="paragraph" w:styleId="36">
    <w:name w:val="toc 4"/>
    <w:basedOn w:val="1"/>
    <w:next w:val="1"/>
    <w:uiPriority w:val="39"/>
    <w:pPr>
      <w:spacing w:line="460" w:lineRule="exact"/>
      <w:ind w:left="840"/>
      <w:jc w:val="left"/>
    </w:pPr>
    <w:rPr>
      <w:sz w:val="18"/>
      <w:szCs w:val="18"/>
    </w:rPr>
  </w:style>
  <w:style w:type="paragraph" w:styleId="37">
    <w:name w:val="Subtitle"/>
    <w:basedOn w:val="1"/>
    <w:next w:val="1"/>
    <w:link w:val="87"/>
    <w:qFormat/>
    <w:uiPriority w:val="0"/>
    <w:pPr>
      <w:spacing w:before="240" w:beforeLines="0" w:after="60" w:afterLines="0" w:line="312" w:lineRule="atLeast"/>
      <w:jc w:val="center"/>
      <w:outlineLvl w:val="1"/>
    </w:pPr>
    <w:rPr>
      <w:rFonts w:ascii="Calibri Light" w:hAnsi="Calibri Light"/>
      <w:b/>
      <w:bCs/>
      <w:kern w:val="28"/>
      <w:sz w:val="32"/>
      <w:szCs w:val="32"/>
    </w:rPr>
  </w:style>
  <w:style w:type="paragraph" w:styleId="38">
    <w:name w:val="List"/>
    <w:basedOn w:val="1"/>
    <w:unhideWhenUsed/>
    <w:uiPriority w:val="99"/>
    <w:pPr>
      <w:ind w:left="200" w:hanging="200" w:hangingChars="200"/>
      <w:contextualSpacing/>
    </w:pPr>
  </w:style>
  <w:style w:type="paragraph" w:styleId="39">
    <w:name w:val="toc 6"/>
    <w:basedOn w:val="1"/>
    <w:next w:val="1"/>
    <w:uiPriority w:val="39"/>
    <w:pPr>
      <w:spacing w:line="460" w:lineRule="exact"/>
      <w:ind w:left="1400"/>
      <w:jc w:val="left"/>
    </w:pPr>
    <w:rPr>
      <w:sz w:val="18"/>
      <w:szCs w:val="18"/>
    </w:rPr>
  </w:style>
  <w:style w:type="paragraph" w:styleId="40">
    <w:name w:val="Body Text Indent 3"/>
    <w:basedOn w:val="1"/>
    <w:link w:val="88"/>
    <w:uiPriority w:val="0"/>
    <w:pPr>
      <w:spacing w:line="460" w:lineRule="exact"/>
      <w:ind w:firstLine="538" w:firstLineChars="192"/>
    </w:pPr>
    <w:rPr>
      <w:rFonts w:ascii="楷体_GB2312" w:hAnsi="Arial Unicode MS" w:eastAsia="楷体_GB2312"/>
      <w:szCs w:val="28"/>
    </w:rPr>
  </w:style>
  <w:style w:type="paragraph" w:styleId="41">
    <w:name w:val="toc 2"/>
    <w:basedOn w:val="1"/>
    <w:next w:val="1"/>
    <w:uiPriority w:val="39"/>
    <w:pPr>
      <w:tabs>
        <w:tab w:val="left" w:pos="765"/>
        <w:tab w:val="right" w:leader="dot" w:pos="8681"/>
      </w:tabs>
      <w:spacing w:line="400" w:lineRule="exact"/>
      <w:ind w:left="200" w:leftChars="200" w:firstLine="0" w:firstLineChars="0"/>
    </w:pPr>
    <w:rPr>
      <w:smallCaps/>
      <w:sz w:val="21"/>
      <w:szCs w:val="20"/>
    </w:rPr>
  </w:style>
  <w:style w:type="paragraph" w:styleId="42">
    <w:name w:val="toc 9"/>
    <w:basedOn w:val="1"/>
    <w:next w:val="1"/>
    <w:uiPriority w:val="39"/>
    <w:pPr>
      <w:spacing w:line="460" w:lineRule="exact"/>
      <w:ind w:left="2240"/>
      <w:jc w:val="left"/>
    </w:pPr>
    <w:rPr>
      <w:sz w:val="18"/>
      <w:szCs w:val="18"/>
    </w:rPr>
  </w:style>
  <w:style w:type="paragraph" w:styleId="43">
    <w:name w:val="Body Text 2"/>
    <w:basedOn w:val="1"/>
    <w:link w:val="89"/>
    <w:uiPriority w:val="0"/>
    <w:pPr>
      <w:adjustRightInd w:val="0"/>
      <w:snapToGrid w:val="0"/>
      <w:spacing w:line="460" w:lineRule="exact"/>
      <w:jc w:val="center"/>
    </w:pPr>
    <w:rPr>
      <w:rFonts w:ascii="Arial Unicode MS" w:hAnsi="Arial Unicode MS" w:eastAsia="楷体_GB2312"/>
    </w:rPr>
  </w:style>
  <w:style w:type="paragraph" w:styleId="44">
    <w:name w:val="HTML Preformatted"/>
    <w:basedOn w:val="1"/>
    <w:link w:val="90"/>
    <w:uiPriority w:val="99"/>
    <w:pPr>
      <w:spacing w:line="460" w:lineRule="exact"/>
    </w:pPr>
    <w:rPr>
      <w:rFonts w:ascii="Courier New" w:hAnsi="Courier New"/>
      <w:sz w:val="20"/>
      <w:szCs w:val="20"/>
    </w:rPr>
  </w:style>
  <w:style w:type="paragraph" w:styleId="45">
    <w:name w:val="Normal (Web)"/>
    <w:basedOn w:val="1"/>
    <w:qFormat/>
    <w:uiPriority w:val="0"/>
    <w:pPr>
      <w:widowControl/>
      <w:spacing w:before="100" w:beforeLines="0" w:beforeAutospacing="1" w:after="100" w:afterLines="0" w:afterAutospacing="1" w:line="460" w:lineRule="exact"/>
      <w:jc w:val="left"/>
    </w:pPr>
    <w:rPr>
      <w:rFonts w:ascii="宋体" w:hAnsi="宋体" w:cs="宋体"/>
      <w:color w:val="000000"/>
      <w:kern w:val="0"/>
      <w:sz w:val="18"/>
      <w:szCs w:val="18"/>
    </w:rPr>
  </w:style>
  <w:style w:type="paragraph" w:styleId="46">
    <w:name w:val="index 1"/>
    <w:basedOn w:val="1"/>
    <w:next w:val="1"/>
    <w:uiPriority w:val="0"/>
    <w:pPr>
      <w:spacing w:line="360" w:lineRule="exact"/>
      <w:jc w:val="center"/>
    </w:pPr>
    <w:rPr>
      <w:rFonts w:ascii="宋体" w:hAnsi="宋体"/>
      <w:sz w:val="21"/>
    </w:rPr>
  </w:style>
  <w:style w:type="paragraph" w:styleId="47">
    <w:name w:val="Title"/>
    <w:basedOn w:val="1"/>
    <w:next w:val="1"/>
    <w:link w:val="91"/>
    <w:qFormat/>
    <w:uiPriority w:val="99"/>
    <w:pPr>
      <w:spacing w:line="240" w:lineRule="exact"/>
      <w:ind w:firstLine="0" w:firstLineChars="0"/>
      <w:jc w:val="center"/>
    </w:pPr>
    <w:rPr>
      <w:rFonts w:ascii="Arial Unicode MS" w:hAnsi="Arial Unicode MS" w:eastAsia="Arial Unicode MS" w:cs="Arial Unicode MS"/>
      <w:sz w:val="20"/>
      <w:szCs w:val="20"/>
    </w:rPr>
  </w:style>
  <w:style w:type="paragraph" w:styleId="48">
    <w:name w:val="annotation subject"/>
    <w:basedOn w:val="19"/>
    <w:next w:val="19"/>
    <w:link w:val="92"/>
    <w:semiHidden/>
    <w:uiPriority w:val="0"/>
    <w:pPr>
      <w:spacing w:line="460" w:lineRule="exact"/>
    </w:pPr>
    <w:rPr>
      <w:b/>
      <w:bCs/>
    </w:rPr>
  </w:style>
  <w:style w:type="paragraph" w:styleId="49">
    <w:name w:val="Body Text First Indent"/>
    <w:basedOn w:val="3"/>
    <w:link w:val="93"/>
    <w:uiPriority w:val="0"/>
    <w:pPr>
      <w:spacing w:line="460" w:lineRule="exact"/>
      <w:ind w:firstLine="420" w:firstLineChars="100"/>
    </w:pPr>
    <w:rPr>
      <w:rFonts w:eastAsia="方正宋三简体"/>
    </w:rPr>
  </w:style>
  <w:style w:type="paragraph" w:styleId="50">
    <w:name w:val="Body Text First Indent 2"/>
    <w:basedOn w:val="21"/>
    <w:link w:val="94"/>
    <w:unhideWhenUsed/>
    <w:uiPriority w:val="99"/>
    <w:pPr>
      <w:spacing w:after="120" w:line="360" w:lineRule="auto"/>
      <w:ind w:left="420" w:leftChars="200" w:firstLine="420"/>
    </w:pPr>
    <w:rPr>
      <w:rFonts w:ascii="Times New Roman" w:hAnsi="Times New Roman"/>
      <w:szCs w:val="24"/>
    </w:rPr>
  </w:style>
  <w:style w:type="table" w:styleId="52">
    <w:name w:val="Table Grid"/>
    <w:basedOn w:val="51"/>
    <w:uiPriority w:val="99"/>
    <w:tblPr>
      <w:tblStyle w:val="5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22"/>
    <w:rPr>
      <w:rFonts w:eastAsia="黑体"/>
      <w:bCs/>
      <w:sz w:val="24"/>
    </w:rPr>
  </w:style>
  <w:style w:type="character" w:styleId="55">
    <w:name w:val="endnote reference"/>
    <w:semiHidden/>
    <w:uiPriority w:val="0"/>
    <w:rPr>
      <w:vertAlign w:val="superscript"/>
    </w:rPr>
  </w:style>
  <w:style w:type="character" w:styleId="56">
    <w:name w:val="page number"/>
    <w:uiPriority w:val="0"/>
  </w:style>
  <w:style w:type="character" w:styleId="57">
    <w:name w:val="FollowedHyperlink"/>
    <w:unhideWhenUsed/>
    <w:uiPriority w:val="99"/>
    <w:rPr>
      <w:color w:val="954F72"/>
      <w:u w:val="single"/>
    </w:rPr>
  </w:style>
  <w:style w:type="character" w:styleId="58">
    <w:name w:val="Emphasis"/>
    <w:qFormat/>
    <w:uiPriority w:val="20"/>
    <w:rPr>
      <w:i/>
      <w:iCs/>
    </w:rPr>
  </w:style>
  <w:style w:type="character" w:styleId="59">
    <w:name w:val="Hyperlink"/>
    <w:basedOn w:val="53"/>
    <w:unhideWhenUsed/>
    <w:uiPriority w:val="99"/>
    <w:rPr>
      <w:color w:val="0000FF"/>
      <w:u w:val="single"/>
    </w:rPr>
  </w:style>
  <w:style w:type="character" w:styleId="60">
    <w:name w:val="annotation reference"/>
    <w:uiPriority w:val="0"/>
    <w:rPr>
      <w:sz w:val="21"/>
      <w:szCs w:val="21"/>
    </w:rPr>
  </w:style>
  <w:style w:type="character" w:customStyle="1" w:styleId="61">
    <w:name w:val="正文文本 字符"/>
    <w:link w:val="3"/>
    <w:uiPriority w:val="99"/>
    <w:rPr>
      <w:rFonts w:ascii="Arial Unicode MS" w:hAnsi="Arial Unicode MS"/>
      <w:kern w:val="2"/>
      <w:sz w:val="24"/>
      <w:szCs w:val="24"/>
    </w:rPr>
  </w:style>
  <w:style w:type="character" w:customStyle="1" w:styleId="62">
    <w:name w:val="表格文字 Char Char"/>
    <w:link w:val="2"/>
    <w:uiPriority w:val="0"/>
    <w:rPr>
      <w:rFonts w:ascii="Times New Roman" w:hAnsi="Times New Roman"/>
      <w:kern w:val="2"/>
      <w:sz w:val="24"/>
    </w:rPr>
  </w:style>
  <w:style w:type="character" w:customStyle="1" w:styleId="63">
    <w:name w:val="宏文本 字符"/>
    <w:link w:val="5"/>
    <w:uiPriority w:val="0"/>
    <w:rPr>
      <w:rFonts w:ascii="Courier New" w:hAnsi="Courier New"/>
      <w:kern w:val="2"/>
      <w:sz w:val="24"/>
      <w:szCs w:val="24"/>
      <w:lang w:val="en-US" w:eastAsia="zh-CN" w:bidi="ar-SA"/>
    </w:rPr>
  </w:style>
  <w:style w:type="character" w:customStyle="1" w:styleId="64">
    <w:name w:val="标题 1 字符"/>
    <w:link w:val="6"/>
    <w:uiPriority w:val="9"/>
    <w:rPr>
      <w:rFonts w:ascii="Times New Roman" w:hAnsi="Times New Roman" w:eastAsia="黑体"/>
      <w:b/>
      <w:bCs/>
      <w:kern w:val="44"/>
      <w:sz w:val="36"/>
      <w:szCs w:val="44"/>
    </w:rPr>
  </w:style>
  <w:style w:type="character" w:customStyle="1" w:styleId="65">
    <w:name w:val="标题 2 字符"/>
    <w:link w:val="7"/>
    <w:uiPriority w:val="9"/>
    <w:rPr>
      <w:rFonts w:ascii="Times New Roman" w:hAnsi="Times New Roman" w:eastAsia="黑体"/>
      <w:b/>
      <w:bCs/>
      <w:kern w:val="2"/>
      <w:sz w:val="32"/>
      <w:szCs w:val="32"/>
    </w:rPr>
  </w:style>
  <w:style w:type="character" w:customStyle="1" w:styleId="66">
    <w:name w:val="标题 3 字符"/>
    <w:link w:val="8"/>
    <w:uiPriority w:val="9"/>
    <w:rPr>
      <w:rFonts w:ascii="Times New Roman" w:hAnsi="Times New Roman" w:eastAsia="黑体"/>
      <w:b/>
      <w:bCs/>
      <w:kern w:val="2"/>
      <w:sz w:val="28"/>
      <w:szCs w:val="32"/>
    </w:rPr>
  </w:style>
  <w:style w:type="character" w:customStyle="1" w:styleId="67">
    <w:name w:val="标题 4 字符"/>
    <w:link w:val="9"/>
    <w:uiPriority w:val="9"/>
    <w:rPr>
      <w:rFonts w:eastAsia="黑体"/>
      <w:bCs/>
      <w:kern w:val="2"/>
      <w:sz w:val="24"/>
      <w:szCs w:val="28"/>
    </w:rPr>
  </w:style>
  <w:style w:type="character" w:customStyle="1" w:styleId="68">
    <w:name w:val="标题 5 字符"/>
    <w:link w:val="10"/>
    <w:uiPriority w:val="99"/>
    <w:rPr>
      <w:rFonts w:ascii="Arial Unicode MS" w:hAnsi="Arial Unicode MS"/>
      <w:sz w:val="24"/>
    </w:rPr>
  </w:style>
  <w:style w:type="character" w:customStyle="1" w:styleId="69">
    <w:name w:val="标题 6 字符"/>
    <w:link w:val="11"/>
    <w:uiPriority w:val="0"/>
    <w:rPr>
      <w:rFonts w:ascii="Arial" w:hAnsi="Arial" w:eastAsia="黑体"/>
      <w:b/>
      <w:sz w:val="24"/>
    </w:rPr>
  </w:style>
  <w:style w:type="character" w:customStyle="1" w:styleId="70">
    <w:name w:val="标题 7 字符"/>
    <w:link w:val="12"/>
    <w:uiPriority w:val="0"/>
    <w:rPr>
      <w:rFonts w:ascii="Arial Unicode MS" w:hAnsi="Arial Unicode MS"/>
      <w:b/>
      <w:sz w:val="24"/>
    </w:rPr>
  </w:style>
  <w:style w:type="character" w:customStyle="1" w:styleId="71">
    <w:name w:val="标题 8 字符"/>
    <w:link w:val="13"/>
    <w:uiPriority w:val="0"/>
    <w:rPr>
      <w:rFonts w:ascii="Arial" w:hAnsi="Arial" w:eastAsia="黑体"/>
      <w:sz w:val="24"/>
    </w:rPr>
  </w:style>
  <w:style w:type="character" w:customStyle="1" w:styleId="72">
    <w:name w:val="标题 9 字符"/>
    <w:link w:val="14"/>
    <w:uiPriority w:val="0"/>
    <w:rPr>
      <w:rFonts w:ascii="Arial" w:hAnsi="Arial" w:eastAsia="黑体"/>
      <w:sz w:val="21"/>
    </w:rPr>
  </w:style>
  <w:style w:type="character" w:customStyle="1" w:styleId="73">
    <w:name w:val="目录 7 Char"/>
    <w:link w:val="15"/>
    <w:uiPriority w:val="39"/>
    <w:rPr>
      <w:sz w:val="18"/>
      <w:szCs w:val="18"/>
    </w:rPr>
  </w:style>
  <w:style w:type="character" w:customStyle="1" w:styleId="74">
    <w:name w:val="正文缩进 字符"/>
    <w:link w:val="16"/>
    <w:uiPriority w:val="0"/>
    <w:rPr>
      <w:rFonts w:ascii="Arial Unicode MS" w:hAnsi="Arial Unicode MS"/>
      <w:kern w:val="2"/>
      <w:sz w:val="24"/>
    </w:rPr>
  </w:style>
  <w:style w:type="character" w:customStyle="1" w:styleId="75">
    <w:name w:val="题注 字符"/>
    <w:link w:val="17"/>
    <w:uiPriority w:val="0"/>
    <w:rPr>
      <w:rFonts w:ascii="Arial" w:hAnsi="Arial" w:eastAsia="黑体" w:cs="Arial"/>
      <w:kern w:val="2"/>
    </w:rPr>
  </w:style>
  <w:style w:type="character" w:customStyle="1" w:styleId="76">
    <w:name w:val="文档结构图 字符"/>
    <w:link w:val="18"/>
    <w:uiPriority w:val="99"/>
    <w:rPr>
      <w:rFonts w:ascii="宋体"/>
      <w:kern w:val="2"/>
      <w:sz w:val="18"/>
      <w:szCs w:val="18"/>
    </w:rPr>
  </w:style>
  <w:style w:type="character" w:customStyle="1" w:styleId="77">
    <w:name w:val="批注文字 字符"/>
    <w:link w:val="19"/>
    <w:uiPriority w:val="99"/>
    <w:rPr>
      <w:rFonts w:ascii="Arial Unicode MS" w:hAnsi="Arial Unicode MS"/>
      <w:kern w:val="2"/>
      <w:sz w:val="24"/>
      <w:szCs w:val="24"/>
    </w:rPr>
  </w:style>
  <w:style w:type="character" w:customStyle="1" w:styleId="78">
    <w:name w:val="正文文本 3 字符"/>
    <w:link w:val="20"/>
    <w:uiPriority w:val="0"/>
    <w:rPr>
      <w:rFonts w:ascii="Arial Unicode MS" w:hAnsi="Arial Unicode MS"/>
      <w:b/>
      <w:kern w:val="2"/>
      <w:sz w:val="24"/>
    </w:rPr>
  </w:style>
  <w:style w:type="character" w:customStyle="1" w:styleId="79">
    <w:name w:val="正文文本缩进 字符"/>
    <w:link w:val="21"/>
    <w:uiPriority w:val="99"/>
    <w:rPr>
      <w:rFonts w:ascii="Arial Unicode MS" w:hAnsi="Arial Unicode MS"/>
      <w:kern w:val="2"/>
      <w:sz w:val="24"/>
      <w:szCs w:val="28"/>
    </w:rPr>
  </w:style>
  <w:style w:type="character" w:customStyle="1" w:styleId="80">
    <w:name w:val="纯文本 字符"/>
    <w:link w:val="25"/>
    <w:uiPriority w:val="99"/>
    <w:rPr>
      <w:rFonts w:ascii="宋体" w:hAnsi="Courier New" w:cs="Courier New"/>
      <w:kern w:val="2"/>
      <w:sz w:val="28"/>
      <w:szCs w:val="21"/>
    </w:rPr>
  </w:style>
  <w:style w:type="character" w:customStyle="1" w:styleId="81">
    <w:name w:val="日期 字符"/>
    <w:link w:val="27"/>
    <w:uiPriority w:val="0"/>
    <w:rPr>
      <w:rFonts w:ascii="Arial Unicode MS" w:hAnsi="Arial Unicode MS"/>
      <w:spacing w:val="10"/>
      <w:kern w:val="2"/>
      <w:sz w:val="45"/>
    </w:rPr>
  </w:style>
  <w:style w:type="character" w:customStyle="1" w:styleId="82">
    <w:name w:val="正文文本缩进 2 字符"/>
    <w:link w:val="28"/>
    <w:uiPriority w:val="0"/>
    <w:rPr>
      <w:rFonts w:ascii="宋体" w:hAnsi="宋体"/>
      <w:kern w:val="2"/>
      <w:sz w:val="24"/>
      <w:szCs w:val="24"/>
    </w:rPr>
  </w:style>
  <w:style w:type="character" w:customStyle="1" w:styleId="83">
    <w:name w:val="尾注文本 字符"/>
    <w:link w:val="29"/>
    <w:uiPriority w:val="0"/>
    <w:rPr>
      <w:rFonts w:ascii="Arial Unicode MS" w:hAnsi="Arial Unicode MS"/>
      <w:kern w:val="2"/>
      <w:sz w:val="24"/>
      <w:szCs w:val="24"/>
    </w:rPr>
  </w:style>
  <w:style w:type="character" w:customStyle="1" w:styleId="84">
    <w:name w:val="批注框文本 字符"/>
    <w:link w:val="30"/>
    <w:uiPriority w:val="99"/>
    <w:rPr>
      <w:rFonts w:ascii="Arial Unicode MS" w:hAnsi="Arial Unicode MS"/>
      <w:kern w:val="2"/>
      <w:sz w:val="18"/>
      <w:szCs w:val="18"/>
    </w:rPr>
  </w:style>
  <w:style w:type="character" w:customStyle="1" w:styleId="85">
    <w:name w:val="页脚 字符1"/>
    <w:link w:val="31"/>
    <w:uiPriority w:val="99"/>
    <w:rPr>
      <w:rFonts w:ascii="Arial Unicode MS" w:hAnsi="Arial Unicode MS"/>
      <w:kern w:val="2"/>
      <w:sz w:val="18"/>
      <w:szCs w:val="18"/>
    </w:rPr>
  </w:style>
  <w:style w:type="character" w:customStyle="1" w:styleId="86">
    <w:name w:val="页眉 字符1"/>
    <w:link w:val="32"/>
    <w:uiPriority w:val="0"/>
    <w:rPr>
      <w:rFonts w:ascii="Arial Unicode MS" w:hAnsi="Arial Unicode MS"/>
      <w:kern w:val="2"/>
      <w:sz w:val="18"/>
      <w:szCs w:val="18"/>
    </w:rPr>
  </w:style>
  <w:style w:type="character" w:customStyle="1" w:styleId="87">
    <w:name w:val="副标题 字符1"/>
    <w:link w:val="37"/>
    <w:uiPriority w:val="0"/>
    <w:rPr>
      <w:rFonts w:ascii="Calibri Light" w:hAnsi="Calibri Light"/>
      <w:b/>
      <w:bCs/>
      <w:kern w:val="28"/>
      <w:sz w:val="32"/>
      <w:szCs w:val="32"/>
    </w:rPr>
  </w:style>
  <w:style w:type="character" w:customStyle="1" w:styleId="88">
    <w:name w:val="正文文本缩进 3 字符"/>
    <w:link w:val="40"/>
    <w:uiPriority w:val="0"/>
    <w:rPr>
      <w:rFonts w:ascii="楷体_GB2312" w:hAnsi="Arial Unicode MS" w:eastAsia="楷体_GB2312"/>
      <w:kern w:val="2"/>
      <w:sz w:val="24"/>
      <w:szCs w:val="28"/>
    </w:rPr>
  </w:style>
  <w:style w:type="character" w:customStyle="1" w:styleId="89">
    <w:name w:val="正文文本 2 字符"/>
    <w:link w:val="43"/>
    <w:uiPriority w:val="0"/>
    <w:rPr>
      <w:rFonts w:ascii="Arial Unicode MS" w:hAnsi="Arial Unicode MS" w:eastAsia="楷体_GB2312"/>
      <w:kern w:val="2"/>
      <w:sz w:val="24"/>
      <w:szCs w:val="24"/>
    </w:rPr>
  </w:style>
  <w:style w:type="character" w:customStyle="1" w:styleId="90">
    <w:name w:val="HTML 预设格式 字符"/>
    <w:link w:val="44"/>
    <w:uiPriority w:val="99"/>
    <w:rPr>
      <w:rFonts w:ascii="Courier New" w:hAnsi="Courier New" w:cs="Courier New"/>
      <w:kern w:val="2"/>
    </w:rPr>
  </w:style>
  <w:style w:type="character" w:customStyle="1" w:styleId="91">
    <w:name w:val="标题 字符"/>
    <w:link w:val="47"/>
    <w:uiPriority w:val="99"/>
    <w:rPr>
      <w:rFonts w:ascii="Arial Unicode MS" w:hAnsi="Arial Unicode MS" w:eastAsia="Arial Unicode MS" w:cs="Arial Unicode MS"/>
      <w:kern w:val="2"/>
    </w:rPr>
  </w:style>
  <w:style w:type="character" w:customStyle="1" w:styleId="92">
    <w:name w:val="批注主题 字符"/>
    <w:link w:val="48"/>
    <w:uiPriority w:val="0"/>
    <w:rPr>
      <w:rFonts w:ascii="Arial Unicode MS" w:hAnsi="Arial Unicode MS"/>
      <w:b/>
      <w:bCs/>
      <w:kern w:val="2"/>
      <w:sz w:val="24"/>
      <w:szCs w:val="24"/>
    </w:rPr>
  </w:style>
  <w:style w:type="character" w:customStyle="1" w:styleId="93">
    <w:name w:val="正文文本首行缩进 字符"/>
    <w:link w:val="49"/>
    <w:uiPriority w:val="0"/>
    <w:rPr>
      <w:rFonts w:ascii="Arial Unicode MS" w:hAnsi="Arial Unicode MS" w:eastAsia="方正宋三简体"/>
      <w:kern w:val="2"/>
      <w:sz w:val="24"/>
      <w:szCs w:val="24"/>
    </w:rPr>
  </w:style>
  <w:style w:type="character" w:customStyle="1" w:styleId="94">
    <w:name w:val="正文文本首行缩进 2 字符"/>
    <w:link w:val="50"/>
    <w:uiPriority w:val="99"/>
    <w:rPr>
      <w:rFonts w:ascii="Arial Unicode MS" w:hAnsi="Arial Unicode MS"/>
      <w:kern w:val="2"/>
      <w:sz w:val="24"/>
      <w:szCs w:val="24"/>
    </w:rPr>
  </w:style>
  <w:style w:type="paragraph" w:customStyle="1" w:styleId="95">
    <w:name w:val="Default"/>
    <w:basedOn w:val="96"/>
    <w:qFormat/>
    <w:uiPriority w:val="0"/>
    <w:pPr>
      <w:widowControl w:val="0"/>
      <w:autoSpaceDE w:val="0"/>
      <w:autoSpaceDN w:val="0"/>
      <w:adjustRightInd w:val="0"/>
    </w:pPr>
    <w:rPr>
      <w:rFonts w:ascii="宋体"/>
      <w:color w:val="000000"/>
      <w:sz w:val="24"/>
      <w:szCs w:val="24"/>
      <w:lang w:val="en-US" w:eastAsia="zh-CN" w:bidi="ar-SA"/>
    </w:rPr>
  </w:style>
  <w:style w:type="paragraph" w:customStyle="1" w:styleId="96">
    <w:name w:val="纯文本1"/>
    <w:basedOn w:val="1"/>
    <w:qFormat/>
    <w:uiPriority w:val="0"/>
    <w:rPr>
      <w:rFonts w:hint="eastAsia" w:ascii="宋体" w:hAnsi="Courier New"/>
      <w:szCs w:val="22"/>
    </w:rPr>
  </w:style>
  <w:style w:type="character" w:customStyle="1" w:styleId="97">
    <w:name w:val="表、图名 Char"/>
    <w:link w:val="98"/>
    <w:uiPriority w:val="0"/>
    <w:rPr>
      <w:b/>
      <w:kern w:val="2"/>
      <w:sz w:val="21"/>
      <w:szCs w:val="21"/>
    </w:rPr>
  </w:style>
  <w:style w:type="paragraph" w:customStyle="1" w:styleId="98">
    <w:name w:val="表、图名"/>
    <w:basedOn w:val="1"/>
    <w:link w:val="97"/>
    <w:qFormat/>
    <w:uiPriority w:val="0"/>
    <w:pPr>
      <w:spacing w:before="156" w:beforeLines="50" w:line="240" w:lineRule="auto"/>
      <w:ind w:firstLine="0" w:firstLineChars="0"/>
      <w:jc w:val="center"/>
    </w:pPr>
    <w:rPr>
      <w:b/>
      <w:sz w:val="21"/>
      <w:szCs w:val="21"/>
    </w:rPr>
  </w:style>
  <w:style w:type="character" w:customStyle="1" w:styleId="99">
    <w:name w:val="页脚 字符"/>
    <w:uiPriority w:val="99"/>
    <w:rPr>
      <w:rFonts w:cs="黑体"/>
      <w:kern w:val="2"/>
      <w:sz w:val="18"/>
      <w:szCs w:val="18"/>
    </w:rPr>
  </w:style>
  <w:style w:type="character" w:customStyle="1" w:styleId="100">
    <w:name w:val="正文文本 3 Char Char"/>
    <w:uiPriority w:val="0"/>
    <w:rPr>
      <w:rFonts w:ascii="Arial Unicode MS" w:hAnsi="Arial Unicode MS"/>
      <w:b/>
      <w:kern w:val="2"/>
      <w:sz w:val="24"/>
    </w:rPr>
  </w:style>
  <w:style w:type="character" w:customStyle="1" w:styleId="101">
    <w:name w:val="正文文本 Char1"/>
    <w:semiHidden/>
    <w:uiPriority w:val="99"/>
    <w:rPr>
      <w:rFonts w:ascii="Arial Unicode MS" w:hAnsi="Arial Unicode MS"/>
      <w:kern w:val="2"/>
      <w:sz w:val="24"/>
      <w:szCs w:val="24"/>
    </w:rPr>
  </w:style>
  <w:style w:type="character" w:customStyle="1" w:styleId="102">
    <w:name w:val="批注框文本 Char1"/>
    <w:semiHidden/>
    <w:uiPriority w:val="99"/>
    <w:rPr>
      <w:rFonts w:ascii="Arial Unicode MS" w:hAnsi="Arial Unicode MS"/>
      <w:kern w:val="2"/>
      <w:sz w:val="18"/>
      <w:szCs w:val="18"/>
    </w:rPr>
  </w:style>
  <w:style w:type="character" w:customStyle="1" w:styleId="103">
    <w:name w:val="正文文本缩进 2 Char1"/>
    <w:semiHidden/>
    <w:uiPriority w:val="99"/>
    <w:rPr>
      <w:rFonts w:ascii="Arial Unicode MS" w:hAnsi="Arial Unicode MS"/>
      <w:kern w:val="2"/>
      <w:sz w:val="24"/>
      <w:szCs w:val="24"/>
    </w:rPr>
  </w:style>
  <w:style w:type="character" w:customStyle="1" w:styleId="104">
    <w:name w:val="font121"/>
    <w:uiPriority w:val="0"/>
    <w:rPr>
      <w:rFonts w:hint="default" w:ascii="Times New Roman" w:hAnsi="Times New Roman" w:cs="Times New Roman"/>
      <w:b/>
      <w:bCs/>
      <w:color w:val="000000"/>
      <w:sz w:val="20"/>
      <w:szCs w:val="20"/>
      <w:u w:val="none"/>
    </w:rPr>
  </w:style>
  <w:style w:type="character" w:customStyle="1" w:styleId="105">
    <w:name w:val="宏文本 Char Char"/>
    <w:uiPriority w:val="0"/>
    <w:rPr>
      <w:rFonts w:ascii="Courier New" w:hAnsi="Courier New"/>
      <w:kern w:val="2"/>
      <w:sz w:val="24"/>
      <w:szCs w:val="24"/>
      <w:lang w:val="en-US" w:eastAsia="zh-CN" w:bidi="ar-SA"/>
    </w:rPr>
  </w:style>
  <w:style w:type="character" w:customStyle="1" w:styleId="106">
    <w:name w:val="正文文本缩进 3 Char Char"/>
    <w:uiPriority w:val="0"/>
    <w:rPr>
      <w:rFonts w:ascii="楷体_GB2312" w:hAnsi="Arial Unicode MS" w:eastAsia="楷体_GB2312"/>
      <w:kern w:val="2"/>
      <w:sz w:val="24"/>
      <w:szCs w:val="28"/>
    </w:rPr>
  </w:style>
  <w:style w:type="character" w:customStyle="1" w:styleId="107">
    <w:name w:val="报告表格 Char Char"/>
    <w:link w:val="108"/>
    <w:uiPriority w:val="0"/>
    <w:rPr>
      <w:rFonts w:ascii="Tahoma" w:hAnsi="Tahoma"/>
      <w:sz w:val="21"/>
    </w:rPr>
  </w:style>
  <w:style w:type="paragraph" w:customStyle="1" w:styleId="108">
    <w:name w:val="报告表格"/>
    <w:basedOn w:val="1"/>
    <w:link w:val="107"/>
    <w:uiPriority w:val="0"/>
    <w:pPr>
      <w:autoSpaceDE w:val="0"/>
      <w:autoSpaceDN w:val="0"/>
      <w:adjustRightInd w:val="0"/>
      <w:spacing w:before="40" w:beforeLines="0" w:after="40" w:afterLines="0" w:line="460" w:lineRule="exact"/>
      <w:jc w:val="center"/>
      <w:textAlignment w:val="bottom"/>
    </w:pPr>
    <w:rPr>
      <w:kern w:val="0"/>
      <w:sz w:val="21"/>
      <w:szCs w:val="20"/>
    </w:rPr>
  </w:style>
  <w:style w:type="character" w:customStyle="1" w:styleId="109">
    <w:name w:val="表内容 Char Char"/>
    <w:link w:val="110"/>
    <w:qFormat/>
    <w:uiPriority w:val="0"/>
    <w:rPr>
      <w:color w:val="000000"/>
      <w:kern w:val="2"/>
      <w:szCs w:val="22"/>
    </w:rPr>
  </w:style>
  <w:style w:type="paragraph" w:customStyle="1" w:styleId="110">
    <w:name w:val="表内容"/>
    <w:basedOn w:val="1"/>
    <w:link w:val="109"/>
    <w:qFormat/>
    <w:uiPriority w:val="0"/>
    <w:pPr>
      <w:spacing w:line="260" w:lineRule="exact"/>
      <w:ind w:firstLine="0" w:firstLineChars="0"/>
      <w:jc w:val="center"/>
    </w:pPr>
    <w:rPr>
      <w:color w:val="000000"/>
      <w:sz w:val="20"/>
      <w:szCs w:val="22"/>
    </w:rPr>
  </w:style>
  <w:style w:type="character" w:customStyle="1" w:styleId="111">
    <w:name w:val="题注 Char Char"/>
    <w:uiPriority w:val="0"/>
    <w:rPr>
      <w:rFonts w:ascii="Arial" w:hAnsi="Arial" w:eastAsia="黑体" w:cs="Arial"/>
      <w:kern w:val="2"/>
    </w:rPr>
  </w:style>
  <w:style w:type="character" w:customStyle="1" w:styleId="112">
    <w:name w:val="1.1.1.1 Char Char"/>
    <w:link w:val="113"/>
    <w:uiPriority w:val="0"/>
    <w:rPr>
      <w:rFonts w:eastAsia="黑体"/>
      <w:b/>
      <w:bCs/>
      <w:kern w:val="2"/>
      <w:sz w:val="24"/>
      <w:szCs w:val="28"/>
    </w:rPr>
  </w:style>
  <w:style w:type="paragraph" w:customStyle="1" w:styleId="113">
    <w:name w:val="1.1.1.1"/>
    <w:basedOn w:val="9"/>
    <w:link w:val="112"/>
    <w:uiPriority w:val="0"/>
    <w:pPr>
      <w:numPr>
        <w:ilvl w:val="3"/>
        <w:numId w:val="1"/>
      </w:numPr>
      <w:ind w:firstLine="567"/>
    </w:pPr>
    <w:rPr>
      <w:rFonts w:eastAsia="黑体"/>
      <w:b/>
    </w:rPr>
  </w:style>
  <w:style w:type="character" w:customStyle="1" w:styleId="114">
    <w:name w:val="明显引用 字符"/>
    <w:link w:val="115"/>
    <w:uiPriority w:val="99"/>
    <w:rPr>
      <w:rFonts w:ascii="Arial Unicode MS" w:hAnsi="Arial Unicode MS"/>
      <w:b/>
      <w:bCs/>
      <w:i/>
      <w:iCs/>
      <w:color w:val="4F81BD"/>
      <w:kern w:val="2"/>
      <w:sz w:val="24"/>
      <w:szCs w:val="24"/>
    </w:rPr>
  </w:style>
  <w:style w:type="paragraph" w:styleId="115">
    <w:name w:val="Intense Quote"/>
    <w:basedOn w:val="1"/>
    <w:next w:val="1"/>
    <w:link w:val="114"/>
    <w:qFormat/>
    <w:uiPriority w:val="99"/>
    <w:pPr>
      <w:pBdr>
        <w:bottom w:val="single" w:color="4F81BD" w:sz="4" w:space="4"/>
      </w:pBdr>
      <w:spacing w:before="200" w:beforeLines="0" w:after="280" w:afterLines="0" w:line="460" w:lineRule="exact"/>
      <w:ind w:left="936" w:right="936"/>
    </w:pPr>
    <w:rPr>
      <w:rFonts w:ascii="Arial Unicode MS" w:hAnsi="Arial Unicode MS"/>
      <w:b/>
      <w:bCs/>
      <w:i/>
      <w:iCs/>
      <w:color w:val="4F81BD"/>
    </w:rPr>
  </w:style>
  <w:style w:type="character" w:customStyle="1" w:styleId="116">
    <w:name w:val="表格标题 Char Char"/>
    <w:link w:val="117"/>
    <w:uiPriority w:val="0"/>
    <w:rPr>
      <w:rFonts w:ascii="黑体" w:hAnsi="黑体" w:eastAsia="黑体" w:cs="黑体"/>
      <w:b/>
      <w:bCs/>
      <w:kern w:val="2"/>
      <w:sz w:val="21"/>
      <w:szCs w:val="21"/>
    </w:rPr>
  </w:style>
  <w:style w:type="paragraph" w:customStyle="1" w:styleId="117">
    <w:name w:val="表格标题"/>
    <w:basedOn w:val="1"/>
    <w:link w:val="116"/>
    <w:uiPriority w:val="0"/>
    <w:pPr>
      <w:spacing w:line="440" w:lineRule="exact"/>
      <w:ind w:firstLine="422"/>
      <w:jc w:val="center"/>
    </w:pPr>
    <w:rPr>
      <w:rFonts w:ascii="黑体" w:hAnsi="黑体" w:eastAsia="黑体"/>
      <w:b/>
      <w:bCs/>
      <w:sz w:val="21"/>
      <w:szCs w:val="21"/>
    </w:rPr>
  </w:style>
  <w:style w:type="character" w:customStyle="1" w:styleId="118">
    <w:name w:val="font31"/>
    <w:uiPriority w:val="0"/>
    <w:rPr>
      <w:rFonts w:hint="default" w:ascii="Times New Roman" w:hAnsi="Times New Roman" w:cs="Times New Roman"/>
      <w:color w:val="000000"/>
      <w:sz w:val="20"/>
      <w:szCs w:val="20"/>
      <w:u w:val="none"/>
    </w:rPr>
  </w:style>
  <w:style w:type="character" w:customStyle="1" w:styleId="119">
    <w:name w:val="apple-converted-space"/>
    <w:uiPriority w:val="0"/>
  </w:style>
  <w:style w:type="character" w:styleId="120">
    <w:name w:val=""/>
    <w:qFormat/>
    <w:uiPriority w:val="33"/>
    <w:rPr>
      <w:b/>
      <w:bCs/>
      <w:smallCaps/>
      <w:spacing w:val="5"/>
    </w:rPr>
  </w:style>
  <w:style w:type="character" w:customStyle="1" w:styleId="121">
    <w:name w:val="ask-title2"/>
    <w:uiPriority w:val="0"/>
  </w:style>
  <w:style w:type="character" w:customStyle="1" w:styleId="122">
    <w:name w:val="font61"/>
    <w:uiPriority w:val="0"/>
    <w:rPr>
      <w:rFonts w:hint="default" w:ascii="Times New Roman" w:hAnsi="Times New Roman" w:cs="Times New Roman"/>
      <w:color w:val="0000FF"/>
      <w:sz w:val="20"/>
      <w:szCs w:val="20"/>
      <w:u w:val="none"/>
    </w:rPr>
  </w:style>
  <w:style w:type="character" w:customStyle="1" w:styleId="123">
    <w:name w:val="环评正文 Char"/>
    <w:link w:val="124"/>
    <w:uiPriority w:val="0"/>
    <w:rPr>
      <w:rFonts w:ascii="宋体" w:eastAsia="仿宋_GB2312"/>
      <w:kern w:val="44"/>
      <w:sz w:val="24"/>
    </w:rPr>
  </w:style>
  <w:style w:type="paragraph" w:customStyle="1" w:styleId="124">
    <w:name w:val="环评正文"/>
    <w:basedOn w:val="6"/>
    <w:link w:val="123"/>
    <w:uiPriority w:val="0"/>
    <w:pPr>
      <w:keepNext w:val="0"/>
      <w:keepLines w:val="0"/>
      <w:widowControl/>
      <w:numPr>
        <w:ilvl w:val="0"/>
        <w:numId w:val="0"/>
      </w:numPr>
      <w:spacing w:before="0" w:beforeLines="100" w:after="0" w:afterLines="50" w:line="400" w:lineRule="exact"/>
      <w:ind w:firstLine="480"/>
      <w:jc w:val="left"/>
      <w:outlineLvl w:val="9"/>
    </w:pPr>
    <w:rPr>
      <w:rFonts w:ascii="宋体" w:eastAsia="仿宋_GB2312"/>
      <w:b w:val="0"/>
      <w:bCs w:val="0"/>
      <w:sz w:val="24"/>
      <w:szCs w:val="20"/>
    </w:rPr>
  </w:style>
  <w:style w:type="character" w:customStyle="1" w:styleId="125">
    <w:name w:val="标题 8 Char Char"/>
    <w:uiPriority w:val="0"/>
    <w:rPr>
      <w:rFonts w:ascii="Arial" w:hAnsi="Arial" w:eastAsia="黑体"/>
      <w:sz w:val="24"/>
    </w:rPr>
  </w:style>
  <w:style w:type="character" w:customStyle="1" w:styleId="126">
    <w:name w:val="publishtime"/>
    <w:uiPriority w:val="0"/>
  </w:style>
  <w:style w:type="character" w:customStyle="1" w:styleId="127">
    <w:name w:val="访问过的超链接1"/>
    <w:uiPriority w:val="0"/>
    <w:rPr>
      <w:color w:val="800080"/>
      <w:u w:val="single"/>
    </w:rPr>
  </w:style>
  <w:style w:type="character" w:customStyle="1" w:styleId="128">
    <w:name w:val="title-text"/>
    <w:uiPriority w:val="0"/>
  </w:style>
  <w:style w:type="character" w:customStyle="1" w:styleId="129">
    <w:name w:val="font101"/>
    <w:uiPriority w:val="0"/>
    <w:rPr>
      <w:rFonts w:hint="default" w:ascii="Times New Roman" w:hAnsi="Times New Roman" w:cs="Times New Roman"/>
      <w:color w:val="000000"/>
      <w:sz w:val="20"/>
      <w:szCs w:val="20"/>
      <w:u w:val="none"/>
    </w:rPr>
  </w:style>
  <w:style w:type="character" w:customStyle="1" w:styleId="130">
    <w:name w:val="fontstyle31"/>
    <w:uiPriority w:val="0"/>
    <w:rPr>
      <w:rFonts w:hint="default" w:ascii="SymbolMT" w:hAnsi="SymbolMT"/>
      <w:color w:val="000000"/>
      <w:sz w:val="24"/>
      <w:szCs w:val="24"/>
    </w:rPr>
  </w:style>
  <w:style w:type="character" w:customStyle="1" w:styleId="131">
    <w:name w:val="报告表正文 Char"/>
    <w:qFormat/>
    <w:uiPriority w:val="0"/>
    <w:rPr>
      <w:rFonts w:ascii="宋体" w:hAnsi="宋体" w:cs="宋体"/>
      <w:sz w:val="24"/>
      <w:szCs w:val="24"/>
    </w:rPr>
  </w:style>
  <w:style w:type="character" w:customStyle="1" w:styleId="132">
    <w:name w:val="标题 1 Char Char"/>
    <w:uiPriority w:val="9"/>
    <w:rPr>
      <w:rFonts w:ascii="Arial Unicode MS" w:hAnsi="Arial Unicode MS"/>
      <w:b/>
      <w:bCs/>
      <w:kern w:val="44"/>
      <w:sz w:val="32"/>
      <w:szCs w:val="44"/>
    </w:rPr>
  </w:style>
  <w:style w:type="character" w:customStyle="1" w:styleId="133">
    <w:name w:val="列表段落 字符"/>
    <w:link w:val="134"/>
    <w:uiPriority w:val="0"/>
    <w:rPr>
      <w:kern w:val="2"/>
      <w:sz w:val="21"/>
      <w:szCs w:val="22"/>
    </w:rPr>
  </w:style>
  <w:style w:type="paragraph" w:styleId="134">
    <w:name w:val="List Paragraph"/>
    <w:basedOn w:val="1"/>
    <w:link w:val="133"/>
    <w:qFormat/>
    <w:uiPriority w:val="0"/>
    <w:pPr>
      <w:spacing w:line="240" w:lineRule="auto"/>
      <w:ind w:firstLine="420"/>
    </w:pPr>
    <w:rPr>
      <w:rFonts w:ascii="Calibri" w:hAnsi="Calibri"/>
      <w:sz w:val="21"/>
      <w:szCs w:val="22"/>
    </w:rPr>
  </w:style>
  <w:style w:type="character" w:customStyle="1" w:styleId="135">
    <w:name w:val="标题 4 Char Char"/>
    <w:uiPriority w:val="9"/>
    <w:rPr>
      <w:rFonts w:ascii="Arial Unicode MS" w:hAnsi="Arial Unicode MS"/>
      <w:b/>
      <w:bCs/>
      <w:kern w:val="2"/>
      <w:sz w:val="24"/>
      <w:szCs w:val="28"/>
    </w:rPr>
  </w:style>
  <w:style w:type="character" w:customStyle="1" w:styleId="136">
    <w:name w:val="wz51"/>
    <w:uiPriority w:val="0"/>
    <w:rPr>
      <w:rFonts w:hint="eastAsia" w:ascii="宋体" w:hAnsi="宋体" w:eastAsia="宋体"/>
      <w:color w:val="000066"/>
      <w:sz w:val="21"/>
      <w:szCs w:val="21"/>
    </w:rPr>
  </w:style>
  <w:style w:type="character" w:customStyle="1" w:styleId="137">
    <w:name w:val="标题 9 Char Char"/>
    <w:uiPriority w:val="0"/>
    <w:rPr>
      <w:rFonts w:ascii="Arial" w:hAnsi="Arial" w:eastAsia="黑体"/>
      <w:sz w:val="21"/>
    </w:rPr>
  </w:style>
  <w:style w:type="character" w:customStyle="1" w:styleId="138">
    <w:name w:val="标题 2 Char Char"/>
    <w:uiPriority w:val="9"/>
    <w:rPr>
      <w:rFonts w:ascii="Cambria" w:hAnsi="Cambria"/>
      <w:b/>
      <w:bCs/>
      <w:kern w:val="2"/>
      <w:sz w:val="28"/>
      <w:szCs w:val="32"/>
    </w:rPr>
  </w:style>
  <w:style w:type="character" w:customStyle="1" w:styleId="139">
    <w:name w:val="标题1"/>
    <w:uiPriority w:val="99"/>
    <w:rPr>
      <w:rFonts w:cs="Times New Roman"/>
    </w:rPr>
  </w:style>
  <w:style w:type="character" w:customStyle="1" w:styleId="140">
    <w:name w:val="bititle"/>
    <w:uiPriority w:val="0"/>
  </w:style>
  <w:style w:type="character" w:customStyle="1" w:styleId="141">
    <w:name w:val="样式 表（或图）标题 样式 宋体 五号 居中 SL CON + 非加粗 Char Char"/>
    <w:link w:val="142"/>
    <w:uiPriority w:val="0"/>
    <w:rPr>
      <w:rFonts w:ascii="宋体" w:hAnsi="宋体" w:cs="宋体"/>
      <w:b/>
      <w:sz w:val="21"/>
    </w:rPr>
  </w:style>
  <w:style w:type="paragraph" w:customStyle="1" w:styleId="142">
    <w:name w:val="样式 表（或图）标题 样式 宋体 五号 居中 SL CON + 非加粗"/>
    <w:basedOn w:val="1"/>
    <w:link w:val="141"/>
    <w:uiPriority w:val="0"/>
    <w:pPr>
      <w:widowControl/>
      <w:tabs>
        <w:tab w:val="left" w:pos="377"/>
      </w:tabs>
      <w:spacing w:line="240" w:lineRule="auto"/>
      <w:ind w:firstLine="0" w:firstLineChars="0"/>
      <w:jc w:val="center"/>
    </w:pPr>
    <w:rPr>
      <w:rFonts w:ascii="宋体" w:hAnsi="宋体" w:cs="宋体"/>
      <w:b/>
      <w:kern w:val="0"/>
      <w:sz w:val="21"/>
      <w:szCs w:val="20"/>
    </w:rPr>
  </w:style>
  <w:style w:type="character" w:customStyle="1" w:styleId="143">
    <w:name w:val="big21"/>
    <w:uiPriority w:val="0"/>
    <w:rPr>
      <w:sz w:val="21"/>
      <w:szCs w:val="21"/>
    </w:rPr>
  </w:style>
  <w:style w:type="character" w:customStyle="1" w:styleId="144">
    <w:name w:val="样式 粉红"/>
    <w:uiPriority w:val="0"/>
    <w:rPr>
      <w:color w:val="0066FF"/>
    </w:rPr>
  </w:style>
  <w:style w:type="character" w:customStyle="1" w:styleId="145">
    <w:name w:val="正文文本缩进 Char1"/>
    <w:semiHidden/>
    <w:uiPriority w:val="99"/>
    <w:rPr>
      <w:rFonts w:ascii="Arial Unicode MS" w:hAnsi="Arial Unicode MS"/>
      <w:kern w:val="2"/>
      <w:sz w:val="24"/>
      <w:szCs w:val="24"/>
    </w:rPr>
  </w:style>
  <w:style w:type="character" w:customStyle="1" w:styleId="146">
    <w:name w:val="引用 Char2"/>
    <w:uiPriority w:val="29"/>
    <w:rPr>
      <w:rFonts w:ascii="Arial Unicode MS" w:hAnsi="Arial Unicode MS"/>
      <w:i/>
      <w:iCs/>
      <w:color w:val="000000"/>
      <w:kern w:val="2"/>
      <w:sz w:val="24"/>
      <w:szCs w:val="24"/>
    </w:rPr>
  </w:style>
  <w:style w:type="character" w:customStyle="1" w:styleId="147">
    <w:name w:val="副标题 字符"/>
    <w:uiPriority w:val="11"/>
    <w:rPr>
      <w:rFonts w:ascii="等线 Light" w:hAnsi="等线 Light" w:cs="Times New Roman"/>
      <w:b/>
      <w:bCs/>
      <w:kern w:val="28"/>
      <w:sz w:val="32"/>
      <w:szCs w:val="32"/>
    </w:rPr>
  </w:style>
  <w:style w:type="character" w:customStyle="1" w:styleId="148">
    <w:name w:val="表头行H Char"/>
    <w:link w:val="149"/>
    <w:uiPriority w:val="0"/>
    <w:rPr>
      <w:b/>
      <w:kern w:val="2"/>
      <w:sz w:val="21"/>
      <w:szCs w:val="21"/>
    </w:rPr>
  </w:style>
  <w:style w:type="paragraph" w:customStyle="1" w:styleId="149">
    <w:name w:val="表头行H"/>
    <w:basedOn w:val="1"/>
    <w:link w:val="148"/>
    <w:qFormat/>
    <w:uiPriority w:val="0"/>
    <w:pPr>
      <w:spacing w:line="240" w:lineRule="auto"/>
      <w:ind w:firstLine="0" w:firstLineChars="0"/>
      <w:jc w:val="center"/>
    </w:pPr>
    <w:rPr>
      <w:b/>
      <w:sz w:val="21"/>
      <w:szCs w:val="21"/>
    </w:rPr>
  </w:style>
  <w:style w:type="character" w:customStyle="1" w:styleId="150">
    <w:name w:val="批注主题 Char Char"/>
    <w:semiHidden/>
    <w:uiPriority w:val="0"/>
    <w:rPr>
      <w:rFonts w:ascii="Arial Unicode MS" w:hAnsi="Arial Unicode MS"/>
      <w:b/>
      <w:bCs/>
      <w:kern w:val="2"/>
      <w:sz w:val="24"/>
      <w:szCs w:val="24"/>
    </w:rPr>
  </w:style>
  <w:style w:type="character" w:customStyle="1" w:styleId="151">
    <w:name w:val="font81"/>
    <w:uiPriority w:val="0"/>
    <w:rPr>
      <w:rFonts w:hint="default" w:ascii="Times New Roman" w:hAnsi="Times New Roman" w:cs="Times New Roman"/>
      <w:color w:val="000000"/>
      <w:sz w:val="20"/>
      <w:szCs w:val="20"/>
      <w:u w:val="none"/>
    </w:rPr>
  </w:style>
  <w:style w:type="character" w:customStyle="1" w:styleId="152">
    <w:name w:val="15"/>
    <w:uiPriority w:val="0"/>
    <w:rPr>
      <w:rFonts w:hint="default" w:ascii="Arial Unicode MS" w:hAnsi="Arial Unicode MS"/>
      <w:b/>
      <w:bCs/>
      <w:kern w:val="44"/>
      <w:sz w:val="32"/>
      <w:szCs w:val="32"/>
    </w:rPr>
  </w:style>
  <w:style w:type="character" w:customStyle="1" w:styleId="153">
    <w:name w:val="font41"/>
    <w:uiPriority w:val="0"/>
    <w:rPr>
      <w:rFonts w:hint="default" w:ascii="Times New Roman" w:hAnsi="Times New Roman" w:cs="Times New Roman"/>
      <w:b/>
      <w:bCs/>
      <w:color w:val="000000"/>
      <w:sz w:val="20"/>
      <w:szCs w:val="20"/>
      <w:u w:val="none"/>
    </w:rPr>
  </w:style>
  <w:style w:type="character" w:customStyle="1" w:styleId="154">
    <w:name w:val="HTML 预设格式 Char Char"/>
    <w:uiPriority w:val="99"/>
    <w:rPr>
      <w:rFonts w:ascii="Courier New" w:hAnsi="Courier New" w:cs="Courier New"/>
      <w:kern w:val="2"/>
    </w:rPr>
  </w:style>
  <w:style w:type="character" w:customStyle="1" w:styleId="155">
    <w:name w:val="正文文本 2 Char Char"/>
    <w:uiPriority w:val="0"/>
    <w:rPr>
      <w:rFonts w:ascii="Arial Unicode MS" w:hAnsi="Arial Unicode MS" w:eastAsia="楷体_GB2312"/>
      <w:kern w:val="2"/>
      <w:sz w:val="24"/>
      <w:szCs w:val="24"/>
    </w:rPr>
  </w:style>
  <w:style w:type="character" w:customStyle="1" w:styleId="156">
    <w:name w:val="headline-1-index"/>
    <w:uiPriority w:val="0"/>
  </w:style>
  <w:style w:type="character" w:customStyle="1" w:styleId="157">
    <w:name w:val="headline-content"/>
    <w:uiPriority w:val="0"/>
  </w:style>
  <w:style w:type="character" w:customStyle="1" w:styleId="158">
    <w:name w:val="font111"/>
    <w:uiPriority w:val="0"/>
    <w:rPr>
      <w:rFonts w:hint="eastAsia" w:ascii="宋体" w:hAnsi="宋体" w:eastAsia="宋体"/>
      <w:color w:val="000000"/>
      <w:sz w:val="20"/>
      <w:szCs w:val="20"/>
      <w:u w:val="none"/>
    </w:rPr>
  </w:style>
  <w:style w:type="character" w:customStyle="1" w:styleId="159">
    <w:name w:val="font51"/>
    <w:uiPriority w:val="0"/>
    <w:rPr>
      <w:rFonts w:hint="eastAsia" w:ascii="宋体" w:hAnsi="宋体" w:eastAsia="宋体"/>
      <w:b/>
      <w:bCs/>
      <w:color w:val="000000"/>
      <w:sz w:val="20"/>
      <w:szCs w:val="20"/>
      <w:u w:val="none"/>
    </w:rPr>
  </w:style>
  <w:style w:type="character" w:customStyle="1" w:styleId="160">
    <w:name w:val="标题2 Char Char"/>
    <w:link w:val="161"/>
    <w:uiPriority w:val="0"/>
    <w:rPr>
      <w:rFonts w:ascii="Cambria" w:hAnsi="Cambria" w:cs="Cambria"/>
      <w:b/>
      <w:bCs/>
      <w:kern w:val="2"/>
      <w:sz w:val="32"/>
      <w:szCs w:val="32"/>
    </w:rPr>
  </w:style>
  <w:style w:type="paragraph" w:customStyle="1" w:styleId="161">
    <w:name w:val="标题2"/>
    <w:basedOn w:val="7"/>
    <w:next w:val="1"/>
    <w:link w:val="160"/>
    <w:uiPriority w:val="0"/>
    <w:pPr>
      <w:numPr>
        <w:ilvl w:val="1"/>
        <w:numId w:val="0"/>
      </w:numPr>
      <w:spacing w:before="156" w:beforeLines="50" w:after="156" w:afterLines="50" w:line="360" w:lineRule="auto"/>
    </w:pPr>
    <w:rPr>
      <w:sz w:val="32"/>
    </w:rPr>
  </w:style>
  <w:style w:type="character" w:customStyle="1" w:styleId="162">
    <w:name w:val="批注框文本 Char Char"/>
    <w:uiPriority w:val="99"/>
    <w:rPr>
      <w:rFonts w:ascii="Arial Unicode MS" w:hAnsi="Arial Unicode MS"/>
      <w:kern w:val="2"/>
      <w:sz w:val="18"/>
      <w:szCs w:val="18"/>
    </w:rPr>
  </w:style>
  <w:style w:type="character" w:customStyle="1" w:styleId="163">
    <w:name w:val="正文文本缩进 Char Char"/>
    <w:uiPriority w:val="99"/>
    <w:rPr>
      <w:rFonts w:ascii="Arial Unicode MS" w:hAnsi="Arial Unicode MS"/>
      <w:kern w:val="2"/>
      <w:sz w:val="24"/>
      <w:szCs w:val="28"/>
    </w:rPr>
  </w:style>
  <w:style w:type="character" w:customStyle="1" w:styleId="164">
    <w:name w:val="表格 Char Char"/>
    <w:uiPriority w:val="0"/>
    <w:rPr>
      <w:rFonts w:ascii="宋体"/>
      <w:spacing w:val="10"/>
      <w:sz w:val="24"/>
    </w:rPr>
  </w:style>
  <w:style w:type="character" w:customStyle="1" w:styleId="165">
    <w:name w:val="图件标题 Char Char"/>
    <w:link w:val="166"/>
    <w:uiPriority w:val="0"/>
    <w:rPr>
      <w:rFonts w:ascii="Tahoma" w:hAnsi="Tahoma"/>
      <w:b/>
      <w:kern w:val="2"/>
      <w:sz w:val="21"/>
      <w:szCs w:val="24"/>
    </w:rPr>
  </w:style>
  <w:style w:type="paragraph" w:customStyle="1" w:styleId="166">
    <w:name w:val="图件标题"/>
    <w:basedOn w:val="1"/>
    <w:link w:val="165"/>
    <w:qFormat/>
    <w:uiPriority w:val="0"/>
    <w:pPr>
      <w:spacing w:before="156" w:beforeLines="50" w:line="240" w:lineRule="exact"/>
      <w:ind w:firstLine="0" w:firstLineChars="0"/>
      <w:jc w:val="center"/>
    </w:pPr>
    <w:rPr>
      <w:b/>
      <w:sz w:val="21"/>
    </w:rPr>
  </w:style>
  <w:style w:type="character" w:customStyle="1" w:styleId="167">
    <w:name w:val="正文缩进 Char"/>
    <w:uiPriority w:val="0"/>
    <w:rPr>
      <w:rFonts w:ascii="Arial Unicode MS" w:hAnsi="Arial Unicode MS"/>
      <w:kern w:val="2"/>
      <w:sz w:val="24"/>
    </w:rPr>
  </w:style>
  <w:style w:type="character" w:customStyle="1" w:styleId="168">
    <w:name w:val="表头 Char Char"/>
    <w:link w:val="169"/>
    <w:uiPriority w:val="0"/>
    <w:rPr>
      <w:rFonts w:ascii="Arial Unicode MS" w:hAnsi="Arial Unicode MS"/>
      <w:b/>
      <w:kern w:val="2"/>
      <w:szCs w:val="24"/>
    </w:rPr>
  </w:style>
  <w:style w:type="paragraph" w:customStyle="1" w:styleId="169">
    <w:name w:val="表头"/>
    <w:basedOn w:val="170"/>
    <w:next w:val="1"/>
    <w:link w:val="168"/>
    <w:qFormat/>
    <w:uiPriority w:val="0"/>
    <w:pPr>
      <w:spacing w:line="240" w:lineRule="auto"/>
      <w:ind w:firstLine="0" w:firstLineChars="0"/>
      <w:jc w:val="center"/>
    </w:pPr>
    <w:rPr>
      <w:rFonts w:ascii="Arial Unicode MS" w:hAnsi="Arial Unicode MS"/>
      <w:b/>
      <w:sz w:val="20"/>
    </w:rPr>
  </w:style>
  <w:style w:type="paragraph" w:customStyle="1" w:styleId="170">
    <w:name w:val="小正文"/>
    <w:basedOn w:val="25"/>
    <w:next w:val="25"/>
    <w:qFormat/>
    <w:uiPriority w:val="0"/>
    <w:pPr>
      <w:spacing w:line="360" w:lineRule="auto"/>
      <w:ind w:firstLine="420" w:firstLineChars="200"/>
    </w:pPr>
    <w:rPr>
      <w:rFonts w:ascii="Times New Roman" w:hAnsi="Times New Roman"/>
    </w:rPr>
  </w:style>
  <w:style w:type="character" w:customStyle="1" w:styleId="171">
    <w:name w:val="文档结构图 Char1"/>
    <w:semiHidden/>
    <w:uiPriority w:val="99"/>
    <w:rPr>
      <w:rFonts w:ascii="宋体" w:hAnsi="Arial Unicode MS"/>
      <w:kern w:val="2"/>
      <w:sz w:val="18"/>
      <w:szCs w:val="18"/>
    </w:rPr>
  </w:style>
  <w:style w:type="character" w:customStyle="1" w:styleId="172">
    <w:name w:val="常用表格样式 Char1"/>
    <w:link w:val="173"/>
    <w:uiPriority w:val="0"/>
    <w:rPr>
      <w:rFonts w:ascii="宋体" w:hAnsi="新宋体" w:eastAsia="仿宋_GB2312"/>
      <w:spacing w:val="2"/>
      <w:sz w:val="18"/>
      <w:szCs w:val="24"/>
    </w:rPr>
  </w:style>
  <w:style w:type="paragraph" w:customStyle="1" w:styleId="173">
    <w:name w:val="常用表格样式"/>
    <w:basedOn w:val="1"/>
    <w:next w:val="1"/>
    <w:link w:val="172"/>
    <w:uiPriority w:val="0"/>
    <w:pPr>
      <w:spacing w:line="240" w:lineRule="auto"/>
      <w:ind w:firstLine="0" w:firstLineChars="0"/>
      <w:jc w:val="center"/>
    </w:pPr>
    <w:rPr>
      <w:rFonts w:ascii="宋体" w:hAnsi="新宋体" w:eastAsia="仿宋_GB2312"/>
      <w:spacing w:val="2"/>
      <w:kern w:val="0"/>
      <w:sz w:val="18"/>
    </w:rPr>
  </w:style>
  <w:style w:type="character" w:customStyle="1" w:styleId="174">
    <w:name w:val="纯文本 Char2"/>
    <w:uiPriority w:val="0"/>
    <w:rPr>
      <w:rFonts w:ascii="宋体" w:hAnsi="Courier New" w:cs="Courier New"/>
      <w:kern w:val="2"/>
      <w:sz w:val="21"/>
      <w:szCs w:val="21"/>
    </w:rPr>
  </w:style>
  <w:style w:type="character" w:customStyle="1" w:styleId="175">
    <w:name w:val="纯文本 Char"/>
    <w:aliases w:val="普通文字 Char2,孙普文字 Char1,标题4 Char2,首行缩进 Char1,正文缩进 Char Char Char Char Char Char1,正文缩进 Char Char Char Char2,正文（首行缩进两字）＋行距：1.5倍行距 Char1,正文缩进1 Char1,qi正文 Char1,表格 Char Char Char1,普通文字 Char Char Char Char Char1,纯文本 Char Char Char Char"/>
    <w:qFormat/>
    <w:uiPriority w:val="99"/>
    <w:rPr>
      <w:rFonts w:ascii="宋体" w:hAnsi="Courier New" w:eastAsia="宋体"/>
      <w:kern w:val="2"/>
      <w:sz w:val="21"/>
      <w:lang w:val="en-US" w:eastAsia="zh-CN" w:bidi="ar-SA"/>
    </w:rPr>
  </w:style>
  <w:style w:type="character" w:customStyle="1" w:styleId="176">
    <w:name w:val="无间隔 Char Char"/>
    <w:uiPriority w:val="1"/>
    <w:rPr>
      <w:b/>
      <w:kern w:val="2"/>
      <w:sz w:val="21"/>
      <w:szCs w:val="24"/>
    </w:rPr>
  </w:style>
  <w:style w:type="character" w:customStyle="1" w:styleId="177">
    <w:name w:val="文档结构图 Char Char"/>
    <w:uiPriority w:val="99"/>
    <w:rPr>
      <w:rFonts w:ascii="宋体"/>
      <w:kern w:val="2"/>
      <w:sz w:val="18"/>
      <w:szCs w:val="18"/>
    </w:rPr>
  </w:style>
  <w:style w:type="character" w:customStyle="1" w:styleId="178">
    <w:name w:val="fontstyle01"/>
    <w:uiPriority w:val="0"/>
    <w:rPr>
      <w:rFonts w:hint="eastAsia" w:ascii="宋体" w:hAnsi="宋体" w:eastAsia="宋体"/>
      <w:color w:val="000000"/>
      <w:sz w:val="24"/>
      <w:szCs w:val="24"/>
    </w:rPr>
  </w:style>
  <w:style w:type="character" w:customStyle="1" w:styleId="179">
    <w:name w:val="明显引用 Char1"/>
    <w:uiPriority w:val="30"/>
    <w:rPr>
      <w:rFonts w:ascii="Arial Unicode MS" w:hAnsi="Arial Unicode MS"/>
      <w:b/>
      <w:bCs/>
      <w:i/>
      <w:iCs/>
      <w:color w:val="4F81BD"/>
      <w:kern w:val="2"/>
      <w:sz w:val="24"/>
      <w:szCs w:val="24"/>
    </w:rPr>
  </w:style>
  <w:style w:type="character" w:customStyle="1" w:styleId="180">
    <w:name w:val="副标题 Char Char"/>
    <w:uiPriority w:val="0"/>
    <w:rPr>
      <w:rFonts w:ascii="Calibri Light" w:hAnsi="Calibri Light"/>
      <w:b/>
      <w:bCs/>
      <w:kern w:val="28"/>
      <w:sz w:val="32"/>
      <w:szCs w:val="32"/>
    </w:rPr>
  </w:style>
  <w:style w:type="character" w:customStyle="1" w:styleId="181">
    <w:name w:val="1正文 Char Char"/>
    <w:link w:val="182"/>
    <w:uiPriority w:val="0"/>
    <w:rPr>
      <w:rFonts w:ascii="Times New Roman" w:hAnsi="Times New Roman" w:cs="宋体"/>
      <w:kern w:val="2"/>
      <w:sz w:val="24"/>
    </w:rPr>
  </w:style>
  <w:style w:type="paragraph" w:customStyle="1" w:styleId="182">
    <w:name w:val="1正文"/>
    <w:basedOn w:val="1"/>
    <w:link w:val="181"/>
    <w:qFormat/>
    <w:uiPriority w:val="0"/>
    <w:pPr>
      <w:spacing w:line="360" w:lineRule="auto"/>
    </w:pPr>
    <w:rPr>
      <w:rFonts w:ascii="Times New Roman" w:hAnsi="Times New Roman" w:cs="宋体"/>
      <w:szCs w:val="20"/>
    </w:rPr>
  </w:style>
  <w:style w:type="character" w:customStyle="1" w:styleId="183">
    <w:name w:val="无间隔 字符"/>
    <w:link w:val="184"/>
    <w:uiPriority w:val="1"/>
    <w:rPr>
      <w:rFonts w:ascii="Arial Unicode MS" w:hAnsi="Arial Unicode MS"/>
      <w:kern w:val="2"/>
      <w:sz w:val="24"/>
      <w:szCs w:val="24"/>
    </w:rPr>
  </w:style>
  <w:style w:type="paragraph" w:styleId="184">
    <w:name w:val="No Spacing"/>
    <w:link w:val="183"/>
    <w:qFormat/>
    <w:uiPriority w:val="1"/>
    <w:pPr>
      <w:widowControl w:val="0"/>
      <w:ind w:firstLine="200" w:firstLineChars="200"/>
      <w:jc w:val="both"/>
    </w:pPr>
    <w:rPr>
      <w:rFonts w:ascii="Arial Unicode MS" w:hAnsi="Arial Unicode MS"/>
      <w:kern w:val="2"/>
      <w:sz w:val="24"/>
      <w:szCs w:val="24"/>
      <w:lang w:val="en-US" w:eastAsia="zh-CN" w:bidi="ar-SA"/>
    </w:rPr>
  </w:style>
  <w:style w:type="character" w:customStyle="1" w:styleId="185">
    <w:name w:val="opt"/>
    <w:uiPriority w:val="0"/>
  </w:style>
  <w:style w:type="character" w:customStyle="1" w:styleId="186">
    <w:name w:val="引用 Char Char"/>
    <w:uiPriority w:val="29"/>
    <w:rPr>
      <w:iCs/>
      <w:color w:val="000000"/>
    </w:rPr>
  </w:style>
  <w:style w:type="character" w:customStyle="1" w:styleId="187">
    <w:name w:val="表号 Char"/>
    <w:link w:val="188"/>
    <w:uiPriority w:val="0"/>
    <w:rPr>
      <w:kern w:val="2"/>
      <w:sz w:val="24"/>
    </w:rPr>
  </w:style>
  <w:style w:type="paragraph" w:customStyle="1" w:styleId="188">
    <w:name w:val="表号"/>
    <w:basedOn w:val="1"/>
    <w:link w:val="187"/>
    <w:uiPriority w:val="0"/>
    <w:pPr>
      <w:widowControl/>
      <w:spacing w:line="240" w:lineRule="auto"/>
      <w:ind w:firstLine="200"/>
      <w:jc w:val="left"/>
      <w:outlineLvl w:val="5"/>
    </w:pPr>
    <w:rPr>
      <w:szCs w:val="20"/>
    </w:rPr>
  </w:style>
  <w:style w:type="character" w:customStyle="1" w:styleId="189">
    <w:name w:val="正文缩进 Char Char"/>
    <w:uiPriority w:val="0"/>
    <w:rPr>
      <w:rFonts w:ascii="Arial Unicode MS" w:hAnsi="Arial Unicode MS"/>
      <w:kern w:val="2"/>
      <w:sz w:val="24"/>
    </w:rPr>
  </w:style>
  <w:style w:type="character" w:customStyle="1" w:styleId="190">
    <w:name w:val="报告表正文 Char Char"/>
    <w:link w:val="191"/>
    <w:uiPriority w:val="0"/>
    <w:rPr>
      <w:sz w:val="24"/>
    </w:rPr>
  </w:style>
  <w:style w:type="paragraph" w:customStyle="1" w:styleId="191">
    <w:name w:val="报告表正文"/>
    <w:basedOn w:val="1"/>
    <w:link w:val="190"/>
    <w:qFormat/>
    <w:uiPriority w:val="0"/>
    <w:pPr>
      <w:adjustRightInd w:val="0"/>
      <w:spacing w:line="312" w:lineRule="auto"/>
      <w:ind w:left="113" w:right="113" w:firstLine="482"/>
      <w:textAlignment w:val="baseline"/>
    </w:pPr>
    <w:rPr>
      <w:rFonts w:ascii="Calibri" w:hAnsi="Calibri"/>
      <w:kern w:val="0"/>
      <w:szCs w:val="20"/>
    </w:rPr>
  </w:style>
  <w:style w:type="character" w:customStyle="1" w:styleId="192">
    <w:name w:val="表格内文字 Char Char"/>
    <w:link w:val="193"/>
    <w:uiPriority w:val="0"/>
    <w:rPr>
      <w:rFonts w:eastAsia="仿宋_GB2312"/>
      <w:kern w:val="2"/>
      <w:sz w:val="24"/>
      <w:szCs w:val="28"/>
    </w:rPr>
  </w:style>
  <w:style w:type="paragraph" w:customStyle="1" w:styleId="193">
    <w:name w:val="表格内文字"/>
    <w:basedOn w:val="1"/>
    <w:link w:val="192"/>
    <w:uiPriority w:val="0"/>
    <w:pPr>
      <w:tabs>
        <w:tab w:val="left" w:pos="0"/>
      </w:tabs>
      <w:adjustRightInd w:val="0"/>
      <w:snapToGrid w:val="0"/>
      <w:spacing w:line="240" w:lineRule="auto"/>
      <w:ind w:firstLine="0" w:firstLineChars="0"/>
      <w:jc w:val="center"/>
    </w:pPr>
    <w:rPr>
      <w:rFonts w:ascii="Calibri" w:hAnsi="Calibri" w:eastAsia="仿宋_GB2312"/>
      <w:szCs w:val="28"/>
    </w:rPr>
  </w:style>
  <w:style w:type="character" w:customStyle="1" w:styleId="194">
    <w:name w:val="text_edit"/>
    <w:uiPriority w:val="0"/>
  </w:style>
  <w:style w:type="character" w:customStyle="1" w:styleId="195">
    <w:name w:val="引用 字符"/>
    <w:link w:val="196"/>
    <w:uiPriority w:val="29"/>
    <w:rPr>
      <w:iCs/>
      <w:color w:val="000000"/>
    </w:rPr>
  </w:style>
  <w:style w:type="paragraph" w:styleId="196">
    <w:name w:val="Quote"/>
    <w:basedOn w:val="1"/>
    <w:next w:val="1"/>
    <w:link w:val="195"/>
    <w:qFormat/>
    <w:uiPriority w:val="29"/>
    <w:pPr>
      <w:spacing w:line="240" w:lineRule="auto"/>
      <w:ind w:firstLine="0" w:firstLineChars="0"/>
      <w:jc w:val="center"/>
    </w:pPr>
    <w:rPr>
      <w:rFonts w:ascii="Calibri" w:hAnsi="Calibri"/>
      <w:iCs/>
      <w:color w:val="000000"/>
      <w:kern w:val="0"/>
      <w:sz w:val="20"/>
      <w:szCs w:val="20"/>
    </w:rPr>
  </w:style>
  <w:style w:type="character" w:customStyle="1" w:styleId="197">
    <w:name w:val="页眉 字符"/>
    <w:uiPriority w:val="0"/>
    <w:rPr>
      <w:rFonts w:cs="黑体"/>
      <w:kern w:val="2"/>
      <w:sz w:val="18"/>
      <w:szCs w:val="18"/>
    </w:rPr>
  </w:style>
  <w:style w:type="character" w:customStyle="1" w:styleId="198">
    <w:name w:val="title6"/>
    <w:uiPriority w:val="0"/>
  </w:style>
  <w:style w:type="character" w:customStyle="1" w:styleId="199">
    <w:name w:val="纯文本 Char1"/>
    <w:uiPriority w:val="0"/>
    <w:rPr>
      <w:rFonts w:ascii="Times New Roman" w:hAnsi="Times New Roman"/>
      <w:kern w:val="2"/>
      <w:sz w:val="24"/>
      <w:lang w:val="en-US" w:eastAsia="zh-CN"/>
    </w:rPr>
  </w:style>
  <w:style w:type="character" w:customStyle="1" w:styleId="200">
    <w:name w:val="HTML 预设格式 Char1"/>
    <w:semiHidden/>
    <w:uiPriority w:val="99"/>
    <w:rPr>
      <w:rFonts w:ascii="Courier New" w:hAnsi="Courier New" w:cs="Courier New"/>
      <w:kern w:val="2"/>
    </w:rPr>
  </w:style>
  <w:style w:type="character" w:customStyle="1" w:styleId="201">
    <w:name w:val="纯文本 Char Char"/>
    <w:uiPriority w:val="99"/>
    <w:rPr>
      <w:rFonts w:ascii="宋体" w:hAnsi="Courier New" w:cs="Courier New"/>
      <w:kern w:val="2"/>
      <w:sz w:val="28"/>
      <w:szCs w:val="21"/>
    </w:rPr>
  </w:style>
  <w:style w:type="character" w:customStyle="1" w:styleId="202">
    <w:name w:val="明显引用 Char Char"/>
    <w:uiPriority w:val="99"/>
    <w:rPr>
      <w:rFonts w:ascii="Arial Unicode MS" w:hAnsi="Arial Unicode MS"/>
      <w:b/>
      <w:bCs/>
      <w:i/>
      <w:iCs/>
      <w:color w:val="4F81BD"/>
      <w:kern w:val="2"/>
      <w:sz w:val="24"/>
      <w:szCs w:val="24"/>
    </w:rPr>
  </w:style>
  <w:style w:type="character" w:styleId="203">
    <w:name w:val=""/>
    <w:qFormat/>
    <w:uiPriority w:val="0"/>
    <w:rPr>
      <w:smallCaps/>
      <w:color w:val="C0504D"/>
      <w:u w:val="single"/>
    </w:rPr>
  </w:style>
  <w:style w:type="character" w:customStyle="1" w:styleId="204">
    <w:name w:val="日期 Char Char"/>
    <w:uiPriority w:val="0"/>
    <w:rPr>
      <w:rFonts w:ascii="Arial Unicode MS" w:hAnsi="Arial Unicode MS"/>
      <w:spacing w:val="10"/>
      <w:kern w:val="2"/>
      <w:sz w:val="45"/>
    </w:rPr>
  </w:style>
  <w:style w:type="character" w:customStyle="1" w:styleId="205">
    <w:name w:val="表格内容 Char"/>
    <w:aliases w:val="正文文本1 Char,正文文字 Char1 Char,正文文字1 Char,正文文字 Char Char Char Char Char Char Char1 Char,正文文字 Char Char Char Char Char1 Char,正文文字 Char Char Char1 Char,正文文本1 Char1 Char,正文文本 Char1 Char Char,正文文本 Char Char1 Char Char,普通文字 Char1,孙普文字 Char,文字缩进 Char"/>
    <w:link w:val="206"/>
    <w:qFormat/>
    <w:uiPriority w:val="0"/>
    <w:rPr>
      <w:rFonts w:ascii="Times New Roman" w:hAnsi="Times New Roman"/>
      <w:bCs/>
      <w:kern w:val="2"/>
      <w:szCs w:val="24"/>
    </w:rPr>
  </w:style>
  <w:style w:type="paragraph" w:customStyle="1" w:styleId="206">
    <w:name w:val="表格内容"/>
    <w:basedOn w:val="1"/>
    <w:next w:val="1"/>
    <w:link w:val="205"/>
    <w:qFormat/>
    <w:uiPriority w:val="0"/>
    <w:pPr>
      <w:adjustRightInd w:val="0"/>
      <w:snapToGrid w:val="0"/>
      <w:spacing w:line="260" w:lineRule="exact"/>
      <w:ind w:firstLine="0" w:firstLineChars="0"/>
      <w:jc w:val="center"/>
    </w:pPr>
    <w:rPr>
      <w:rFonts w:ascii="Times New Roman" w:hAnsi="Times New Roman"/>
      <w:bCs/>
      <w:sz w:val="20"/>
    </w:rPr>
  </w:style>
  <w:style w:type="character" w:customStyle="1" w:styleId="207">
    <w:name w:val="标题 3 Char Char"/>
    <w:uiPriority w:val="9"/>
    <w:rPr>
      <w:rFonts w:ascii="Tahoma" w:hAnsi="Tahoma"/>
      <w:b/>
      <w:bCs/>
      <w:kern w:val="2"/>
      <w:sz w:val="24"/>
      <w:szCs w:val="32"/>
    </w:rPr>
  </w:style>
  <w:style w:type="character" w:customStyle="1" w:styleId="208">
    <w:name w:val="样式 样式 样式 样式 Arial 小四 行距: 1.5 倍行距 + 首行缩进:  2 字符 + 首行缩进:  2 字符 + 宋体 Char Char"/>
    <w:link w:val="209"/>
    <w:uiPriority w:val="0"/>
    <w:rPr>
      <w:rFonts w:ascii="Arial" w:hAnsi="Arial" w:cs="宋体"/>
      <w:kern w:val="2"/>
      <w:sz w:val="24"/>
      <w:szCs w:val="24"/>
    </w:rPr>
  </w:style>
  <w:style w:type="paragraph" w:customStyle="1" w:styleId="209">
    <w:name w:val="样式 样式 样式 样式 Arial 小四 行距: 1.5 倍行距 + 首行缩进:  2 字符 + 首行缩进:  2 字符 + 宋体"/>
    <w:basedOn w:val="1"/>
    <w:link w:val="208"/>
    <w:uiPriority w:val="0"/>
    <w:pPr>
      <w:spacing w:line="440" w:lineRule="exact"/>
    </w:pPr>
    <w:rPr>
      <w:rFonts w:ascii="Arial" w:hAnsi="Arial" w:cs="宋体"/>
    </w:rPr>
  </w:style>
  <w:style w:type="character" w:customStyle="1" w:styleId="210">
    <w:name w:val="样式 正文 首行缩进:  2 字符 SL CON + 首行缩进:  2 字符 Char Char"/>
    <w:link w:val="211"/>
    <w:uiPriority w:val="0"/>
    <w:rPr>
      <w:rFonts w:cs="宋体"/>
      <w:sz w:val="24"/>
    </w:rPr>
  </w:style>
  <w:style w:type="paragraph" w:customStyle="1" w:styleId="211">
    <w:name w:val="样式 正文 首行缩进:  2 字符 SL CON + 首行缩进:  2 字符"/>
    <w:basedOn w:val="1"/>
    <w:link w:val="210"/>
    <w:uiPriority w:val="0"/>
    <w:pPr>
      <w:widowControl/>
      <w:tabs>
        <w:tab w:val="left" w:pos="377"/>
      </w:tabs>
      <w:spacing w:line="360" w:lineRule="auto"/>
      <w:ind w:firstLine="480"/>
    </w:pPr>
    <w:rPr>
      <w:rFonts w:ascii="Calibri" w:hAnsi="Calibri" w:cs="宋体"/>
      <w:kern w:val="0"/>
      <w:szCs w:val="20"/>
    </w:rPr>
  </w:style>
  <w:style w:type="character" w:customStyle="1" w:styleId="212">
    <w:name w:val="font11"/>
    <w:uiPriority w:val="0"/>
    <w:rPr>
      <w:rFonts w:hint="eastAsia" w:ascii="宋体" w:hAnsi="宋体" w:eastAsia="宋体"/>
      <w:b/>
      <w:bCs/>
      <w:color w:val="000000"/>
      <w:sz w:val="20"/>
      <w:szCs w:val="20"/>
      <w:u w:val="none"/>
    </w:rPr>
  </w:style>
  <w:style w:type="character" w:customStyle="1" w:styleId="213">
    <w:name w:val="正文文本 Char Char"/>
    <w:uiPriority w:val="99"/>
    <w:rPr>
      <w:rFonts w:ascii="Arial Unicode MS" w:hAnsi="Arial Unicode MS"/>
      <w:kern w:val="2"/>
      <w:sz w:val="24"/>
      <w:szCs w:val="24"/>
    </w:rPr>
  </w:style>
  <w:style w:type="character" w:customStyle="1" w:styleId="214">
    <w:name w:val="书籍标题1"/>
    <w:uiPriority w:val="33"/>
    <w:rPr>
      <w:b/>
      <w:bCs/>
      <w:smallCaps/>
      <w:spacing w:val="5"/>
    </w:rPr>
  </w:style>
  <w:style w:type="character" w:customStyle="1" w:styleId="215">
    <w:name w:val="A-正文 Char"/>
    <w:link w:val="216"/>
    <w:uiPriority w:val="0"/>
    <w:rPr>
      <w:color w:val="00B050"/>
      <w:kern w:val="2"/>
      <w:sz w:val="24"/>
      <w:szCs w:val="24"/>
    </w:rPr>
  </w:style>
  <w:style w:type="paragraph" w:customStyle="1" w:styleId="216">
    <w:name w:val="A-正文"/>
    <w:basedOn w:val="1"/>
    <w:link w:val="215"/>
    <w:qFormat/>
    <w:uiPriority w:val="0"/>
    <w:pPr>
      <w:widowControl/>
      <w:adjustRightInd w:val="0"/>
      <w:snapToGrid w:val="0"/>
      <w:ind w:firstLine="480"/>
    </w:pPr>
    <w:rPr>
      <w:color w:val="00B050"/>
    </w:rPr>
  </w:style>
  <w:style w:type="character" w:customStyle="1" w:styleId="217">
    <w:name w:val="text1"/>
    <w:uiPriority w:val="0"/>
  </w:style>
  <w:style w:type="character" w:customStyle="1" w:styleId="218">
    <w:name w:val="引用 Char1"/>
    <w:uiPriority w:val="99"/>
    <w:rPr>
      <w:rFonts w:ascii="Arial Unicode MS" w:hAnsi="Arial Unicode MS"/>
      <w:i/>
      <w:iCs/>
      <w:color w:val="000000"/>
      <w:kern w:val="2"/>
      <w:sz w:val="24"/>
      <w:szCs w:val="24"/>
    </w:rPr>
  </w:style>
  <w:style w:type="character" w:customStyle="1" w:styleId="219">
    <w:name w:val="fontstyle21"/>
    <w:uiPriority w:val="0"/>
    <w:rPr>
      <w:rFonts w:hint="default" w:ascii="TimesNewRomanPSMT" w:hAnsi="TimesNewRomanPSMT"/>
      <w:color w:val="000000"/>
      <w:sz w:val="18"/>
      <w:szCs w:val="18"/>
    </w:rPr>
  </w:style>
  <w:style w:type="character" w:styleId="220">
    <w:name w:val="Placeholder Text"/>
    <w:semiHidden/>
    <w:uiPriority w:val="99"/>
    <w:rPr>
      <w:color w:val="808080"/>
    </w:rPr>
  </w:style>
  <w:style w:type="character" w:customStyle="1" w:styleId="221">
    <w:name w:val="德胜表格内容 Char Char"/>
    <w:link w:val="222"/>
    <w:uiPriority w:val="0"/>
    <w:rPr>
      <w:rFonts w:ascii="Times New Roman" w:hAnsi="Times New Roman"/>
      <w:snapToGrid/>
      <w:color w:val="0000FF"/>
      <w:sz w:val="21"/>
      <w:szCs w:val="21"/>
    </w:rPr>
  </w:style>
  <w:style w:type="paragraph" w:customStyle="1" w:styleId="222">
    <w:name w:val="德胜表格内容"/>
    <w:basedOn w:val="1"/>
    <w:link w:val="221"/>
    <w:uiPriority w:val="0"/>
    <w:pPr>
      <w:adjustRightInd w:val="0"/>
      <w:snapToGrid w:val="0"/>
      <w:spacing w:line="240" w:lineRule="auto"/>
      <w:ind w:firstLine="0" w:firstLineChars="0"/>
      <w:jc w:val="center"/>
    </w:pPr>
    <w:rPr>
      <w:rFonts w:ascii="Times New Roman" w:hAnsi="Times New Roman"/>
      <w:snapToGrid w:val="0"/>
      <w:color w:val="0000FF"/>
      <w:kern w:val="0"/>
      <w:sz w:val="21"/>
      <w:szCs w:val="21"/>
    </w:rPr>
  </w:style>
  <w:style w:type="character" w:customStyle="1" w:styleId="223">
    <w:name w:val="报告 Char Char"/>
    <w:link w:val="224"/>
    <w:uiPriority w:val="0"/>
    <w:rPr>
      <w:rFonts w:ascii="TimesNewRoman" w:hAnsi="TimesNewRoman"/>
      <w:sz w:val="24"/>
    </w:rPr>
  </w:style>
  <w:style w:type="paragraph" w:customStyle="1" w:styleId="224">
    <w:name w:val="报告"/>
    <w:basedOn w:val="1"/>
    <w:link w:val="223"/>
    <w:uiPriority w:val="0"/>
    <w:pPr>
      <w:adjustRightInd w:val="0"/>
      <w:spacing w:line="360" w:lineRule="auto"/>
      <w:ind w:firstLine="505" w:firstLineChars="0"/>
      <w:textAlignment w:val="center"/>
    </w:pPr>
    <w:rPr>
      <w:rFonts w:ascii="TimesNewRoman" w:hAnsi="TimesNewRoman"/>
      <w:kern w:val="0"/>
      <w:szCs w:val="20"/>
    </w:rPr>
  </w:style>
  <w:style w:type="character" w:customStyle="1" w:styleId="225">
    <w:name w:val="font01"/>
    <w:uiPriority w:val="0"/>
    <w:rPr>
      <w:rFonts w:hint="eastAsia" w:ascii="宋体" w:hAnsi="宋体" w:eastAsia="宋体"/>
      <w:b/>
      <w:bCs/>
      <w:color w:val="000000"/>
      <w:sz w:val="20"/>
      <w:szCs w:val="20"/>
      <w:u w:val="none"/>
    </w:rPr>
  </w:style>
  <w:style w:type="character" w:styleId="226">
    <w:name w:val=""/>
    <w:unhideWhenUsed/>
    <w:uiPriority w:val="99"/>
    <w:rPr>
      <w:color w:val="808080"/>
      <w:shd w:val="clear" w:color="auto" w:fill="E6E6E6"/>
    </w:rPr>
  </w:style>
  <w:style w:type="character" w:customStyle="1" w:styleId="227">
    <w:name w:val="标题 5 Char Char"/>
    <w:uiPriority w:val="99"/>
    <w:rPr>
      <w:rFonts w:ascii="Arial Unicode MS" w:hAnsi="Arial Unicode MS"/>
      <w:b/>
      <w:sz w:val="24"/>
    </w:rPr>
  </w:style>
  <w:style w:type="character" w:customStyle="1" w:styleId="228">
    <w:name w:val="图件标题 Char"/>
    <w:qFormat/>
    <w:uiPriority w:val="0"/>
    <w:rPr>
      <w:b/>
      <w:kern w:val="2"/>
      <w:sz w:val="21"/>
      <w:szCs w:val="24"/>
    </w:rPr>
  </w:style>
  <w:style w:type="character" w:customStyle="1" w:styleId="229">
    <w:name w:val="正文首行缩进 Char1"/>
    <w:basedOn w:val="61"/>
    <w:semiHidden/>
    <w:uiPriority w:val="99"/>
  </w:style>
  <w:style w:type="character" w:customStyle="1" w:styleId="230">
    <w:name w:val="标题 6 Char Char"/>
    <w:uiPriority w:val="0"/>
    <w:rPr>
      <w:rFonts w:ascii="Arial" w:hAnsi="Arial" w:eastAsia="黑体"/>
      <w:b/>
      <w:sz w:val="24"/>
    </w:rPr>
  </w:style>
  <w:style w:type="character" w:customStyle="1" w:styleId="231">
    <w:name w:val="尾注文本 Char Char"/>
    <w:semiHidden/>
    <w:uiPriority w:val="0"/>
    <w:rPr>
      <w:rFonts w:ascii="Arial Unicode MS" w:hAnsi="Arial Unicode MS"/>
      <w:kern w:val="2"/>
      <w:sz w:val="24"/>
      <w:szCs w:val="24"/>
    </w:rPr>
  </w:style>
  <w:style w:type="character" w:customStyle="1" w:styleId="232">
    <w:name w:val="我的正文 Char Char"/>
    <w:link w:val="233"/>
    <w:qFormat/>
    <w:uiPriority w:val="0"/>
    <w:rPr>
      <w:rFonts w:ascii="Times New Roman" w:hAnsi="Times New Roman"/>
      <w:kern w:val="2"/>
      <w:sz w:val="24"/>
    </w:rPr>
  </w:style>
  <w:style w:type="paragraph" w:customStyle="1" w:styleId="233">
    <w:name w:val="我的正文"/>
    <w:basedOn w:val="1"/>
    <w:link w:val="232"/>
    <w:qFormat/>
    <w:uiPriority w:val="0"/>
    <w:pPr>
      <w:spacing w:line="360" w:lineRule="auto"/>
      <w:ind w:firstLine="420" w:firstLineChars="0"/>
    </w:pPr>
    <w:rPr>
      <w:rFonts w:ascii="Times New Roman" w:hAnsi="Times New Roman"/>
      <w:szCs w:val="20"/>
    </w:rPr>
  </w:style>
  <w:style w:type="character" w:customStyle="1" w:styleId="234">
    <w:name w:val="表内容 Char"/>
    <w:uiPriority w:val="0"/>
    <w:rPr>
      <w:color w:val="000000"/>
      <w:kern w:val="2"/>
      <w:sz w:val="21"/>
      <w:szCs w:val="22"/>
    </w:rPr>
  </w:style>
  <w:style w:type="character" w:customStyle="1" w:styleId="235">
    <w:name w:val="批注文字 Char Char"/>
    <w:uiPriority w:val="99"/>
    <w:rPr>
      <w:rFonts w:ascii="Arial Unicode MS" w:hAnsi="Arial Unicode MS"/>
      <w:kern w:val="2"/>
      <w:sz w:val="24"/>
      <w:szCs w:val="24"/>
    </w:rPr>
  </w:style>
  <w:style w:type="character" w:customStyle="1" w:styleId="236">
    <w:name w:val="页码1"/>
    <w:uiPriority w:val="99"/>
    <w:rPr>
      <w:rFonts w:cs="Times New Roman"/>
    </w:rPr>
  </w:style>
  <w:style w:type="character" w:customStyle="1" w:styleId="237">
    <w:name w:val="fontstyle11"/>
    <w:uiPriority w:val="0"/>
    <w:rPr>
      <w:rFonts w:hint="default" w:ascii="TimesNewRomanPSMT" w:hAnsi="TimesNewRomanPSMT"/>
      <w:color w:val="000000"/>
      <w:sz w:val="24"/>
      <w:szCs w:val="24"/>
    </w:rPr>
  </w:style>
  <w:style w:type="character" w:customStyle="1" w:styleId="238">
    <w:name w:val="标题 7 Char Char"/>
    <w:uiPriority w:val="0"/>
    <w:rPr>
      <w:rFonts w:ascii="Arial Unicode MS" w:hAnsi="Arial Unicode MS"/>
      <w:b/>
      <w:sz w:val="24"/>
    </w:rPr>
  </w:style>
  <w:style w:type="character" w:customStyle="1" w:styleId="239">
    <w:name w:val="style31"/>
    <w:uiPriority w:val="0"/>
    <w:rPr>
      <w:sz w:val="18"/>
      <w:szCs w:val="18"/>
    </w:rPr>
  </w:style>
  <w:style w:type="character" w:customStyle="1" w:styleId="240">
    <w:name w:val="font91"/>
    <w:uiPriority w:val="0"/>
    <w:rPr>
      <w:rFonts w:hint="eastAsia" w:ascii="宋体" w:hAnsi="宋体" w:eastAsia="宋体"/>
      <w:b/>
      <w:bCs/>
      <w:color w:val="000000"/>
      <w:sz w:val="20"/>
      <w:szCs w:val="20"/>
      <w:u w:val="none"/>
    </w:rPr>
  </w:style>
  <w:style w:type="character" w:customStyle="1" w:styleId="241">
    <w:name w:val="批注文字 Char1"/>
    <w:semiHidden/>
    <w:uiPriority w:val="0"/>
    <w:rPr>
      <w:rFonts w:ascii="Arial Unicode MS" w:hAnsi="Arial Unicode MS"/>
      <w:kern w:val="2"/>
      <w:sz w:val="24"/>
      <w:szCs w:val="24"/>
    </w:rPr>
  </w:style>
  <w:style w:type="character" w:customStyle="1" w:styleId="242">
    <w:name w:val="表格内容及样式 Char Char"/>
    <w:link w:val="243"/>
    <w:uiPriority w:val="0"/>
    <w:rPr>
      <w:rFonts w:ascii="Times New Roman" w:hAnsi="Times New Roman"/>
    </w:rPr>
  </w:style>
  <w:style w:type="paragraph" w:customStyle="1" w:styleId="243">
    <w:name w:val="表格内容及样式"/>
    <w:basedOn w:val="206"/>
    <w:link w:val="242"/>
    <w:uiPriority w:val="0"/>
    <w:pPr>
      <w:snapToGrid/>
      <w:spacing w:line="240" w:lineRule="auto"/>
      <w:textAlignment w:val="baseline"/>
    </w:pPr>
    <w:rPr>
      <w:bCs w:val="0"/>
      <w:kern w:val="0"/>
      <w:szCs w:val="20"/>
    </w:rPr>
  </w:style>
  <w:style w:type="character" w:customStyle="1" w:styleId="244">
    <w:name w:val="description"/>
    <w:uiPriority w:val="0"/>
  </w:style>
  <w:style w:type="character" w:customStyle="1" w:styleId="245">
    <w:name w:val="正文文本缩进 2 Char Char"/>
    <w:uiPriority w:val="0"/>
    <w:rPr>
      <w:rFonts w:ascii="宋体" w:hAnsi="宋体"/>
      <w:kern w:val="2"/>
      <w:sz w:val="24"/>
      <w:szCs w:val="24"/>
    </w:rPr>
  </w:style>
  <w:style w:type="character" w:customStyle="1" w:styleId="246">
    <w:name w:val="不明显参考1"/>
    <w:uiPriority w:val="0"/>
    <w:rPr>
      <w:smallCaps/>
      <w:color w:val="auto"/>
      <w:u w:val="single"/>
    </w:rPr>
  </w:style>
  <w:style w:type="character" w:customStyle="1" w:styleId="247">
    <w:name w:val="font71"/>
    <w:uiPriority w:val="0"/>
    <w:rPr>
      <w:rFonts w:hint="default" w:ascii="Times New Roman" w:hAnsi="Times New Roman" w:cs="Times New Roman"/>
      <w:color w:val="0000FF"/>
      <w:sz w:val="20"/>
      <w:szCs w:val="20"/>
      <w:u w:val="none"/>
    </w:rPr>
  </w:style>
  <w:style w:type="character" w:styleId="248">
    <w:name w:val=""/>
    <w:qFormat/>
    <w:uiPriority w:val="19"/>
    <w:rPr>
      <w:i/>
      <w:iCs/>
      <w:color w:val="404040"/>
    </w:rPr>
  </w:style>
  <w:style w:type="character" w:customStyle="1" w:styleId="249">
    <w:name w:val="表格 Char"/>
    <w:link w:val="250"/>
    <w:qFormat/>
    <w:uiPriority w:val="0"/>
    <w:rPr>
      <w:kern w:val="2"/>
      <w:szCs w:val="24"/>
    </w:rPr>
  </w:style>
  <w:style w:type="paragraph" w:customStyle="1" w:styleId="250">
    <w:name w:val="表格"/>
    <w:basedOn w:val="169"/>
    <w:link w:val="249"/>
    <w:qFormat/>
    <w:uiPriority w:val="0"/>
    <w:pPr>
      <w:spacing w:line="240" w:lineRule="exact"/>
      <w:ind w:left="0" w:firstLine="0" w:firstLineChars="0"/>
      <w:jc w:val="center"/>
    </w:pPr>
    <w:rPr>
      <w:sz w:val="20"/>
    </w:rPr>
  </w:style>
  <w:style w:type="character" w:customStyle="1" w:styleId="251">
    <w:name w:val="正文首行缩进 Char Char"/>
    <w:uiPriority w:val="0"/>
    <w:rPr>
      <w:rFonts w:ascii="Arial Unicode MS" w:hAnsi="Arial Unicode MS" w:eastAsia="方正宋三简体"/>
      <w:kern w:val="2"/>
      <w:sz w:val="24"/>
      <w:szCs w:val="24"/>
    </w:rPr>
  </w:style>
  <w:style w:type="character" w:customStyle="1" w:styleId="252">
    <w:name w:val="样式4 Char4"/>
    <w:link w:val="253"/>
    <w:uiPriority w:val="0"/>
    <w:rPr>
      <w:kern w:val="2"/>
      <w:sz w:val="24"/>
    </w:rPr>
  </w:style>
  <w:style w:type="paragraph" w:customStyle="1" w:styleId="253">
    <w:name w:val="样式4"/>
    <w:basedOn w:val="1"/>
    <w:link w:val="252"/>
    <w:qFormat/>
    <w:uiPriority w:val="0"/>
    <w:pPr>
      <w:ind w:firstLine="200"/>
      <w:jc w:val="center"/>
    </w:pPr>
    <w:rPr>
      <w:szCs w:val="20"/>
    </w:rPr>
  </w:style>
  <w:style w:type="character" w:customStyle="1" w:styleId="254">
    <w:name w:val="font131"/>
    <w:uiPriority w:val="0"/>
    <w:rPr>
      <w:rFonts w:hint="default" w:ascii="Times New Roman" w:hAnsi="Times New Roman" w:cs="Times New Roman"/>
      <w:b/>
      <w:color w:val="000000"/>
      <w:sz w:val="20"/>
      <w:szCs w:val="20"/>
      <w:u w:val="none"/>
    </w:rPr>
  </w:style>
  <w:style w:type="character" w:customStyle="1" w:styleId="255">
    <w:name w:val="样式 正文 首行缩进:  2 字符 SL CON + 首行缩进:  2 字符 Char"/>
    <w:uiPriority w:val="0"/>
    <w:rPr>
      <w:rFonts w:eastAsia="宋体" w:cs="宋体"/>
      <w:sz w:val="24"/>
      <w:lang w:val="en-US" w:eastAsia="zh-CN" w:bidi="ar-SA"/>
    </w:rPr>
  </w:style>
  <w:style w:type="character" w:customStyle="1" w:styleId="256">
    <w:name w:val="页眉 Char Char"/>
    <w:uiPriority w:val="99"/>
    <w:rPr>
      <w:rFonts w:ascii="Arial Unicode MS" w:hAnsi="Arial Unicode MS"/>
      <w:kern w:val="2"/>
      <w:sz w:val="18"/>
      <w:szCs w:val="18"/>
    </w:rPr>
  </w:style>
  <w:style w:type="character" w:customStyle="1" w:styleId="257">
    <w:name w:val="eofkuan"/>
    <w:uiPriority w:val="0"/>
  </w:style>
  <w:style w:type="character" w:customStyle="1" w:styleId="258">
    <w:name w:val="font21"/>
    <w:uiPriority w:val="0"/>
    <w:rPr>
      <w:rFonts w:hint="eastAsia" w:ascii="宋体" w:hAnsi="宋体" w:eastAsia="宋体"/>
      <w:color w:val="000000"/>
      <w:sz w:val="20"/>
      <w:szCs w:val="20"/>
      <w:u w:val="none"/>
    </w:rPr>
  </w:style>
  <w:style w:type="character" w:customStyle="1" w:styleId="259">
    <w:name w:val="页脚 Char Char"/>
    <w:uiPriority w:val="99"/>
    <w:rPr>
      <w:rFonts w:ascii="Arial Unicode MS" w:hAnsi="Arial Unicode MS"/>
      <w:kern w:val="2"/>
      <w:sz w:val="18"/>
      <w:szCs w:val="18"/>
    </w:rPr>
  </w:style>
  <w:style w:type="character" w:customStyle="1" w:styleId="260">
    <w:name w:val="表内l Char"/>
    <w:link w:val="261"/>
    <w:uiPriority w:val="0"/>
    <w:rPr>
      <w:bCs/>
      <w:kern w:val="2"/>
      <w:sz w:val="21"/>
      <w:szCs w:val="21"/>
    </w:rPr>
  </w:style>
  <w:style w:type="paragraph" w:customStyle="1" w:styleId="261">
    <w:name w:val="表内l"/>
    <w:basedOn w:val="1"/>
    <w:link w:val="260"/>
    <w:qFormat/>
    <w:uiPriority w:val="0"/>
    <w:pPr>
      <w:spacing w:line="240" w:lineRule="auto"/>
      <w:ind w:firstLine="0" w:firstLineChars="0"/>
      <w:jc w:val="center"/>
    </w:pPr>
    <w:rPr>
      <w:bCs/>
      <w:sz w:val="21"/>
      <w:szCs w:val="21"/>
    </w:rPr>
  </w:style>
  <w:style w:type="paragraph" w:customStyle="1" w:styleId="262">
    <w:name w:val="8--"/>
    <w:basedOn w:val="1"/>
    <w:uiPriority w:val="0"/>
    <w:pPr>
      <w:adjustRightInd w:val="0"/>
      <w:spacing w:line="360" w:lineRule="atLeast"/>
      <w:ind w:firstLine="0" w:firstLineChars="0"/>
      <w:jc w:val="left"/>
      <w:textAlignment w:val="baseline"/>
    </w:pPr>
    <w:rPr>
      <w:rFonts w:ascii="Times New Roman" w:hAnsi="Times New Roman"/>
      <w:kern w:val="0"/>
      <w:szCs w:val="20"/>
    </w:rPr>
  </w:style>
  <w:style w:type="paragraph" w:customStyle="1" w:styleId="263">
    <w:name w:val="纯文本 New"/>
    <w:basedOn w:val="264"/>
    <w:uiPriority w:val="0"/>
    <w:pPr>
      <w:spacing w:line="240" w:lineRule="auto"/>
      <w:ind w:firstLine="0" w:firstLineChars="0"/>
    </w:pPr>
    <w:rPr>
      <w:rFonts w:ascii="宋体" w:hAnsi="Courier New"/>
      <w:sz w:val="21"/>
    </w:rPr>
  </w:style>
  <w:style w:type="paragraph" w:customStyle="1" w:styleId="264">
    <w:name w:val="正文 New New"/>
    <w:uiPriority w:val="0"/>
    <w:pPr>
      <w:widowControl w:val="0"/>
      <w:spacing w:line="360" w:lineRule="auto"/>
      <w:ind w:firstLine="200" w:firstLineChars="200"/>
      <w:jc w:val="both"/>
    </w:pPr>
    <w:rPr>
      <w:kern w:val="2"/>
      <w:sz w:val="24"/>
      <w:szCs w:val="24"/>
      <w:lang w:val="en-US" w:eastAsia="zh-CN" w:bidi="ar-SA"/>
    </w:rPr>
  </w:style>
  <w:style w:type="paragraph" w:customStyle="1" w:styleId="265">
    <w:name w:val="+正文"/>
    <w:basedOn w:val="1"/>
    <w:qFormat/>
    <w:uiPriority w:val="0"/>
    <w:pPr>
      <w:spacing w:line="360" w:lineRule="auto"/>
      <w:ind w:firstLine="200" w:firstLineChars="200"/>
    </w:pPr>
    <w:rPr>
      <w:sz w:val="24"/>
      <w:szCs w:val="28"/>
    </w:rPr>
  </w:style>
  <w:style w:type="paragraph" w:customStyle="1" w:styleId="266">
    <w:name w:val="xl69"/>
    <w:basedOn w:val="1"/>
    <w:uiPriority w:val="0"/>
    <w:pPr>
      <w:widowControl/>
      <w:pBdr>
        <w:left w:val="single" w:color="auto" w:sz="8" w:space="0"/>
        <w:bottom w:val="single" w:color="auto" w:sz="8" w:space="0"/>
        <w:right w:val="single" w:color="auto" w:sz="8" w:space="0"/>
      </w:pBdr>
      <w:spacing w:before="100" w:beforeLines="0" w:beforeAutospacing="1" w:after="100" w:afterLines="0" w:afterAutospacing="1" w:line="240" w:lineRule="auto"/>
      <w:ind w:firstLine="0" w:firstLineChars="0"/>
      <w:jc w:val="left"/>
    </w:pPr>
    <w:rPr>
      <w:rFonts w:ascii="宋体" w:hAnsi="宋体" w:cs="宋体"/>
      <w:color w:val="000000"/>
      <w:kern w:val="0"/>
      <w:sz w:val="20"/>
      <w:szCs w:val="20"/>
    </w:rPr>
  </w:style>
  <w:style w:type="paragraph" w:customStyle="1" w:styleId="267">
    <w:name w:val="xl68"/>
    <w:basedOn w:val="1"/>
    <w:uiPriority w:val="0"/>
    <w:pPr>
      <w:widowControl/>
      <w:pBdr>
        <w:top w:val="single" w:color="auto" w:sz="8" w:space="0"/>
        <w:bottom w:val="single" w:color="auto" w:sz="8" w:space="0"/>
        <w:right w:val="single" w:color="auto" w:sz="8" w:space="0"/>
      </w:pBdr>
      <w:spacing w:before="100" w:beforeLines="0" w:beforeAutospacing="1" w:after="100" w:afterLines="0" w:afterAutospacing="1" w:line="240" w:lineRule="auto"/>
      <w:ind w:firstLine="0" w:firstLineChars="0"/>
      <w:jc w:val="left"/>
    </w:pPr>
    <w:rPr>
      <w:rFonts w:ascii="宋体" w:hAnsi="宋体" w:cs="宋体"/>
      <w:color w:val="000000"/>
      <w:kern w:val="0"/>
      <w:sz w:val="20"/>
      <w:szCs w:val="20"/>
    </w:rPr>
  </w:style>
  <w:style w:type="paragraph" w:customStyle="1" w:styleId="268">
    <w:name w:val="表格编号"/>
    <w:basedOn w:val="1"/>
    <w:uiPriority w:val="0"/>
    <w:pPr>
      <w:numPr>
        <w:ilvl w:val="0"/>
        <w:numId w:val="1"/>
      </w:numPr>
      <w:tabs>
        <w:tab w:val="left" w:pos="0"/>
      </w:tabs>
      <w:spacing w:before="240" w:beforeLines="100" w:line="0" w:lineRule="atLeast"/>
      <w:ind w:firstLine="0" w:firstLineChars="0"/>
      <w:jc w:val="center"/>
      <w:outlineLvl w:val="0"/>
    </w:pPr>
    <w:rPr>
      <w:rFonts w:ascii="黑体" w:hAnsi="宋体" w:eastAsia="黑体"/>
      <w:szCs w:val="30"/>
    </w:rPr>
  </w:style>
  <w:style w:type="paragraph" w:customStyle="1" w:styleId="269">
    <w:name w:val="Char Char Char1 Char"/>
    <w:basedOn w:val="1"/>
    <w:uiPriority w:val="0"/>
    <w:pPr>
      <w:widowControl/>
      <w:spacing w:after="160" w:afterLines="0" w:line="240" w:lineRule="exact"/>
      <w:jc w:val="left"/>
    </w:pPr>
    <w:rPr>
      <w:rFonts w:ascii="Tahoma" w:hAnsi="Tahoma"/>
      <w:kern w:val="0"/>
      <w:szCs w:val="21"/>
      <w:lang w:eastAsia="en-US"/>
    </w:rPr>
  </w:style>
  <w:style w:type="paragraph" w:customStyle="1" w:styleId="270">
    <w:name w:val="正文(首行缩进)"/>
    <w:basedOn w:val="1"/>
    <w:uiPriority w:val="0"/>
    <w:pPr>
      <w:spacing w:line="360" w:lineRule="auto"/>
      <w:ind w:firstLine="569" w:firstLineChars="236"/>
    </w:pPr>
    <w:rPr>
      <w:rFonts w:ascii="宋体" w:hAnsi="宋体"/>
    </w:rPr>
  </w:style>
  <w:style w:type="paragraph" w:customStyle="1" w:styleId="271">
    <w:name w:val="正文段落"/>
    <w:basedOn w:val="1"/>
    <w:uiPriority w:val="0"/>
    <w:pPr>
      <w:spacing w:line="360" w:lineRule="auto"/>
      <w:ind w:firstLine="510" w:firstLineChars="0"/>
    </w:pPr>
    <w:rPr>
      <w:rFonts w:ascii="Times New Roman" w:hAnsi="Times New Roman"/>
      <w:kern w:val="0"/>
    </w:rPr>
  </w:style>
  <w:style w:type="paragraph" w:customStyle="1" w:styleId="272">
    <w:name w:val="表格方案样式2"/>
    <w:basedOn w:val="1"/>
    <w:uiPriority w:val="0"/>
    <w:pPr>
      <w:tabs>
        <w:tab w:val="left" w:pos="567"/>
      </w:tabs>
      <w:spacing w:line="240" w:lineRule="auto"/>
      <w:ind w:firstLine="0" w:firstLineChars="0"/>
      <w:jc w:val="center"/>
    </w:pPr>
    <w:rPr>
      <w:rFonts w:ascii="Times New Roman" w:hAnsi="Times New Roman" w:eastAsia="华文中宋"/>
      <w:szCs w:val="20"/>
    </w:rPr>
  </w:style>
  <w:style w:type="paragraph" w:customStyle="1" w:styleId="273">
    <w:name w:val="pa-1"/>
    <w:basedOn w:val="1"/>
    <w:uiPriority w:val="0"/>
    <w:pPr>
      <w:widowControl/>
      <w:spacing w:line="360" w:lineRule="atLeast"/>
      <w:ind w:firstLine="640"/>
    </w:pPr>
    <w:rPr>
      <w:rFonts w:ascii="宋体" w:hAnsi="宋体" w:cs="宋体"/>
      <w:kern w:val="0"/>
    </w:rPr>
  </w:style>
  <w:style w:type="paragraph" w:customStyle="1" w:styleId="274">
    <w:name w:val="已有表格"/>
    <w:basedOn w:val="1"/>
    <w:qFormat/>
    <w:uiPriority w:val="0"/>
    <w:pPr>
      <w:adjustRightInd w:val="0"/>
      <w:spacing w:line="240" w:lineRule="exact"/>
      <w:ind w:firstLine="0" w:firstLineChars="0"/>
      <w:jc w:val="center"/>
      <w:textAlignment w:val="baseline"/>
    </w:pPr>
    <w:rPr>
      <w:color w:val="000000"/>
      <w:kern w:val="0"/>
      <w:sz w:val="20"/>
      <w:szCs w:val="20"/>
    </w:rPr>
  </w:style>
  <w:style w:type="paragraph" w:customStyle="1" w:styleId="275">
    <w:name w:val="1正文段落"/>
    <w:basedOn w:val="1"/>
    <w:uiPriority w:val="0"/>
    <w:pPr>
      <w:spacing w:line="360" w:lineRule="auto"/>
      <w:ind w:firstLine="480"/>
      <w:jc w:val="left"/>
    </w:pPr>
    <w:rPr>
      <w:rFonts w:ascii="Times New Roman" w:hAnsi="Times New Roman"/>
      <w:kern w:val="0"/>
    </w:rPr>
  </w:style>
  <w:style w:type="paragraph" w:customStyle="1" w:styleId="276">
    <w:name w:val="正文（行首缩进2字）"/>
    <w:basedOn w:val="1"/>
    <w:uiPriority w:val="0"/>
    <w:pPr>
      <w:spacing w:line="360" w:lineRule="auto"/>
    </w:pPr>
    <w:rPr>
      <w:rFonts w:ascii="Times New Roman" w:hAnsi="Times New Roman"/>
      <w:sz w:val="28"/>
    </w:rPr>
  </w:style>
  <w:style w:type="paragraph" w:customStyle="1" w:styleId="277">
    <w:name w:val="表名"/>
    <w:qFormat/>
    <w:uiPriority w:val="0"/>
    <w:pPr>
      <w:adjustRightInd w:val="0"/>
      <w:snapToGrid w:val="0"/>
      <w:jc w:val="center"/>
    </w:pPr>
    <w:rPr>
      <w:b/>
      <w:kern w:val="2"/>
      <w:sz w:val="24"/>
      <w:szCs w:val="21"/>
      <w:lang w:val="en-US" w:eastAsia="zh-CN" w:bidi="ar-SA"/>
    </w:rPr>
  </w:style>
  <w:style w:type="paragraph" w:customStyle="1" w:styleId="278">
    <w:name w:val="标题4"/>
    <w:basedOn w:val="1"/>
    <w:uiPriority w:val="0"/>
    <w:pPr>
      <w:spacing w:line="360" w:lineRule="auto"/>
    </w:pPr>
    <w:rPr>
      <w:b/>
      <w:bCs/>
    </w:rPr>
  </w:style>
  <w:style w:type="paragraph" w:customStyle="1" w:styleId="279">
    <w:name w:val="流程图文字"/>
    <w:basedOn w:val="1"/>
    <w:uiPriority w:val="0"/>
    <w:pPr>
      <w:adjustRightInd w:val="0"/>
      <w:spacing w:before="100" w:beforeLines="0" w:beforeAutospacing="1" w:after="40" w:afterLines="0" w:line="360" w:lineRule="exact"/>
      <w:jc w:val="center"/>
      <w:textAlignment w:val="baseline"/>
    </w:pPr>
    <w:rPr>
      <w:rFonts w:ascii="宋体" w:hAnsi="宋体"/>
      <w:bCs/>
      <w:kern w:val="0"/>
    </w:rPr>
  </w:style>
  <w:style w:type="paragraph" w:customStyle="1" w:styleId="280">
    <w:name w:val="表格文字2"/>
    <w:basedOn w:val="1"/>
    <w:uiPriority w:val="0"/>
    <w:pPr>
      <w:adjustRightInd w:val="0"/>
      <w:spacing w:before="60" w:beforeLines="0" w:line="240" w:lineRule="auto"/>
      <w:ind w:firstLine="0" w:firstLineChars="0"/>
      <w:jc w:val="center"/>
      <w:textAlignment w:val="baseline"/>
    </w:pPr>
    <w:rPr>
      <w:rFonts w:ascii="宋体" w:hAnsi="Times New Roman"/>
      <w:kern w:val="0"/>
      <w:szCs w:val="20"/>
    </w:rPr>
  </w:style>
  <w:style w:type="paragraph" w:customStyle="1" w:styleId="281">
    <w:name w:val="图表标题"/>
    <w:basedOn w:val="224"/>
    <w:next w:val="108"/>
    <w:uiPriority w:val="0"/>
    <w:pPr>
      <w:snapToGrid w:val="0"/>
      <w:spacing w:line="240" w:lineRule="auto"/>
      <w:ind w:firstLine="0" w:firstLineChars="200"/>
      <w:jc w:val="center"/>
      <w:textAlignment w:val="baseline"/>
    </w:pPr>
    <w:rPr>
      <w:rFonts w:ascii="黑体" w:hAnsi="黑体" w:eastAsia="黑体"/>
      <w:color w:val="000000"/>
      <w:kern w:val="2"/>
      <w:szCs w:val="24"/>
    </w:rPr>
  </w:style>
  <w:style w:type="paragraph" w:customStyle="1" w:styleId="282">
    <w:name w:val="Char Char Char Char Char Char"/>
    <w:basedOn w:val="1"/>
    <w:next w:val="5"/>
    <w:uiPriority w:val="0"/>
    <w:pPr>
      <w:spacing w:line="460" w:lineRule="exact"/>
    </w:pPr>
    <w:rPr>
      <w:szCs w:val="28"/>
    </w:rPr>
  </w:style>
  <w:style w:type="paragraph" w:customStyle="1" w:styleId="283">
    <w:name w:val="List Paragraph"/>
    <w:basedOn w:val="1"/>
    <w:uiPriority w:val="0"/>
    <w:pPr>
      <w:spacing w:line="240" w:lineRule="auto"/>
      <w:ind w:firstLine="420"/>
    </w:pPr>
    <w:rPr>
      <w:rFonts w:ascii="Times New Roman" w:hAnsi="Times New Roman"/>
      <w:sz w:val="21"/>
      <w:szCs w:val="21"/>
    </w:rPr>
  </w:style>
  <w:style w:type="paragraph" w:customStyle="1" w:styleId="284">
    <w:name w:val="++样式1.1.1."/>
    <w:basedOn w:val="8"/>
    <w:uiPriority w:val="0"/>
    <w:pPr>
      <w:numPr>
        <w:ilvl w:val="2"/>
        <w:numId w:val="0"/>
      </w:numPr>
      <w:adjustRightInd w:val="0"/>
      <w:snapToGrid w:val="0"/>
      <w:spacing w:line="360" w:lineRule="auto"/>
    </w:pPr>
    <w:rPr>
      <w:rFonts w:ascii="Times New Roman" w:hAnsi="Times New Roman"/>
      <w:color w:val="FF0000"/>
      <w:sz w:val="28"/>
      <w:szCs w:val="28"/>
    </w:rPr>
  </w:style>
  <w:style w:type="paragraph" w:customStyle="1" w:styleId="285">
    <w:name w:val="标题3"/>
    <w:basedOn w:val="8"/>
    <w:uiPriority w:val="0"/>
    <w:pPr>
      <w:numPr>
        <w:ilvl w:val="2"/>
        <w:numId w:val="0"/>
      </w:numPr>
      <w:spacing w:before="156" w:beforeLines="50" w:after="156" w:afterLines="50" w:line="360" w:lineRule="auto"/>
    </w:pPr>
    <w:rPr>
      <w:szCs w:val="24"/>
      <w:lang w:val="en-US" w:eastAsia="zh-CN"/>
    </w:rPr>
  </w:style>
  <w:style w:type="paragraph" w:customStyle="1" w:styleId="286">
    <w:name w:val="流程图"/>
    <w:basedOn w:val="1"/>
    <w:uiPriority w:val="0"/>
    <w:pPr>
      <w:tabs>
        <w:tab w:val="left" w:pos="0"/>
      </w:tabs>
      <w:autoSpaceDE w:val="0"/>
      <w:autoSpaceDN w:val="0"/>
      <w:adjustRightInd w:val="0"/>
      <w:spacing w:line="240" w:lineRule="atLeast"/>
      <w:jc w:val="center"/>
      <w:textAlignment w:val="bottom"/>
    </w:pPr>
    <w:rPr>
      <w:rFonts w:ascii="宋体"/>
      <w:sz w:val="21"/>
      <w:szCs w:val="20"/>
    </w:rPr>
  </w:style>
  <w:style w:type="paragraph" w:customStyle="1" w:styleId="287">
    <w:name w:val="表头图表"/>
    <w:qFormat/>
    <w:uiPriority w:val="0"/>
    <w:pPr>
      <w:widowControl w:val="0"/>
      <w:autoSpaceDE w:val="0"/>
      <w:autoSpaceDN w:val="0"/>
      <w:adjustRightInd w:val="0"/>
      <w:snapToGrid w:val="0"/>
      <w:spacing w:line="240" w:lineRule="atLeast"/>
      <w:jc w:val="center"/>
    </w:pPr>
    <w:rPr>
      <w:rFonts w:cs="宋体"/>
      <w:b/>
      <w:color w:val="000000"/>
      <w:sz w:val="24"/>
      <w:szCs w:val="24"/>
      <w:lang w:val="en-US" w:eastAsia="zh-CN" w:bidi="ar-SA"/>
    </w:rPr>
  </w:style>
  <w:style w:type="paragraph" w:customStyle="1" w:styleId="288">
    <w:name w:val="Char Char Char Char"/>
    <w:basedOn w:val="1"/>
    <w:uiPriority w:val="0"/>
    <w:pPr>
      <w:spacing w:line="540" w:lineRule="exact"/>
    </w:pPr>
    <w:rPr>
      <w:rFonts w:ascii="楷体_GB2312" w:eastAsia="楷体_GB2312"/>
      <w:kern w:val="0"/>
    </w:rPr>
  </w:style>
  <w:style w:type="paragraph" w:customStyle="1" w:styleId="289">
    <w:name w:val="表头（加粗）"/>
    <w:basedOn w:val="1"/>
    <w:qFormat/>
    <w:uiPriority w:val="99"/>
    <w:pPr>
      <w:adjustRightInd w:val="0"/>
      <w:spacing w:line="280" w:lineRule="exact"/>
      <w:ind w:firstLine="0" w:firstLineChars="0"/>
      <w:jc w:val="center"/>
      <w:textAlignment w:val="baseline"/>
    </w:pPr>
    <w:rPr>
      <w:b/>
      <w:kern w:val="0"/>
      <w:sz w:val="20"/>
      <w:szCs w:val="20"/>
    </w:rPr>
  </w:style>
  <w:style w:type="paragraph" w:customStyle="1" w:styleId="290">
    <w:name w:val="font5"/>
    <w:basedOn w:val="1"/>
    <w:uiPriority w:val="0"/>
    <w:pPr>
      <w:widowControl/>
      <w:spacing w:before="100" w:beforeLines="0" w:beforeAutospacing="1" w:after="100" w:afterLines="0" w:afterAutospacing="1" w:line="240" w:lineRule="auto"/>
      <w:ind w:firstLine="0" w:firstLineChars="0"/>
      <w:jc w:val="left"/>
    </w:pPr>
    <w:rPr>
      <w:rFonts w:ascii="宋体" w:hAnsi="宋体" w:cs="宋体"/>
      <w:kern w:val="0"/>
      <w:sz w:val="18"/>
      <w:szCs w:val="18"/>
    </w:rPr>
  </w:style>
  <w:style w:type="paragraph" w:customStyle="1" w:styleId="291">
    <w:name w:val="正文首行缩进 2 + Times New Roman"/>
    <w:basedOn w:val="1"/>
    <w:uiPriority w:val="0"/>
    <w:pPr>
      <w:tabs>
        <w:tab w:val="left" w:pos="0"/>
        <w:tab w:val="left" w:pos="870"/>
        <w:tab w:val="left" w:pos="3150"/>
      </w:tabs>
      <w:autoSpaceDE w:val="0"/>
      <w:autoSpaceDN w:val="0"/>
      <w:spacing w:line="360" w:lineRule="auto"/>
      <w:ind w:firstLine="480"/>
      <w:jc w:val="left"/>
    </w:pPr>
    <w:rPr>
      <w:rFonts w:ascii="Times New Roman" w:hAnsi="Times New Roman"/>
      <w:kern w:val="0"/>
    </w:rPr>
  </w:style>
  <w:style w:type="paragraph" w:customStyle="1" w:styleId="292">
    <w:name w:val="样式1"/>
    <w:basedOn w:val="1"/>
    <w:uiPriority w:val="0"/>
    <w:pPr>
      <w:snapToGrid w:val="0"/>
      <w:spacing w:line="240" w:lineRule="auto"/>
      <w:ind w:firstLine="0" w:firstLineChars="0"/>
      <w:jc w:val="center"/>
    </w:pPr>
    <w:rPr>
      <w:rFonts w:ascii="宋体" w:hAnsi="Times New Roman"/>
      <w:sz w:val="21"/>
      <w:szCs w:val="20"/>
    </w:rPr>
  </w:style>
  <w:style w:type="paragraph" w:customStyle="1" w:styleId="293">
    <w:name w:val="表芯"/>
    <w:basedOn w:val="1"/>
    <w:next w:val="1"/>
    <w:uiPriority w:val="0"/>
    <w:pPr>
      <w:keepNext/>
      <w:adjustRightInd w:val="0"/>
      <w:spacing w:before="20" w:beforeLines="0" w:line="0" w:lineRule="atLeast"/>
      <w:ind w:firstLine="0" w:firstLineChars="0"/>
      <w:jc w:val="center"/>
      <w:textAlignment w:val="baseline"/>
    </w:pPr>
    <w:rPr>
      <w:rFonts w:ascii="Times New Roman" w:hAnsi="Times New Roman" w:cs="Times New Roman"/>
      <w:kern w:val="21"/>
      <w:sz w:val="21"/>
      <w:szCs w:val="20"/>
    </w:rPr>
  </w:style>
  <w:style w:type="paragraph" w:customStyle="1" w:styleId="294">
    <w:name w:val="表格标注"/>
    <w:basedOn w:val="1"/>
    <w:uiPriority w:val="99"/>
    <w:pPr>
      <w:adjustRightInd w:val="0"/>
      <w:snapToGrid w:val="0"/>
      <w:spacing w:line="240" w:lineRule="auto"/>
      <w:ind w:firstLine="493" w:firstLineChars="0"/>
      <w:jc w:val="left"/>
      <w:textAlignment w:val="baseline"/>
    </w:pPr>
    <w:rPr>
      <w:rFonts w:ascii="宋体" w:hAnsi="Times New Roman"/>
      <w:spacing w:val="4"/>
      <w:kern w:val="0"/>
      <w:sz w:val="18"/>
      <w:szCs w:val="18"/>
    </w:rPr>
  </w:style>
  <w:style w:type="paragraph" w:customStyle="1" w:styleId="295">
    <w:name w:val="xl65"/>
    <w:basedOn w:val="1"/>
    <w:uiPriority w:val="0"/>
    <w:pPr>
      <w:widowControl/>
      <w:pBdr>
        <w:top w:val="single" w:color="auto" w:sz="8" w:space="0"/>
        <w:left w:val="single" w:color="auto" w:sz="8" w:space="0"/>
        <w:bottom w:val="single" w:color="auto" w:sz="8" w:space="0"/>
        <w:right w:val="single" w:color="auto" w:sz="8" w:space="0"/>
      </w:pBdr>
      <w:spacing w:before="100" w:beforeLines="0" w:beforeAutospacing="1" w:after="100" w:afterLines="0" w:afterAutospacing="1" w:line="240" w:lineRule="auto"/>
      <w:ind w:firstLine="0" w:firstLineChars="0"/>
      <w:jc w:val="left"/>
    </w:pPr>
    <w:rPr>
      <w:rFonts w:ascii="宋体" w:hAnsi="宋体" w:cs="宋体"/>
      <w:color w:val="000000"/>
      <w:kern w:val="0"/>
      <w:sz w:val="20"/>
      <w:szCs w:val="20"/>
    </w:rPr>
  </w:style>
  <w:style w:type="paragraph" w:customStyle="1" w:styleId="296">
    <w:name w:val="xl67"/>
    <w:basedOn w:val="1"/>
    <w:uiPriority w:val="0"/>
    <w:pPr>
      <w:widowControl/>
      <w:pBdr>
        <w:top w:val="single" w:color="auto" w:sz="8" w:space="0"/>
        <w:bottom w:val="single" w:color="auto" w:sz="8" w:space="0"/>
        <w:right w:val="single" w:color="auto" w:sz="8" w:space="0"/>
      </w:pBdr>
      <w:spacing w:before="100" w:beforeLines="0" w:beforeAutospacing="1" w:after="100" w:afterLines="0" w:afterAutospacing="1" w:line="240" w:lineRule="auto"/>
      <w:ind w:firstLine="0" w:firstLineChars="0"/>
      <w:jc w:val="right"/>
    </w:pPr>
    <w:rPr>
      <w:rFonts w:ascii="宋体" w:hAnsi="宋体" w:cs="宋体"/>
      <w:color w:val="000000"/>
      <w:kern w:val="0"/>
      <w:sz w:val="20"/>
      <w:szCs w:val="20"/>
    </w:rPr>
  </w:style>
  <w:style w:type="paragraph" w:customStyle="1" w:styleId="297">
    <w:name w:val="正文-黑体"/>
    <w:qFormat/>
    <w:uiPriority w:val="0"/>
    <w:rPr>
      <w:rFonts w:eastAsia="黑体"/>
      <w:lang w:val="en-US" w:eastAsia="zh-CN" w:bidi="ar-SA"/>
    </w:rPr>
  </w:style>
  <w:style w:type="paragraph" w:customStyle="1" w:styleId="298">
    <w:name w:val="注释"/>
    <w:basedOn w:val="1"/>
    <w:uiPriority w:val="0"/>
    <w:pPr>
      <w:adjustRightInd w:val="0"/>
      <w:snapToGrid w:val="0"/>
      <w:spacing w:line="240" w:lineRule="auto"/>
      <w:ind w:firstLine="0" w:firstLineChars="0"/>
      <w:textAlignment w:val="baseline"/>
    </w:pPr>
    <w:rPr>
      <w:rFonts w:ascii="宋体" w:hAnsi="Times New Roman" w:eastAsia="仿宋_GB2312" w:cs="宋体"/>
      <w:spacing w:val="4"/>
      <w:kern w:val="0"/>
      <w:szCs w:val="20"/>
    </w:rPr>
  </w:style>
  <w:style w:type="paragraph" w:customStyle="1" w:styleId="299">
    <w:name w:val="图件表格标题"/>
    <w:basedOn w:val="1"/>
    <w:uiPriority w:val="0"/>
    <w:pPr>
      <w:spacing w:before="60" w:beforeLines="0" w:line="360" w:lineRule="exact"/>
      <w:ind w:firstLine="0" w:firstLineChars="0"/>
      <w:jc w:val="center"/>
    </w:pPr>
    <w:rPr>
      <w:rFonts w:eastAsia="黑体"/>
      <w:b/>
      <w:sz w:val="21"/>
    </w:rPr>
  </w:style>
  <w:style w:type="paragraph" w:customStyle="1" w:styleId="300">
    <w:name w:val="Char1"/>
    <w:basedOn w:val="1"/>
    <w:uiPriority w:val="0"/>
    <w:pPr>
      <w:spacing w:line="460" w:lineRule="exact"/>
    </w:pPr>
    <w:rPr>
      <w:sz w:val="21"/>
    </w:rPr>
  </w:style>
  <w:style w:type="paragraph" w:customStyle="1" w:styleId="301">
    <w:name w:val="列出段落1"/>
    <w:basedOn w:val="1"/>
    <w:uiPriority w:val="34"/>
    <w:pPr>
      <w:spacing w:line="240" w:lineRule="auto"/>
      <w:ind w:firstLine="420"/>
    </w:pPr>
    <w:rPr>
      <w:rFonts w:ascii="Calibri" w:hAnsi="Calibri" w:eastAsia="宋体" w:cs="Times New Roman"/>
      <w:sz w:val="21"/>
      <w:szCs w:val="22"/>
    </w:rPr>
  </w:style>
  <w:style w:type="paragraph" w:customStyle="1" w:styleId="302">
    <w:name w:val="表格内容自定"/>
    <w:basedOn w:val="1"/>
    <w:uiPriority w:val="0"/>
    <w:pPr>
      <w:spacing w:line="280" w:lineRule="exact"/>
      <w:ind w:firstLine="0" w:firstLineChars="0"/>
      <w:jc w:val="center"/>
    </w:pPr>
    <w:rPr>
      <w:rFonts w:ascii="Times New Roman" w:hAnsi="Times New Roman"/>
      <w:kern w:val="0"/>
      <w:sz w:val="18"/>
      <w:szCs w:val="21"/>
    </w:rPr>
  </w:style>
  <w:style w:type="paragraph" w:customStyle="1" w:styleId="303">
    <w:name w:val="1"/>
    <w:basedOn w:val="1"/>
    <w:next w:val="4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60" w:lineRule="exact"/>
      <w:jc w:val="left"/>
    </w:pPr>
    <w:rPr>
      <w:rFonts w:ascii="黑体" w:hAnsi="Courier New" w:eastAsia="黑体" w:cs="Courier New"/>
      <w:kern w:val="0"/>
      <w:sz w:val="20"/>
      <w:szCs w:val="20"/>
    </w:rPr>
  </w:style>
  <w:style w:type="paragraph" w:customStyle="1" w:styleId="304">
    <w:name w:val="样式 首行缩进:  2 字符"/>
    <w:basedOn w:val="1"/>
    <w:uiPriority w:val="0"/>
    <w:pPr>
      <w:spacing w:line="360" w:lineRule="auto"/>
    </w:pPr>
    <w:rPr>
      <w:rFonts w:cs="宋体"/>
      <w:szCs w:val="20"/>
    </w:rPr>
  </w:style>
  <w:style w:type="paragraph" w:customStyle="1" w:styleId="305">
    <w:name w:val="xl70"/>
    <w:basedOn w:val="1"/>
    <w:uiPriority w:val="0"/>
    <w:pPr>
      <w:widowControl/>
      <w:pBdr>
        <w:bottom w:val="single" w:color="auto" w:sz="8" w:space="0"/>
        <w:right w:val="single" w:color="auto" w:sz="8" w:space="0"/>
      </w:pBdr>
      <w:spacing w:before="100" w:beforeLines="0" w:beforeAutospacing="1" w:after="100" w:afterLines="0" w:afterAutospacing="1" w:line="240" w:lineRule="auto"/>
      <w:ind w:firstLine="0" w:firstLineChars="0"/>
      <w:jc w:val="center"/>
    </w:pPr>
    <w:rPr>
      <w:rFonts w:ascii="宋体" w:hAnsi="宋体" w:cs="宋体"/>
      <w:color w:val="000000"/>
      <w:kern w:val="0"/>
      <w:sz w:val="20"/>
      <w:szCs w:val="20"/>
    </w:rPr>
  </w:style>
  <w:style w:type="paragraph" w:customStyle="1" w:styleId="306">
    <w:name w:val="正文-欣欣"/>
    <w:basedOn w:val="1"/>
    <w:qFormat/>
    <w:uiPriority w:val="0"/>
    <w:pPr>
      <w:ind w:left="0" w:firstLine="200" w:firstLineChars="200"/>
      <w:jc w:val="both"/>
    </w:pPr>
    <w:rPr>
      <w:rFonts w:cs="Courier New"/>
      <w:szCs w:val="21"/>
    </w:rPr>
  </w:style>
  <w:style w:type="paragraph" w:customStyle="1" w:styleId="307">
    <w:name w:val="p0"/>
    <w:basedOn w:val="1"/>
    <w:uiPriority w:val="0"/>
    <w:pPr>
      <w:widowControl/>
      <w:spacing w:line="240" w:lineRule="auto"/>
      <w:ind w:firstLine="0" w:firstLineChars="0"/>
    </w:pPr>
    <w:rPr>
      <w:rFonts w:ascii="宋体" w:hAnsi="宋体" w:cs="宋体"/>
      <w:kern w:val="0"/>
      <w:sz w:val="21"/>
      <w:szCs w:val="21"/>
    </w:rPr>
  </w:style>
  <w:style w:type="paragraph" w:customStyle="1" w:styleId="308">
    <w:name w:val="xl24"/>
    <w:basedOn w:val="1"/>
    <w:uiPriority w:val="0"/>
    <w:pPr>
      <w:widowControl/>
      <w:pBdr>
        <w:bottom w:val="single" w:color="auto" w:sz="4" w:space="0"/>
        <w:right w:val="single" w:color="auto" w:sz="4" w:space="0"/>
      </w:pBdr>
      <w:spacing w:before="100" w:beforeLines="0" w:beforeAutospacing="1" w:after="100" w:afterLines="0" w:afterAutospacing="1" w:line="460" w:lineRule="exact"/>
      <w:jc w:val="center"/>
    </w:pPr>
    <w:rPr>
      <w:rFonts w:hint="eastAsia" w:ascii="楷体_GB2312" w:eastAsia="楷体_GB2312" w:cs="Arial Unicode MS"/>
      <w:b/>
      <w:bCs/>
      <w:kern w:val="0"/>
      <w:szCs w:val="28"/>
    </w:rPr>
  </w:style>
  <w:style w:type="paragraph" w:customStyle="1" w:styleId="309">
    <w:name w:val="Normal"/>
    <w:uiPriority w:val="0"/>
    <w:pPr>
      <w:jc w:val="both"/>
    </w:pPr>
    <w:rPr>
      <w:rFonts w:ascii="等线" w:hAnsi="等线" w:cs="宋体"/>
      <w:kern w:val="2"/>
      <w:sz w:val="21"/>
      <w:szCs w:val="21"/>
      <w:lang w:val="en-US" w:eastAsia="zh-CN" w:bidi="ar-SA"/>
    </w:rPr>
  </w:style>
  <w:style w:type="paragraph" w:customStyle="1" w:styleId="310">
    <w:name w:val="Char"/>
    <w:basedOn w:val="1"/>
    <w:uiPriority w:val="0"/>
    <w:pPr>
      <w:spacing w:line="460" w:lineRule="exact"/>
    </w:pPr>
  </w:style>
  <w:style w:type="paragraph" w:customStyle="1" w:styleId="311">
    <w:name w:val="正文-叶"/>
    <w:basedOn w:val="1"/>
    <w:uiPriority w:val="0"/>
    <w:pPr>
      <w:topLinePunct/>
      <w:spacing w:line="312" w:lineRule="auto"/>
      <w:ind w:firstLine="465"/>
    </w:pPr>
    <w:rPr>
      <w:szCs w:val="20"/>
    </w:rPr>
  </w:style>
  <w:style w:type="paragraph" w:customStyle="1" w:styleId="312">
    <w:name w:val="y表内字"/>
    <w:next w:val="1"/>
    <w:qFormat/>
    <w:uiPriority w:val="0"/>
    <w:pPr>
      <w:jc w:val="center"/>
    </w:pPr>
    <w:rPr>
      <w:rFonts w:cs="Courier New"/>
      <w:kern w:val="2"/>
      <w:sz w:val="21"/>
      <w:szCs w:val="32"/>
      <w:lang w:val="en-US" w:eastAsia="zh-CN" w:bidi="ar-SA"/>
    </w:rPr>
  </w:style>
  <w:style w:type="paragraph" w:customStyle="1" w:styleId="313">
    <w:name w:val="4级标题"/>
    <w:basedOn w:val="275"/>
    <w:uiPriority w:val="0"/>
    <w:pPr>
      <w:ind w:firstLine="0" w:firstLineChars="0"/>
    </w:pPr>
    <w:rPr>
      <w:b/>
    </w:rPr>
  </w:style>
  <w:style w:type="paragraph" w:customStyle="1" w:styleId="314">
    <w:name w:val="reader-word-layer"/>
    <w:basedOn w:val="1"/>
    <w:uiPriority w:val="0"/>
    <w:pPr>
      <w:widowControl/>
      <w:spacing w:before="100" w:beforeLines="0" w:beforeAutospacing="1" w:after="100" w:afterLines="0" w:afterAutospacing="1" w:line="240" w:lineRule="auto"/>
      <w:ind w:firstLine="0" w:firstLineChars="0"/>
      <w:jc w:val="left"/>
    </w:pPr>
    <w:rPr>
      <w:rFonts w:ascii="宋体" w:hAnsi="宋体" w:cs="宋体"/>
      <w:kern w:val="0"/>
    </w:rPr>
  </w:style>
  <w:style w:type="paragraph" w:customStyle="1" w:styleId="315">
    <w:name w:val="Char Char1"/>
    <w:basedOn w:val="1"/>
    <w:uiPriority w:val="0"/>
    <w:pPr>
      <w:widowControl/>
      <w:tabs>
        <w:tab w:val="left" w:pos="630"/>
      </w:tabs>
      <w:spacing w:before="100" w:beforeLines="0" w:beforeAutospacing="1" w:after="100" w:afterLines="0" w:afterAutospacing="1" w:line="460" w:lineRule="exact"/>
      <w:jc w:val="left"/>
    </w:pPr>
    <w:rPr>
      <w:rFonts w:ascii="Verdana" w:hAnsi="Verdana" w:eastAsia="仿宋_GB2312"/>
      <w:kern w:val="0"/>
      <w:sz w:val="20"/>
      <w:szCs w:val="21"/>
      <w:lang w:eastAsia="en-US"/>
    </w:rPr>
  </w:style>
  <w:style w:type="paragraph" w:customStyle="1" w:styleId="316">
    <w:name w:val="首行缩进"/>
    <w:basedOn w:val="1"/>
    <w:uiPriority w:val="0"/>
    <w:pPr>
      <w:spacing w:line="240" w:lineRule="auto"/>
    </w:pPr>
    <w:rPr>
      <w:rFonts w:ascii="宋体" w:hAnsi="宋体"/>
      <w:kern w:val="0"/>
      <w:sz w:val="28"/>
    </w:rPr>
  </w:style>
  <w:style w:type="paragraph" w:customStyle="1" w:styleId="317">
    <w:name w:val="xl71"/>
    <w:basedOn w:val="1"/>
    <w:uiPriority w:val="0"/>
    <w:pPr>
      <w:widowControl/>
      <w:pBdr>
        <w:bottom w:val="single" w:color="auto" w:sz="8" w:space="0"/>
        <w:right w:val="single" w:color="auto" w:sz="8" w:space="0"/>
      </w:pBdr>
      <w:spacing w:before="100" w:beforeLines="0" w:beforeAutospacing="1" w:after="100" w:afterLines="0" w:afterAutospacing="1" w:line="240" w:lineRule="auto"/>
      <w:ind w:firstLine="0" w:firstLineChars="0"/>
      <w:jc w:val="right"/>
    </w:pPr>
    <w:rPr>
      <w:rFonts w:ascii="宋体" w:hAnsi="宋体" w:cs="宋体"/>
      <w:color w:val="000000"/>
      <w:kern w:val="0"/>
      <w:sz w:val="20"/>
      <w:szCs w:val="20"/>
    </w:rPr>
  </w:style>
  <w:style w:type="paragraph" w:customStyle="1" w:styleId="318">
    <w:name w:val="xl28"/>
    <w:basedOn w:val="1"/>
    <w:uiPriority w:val="0"/>
    <w:pPr>
      <w:widowControl/>
      <w:pBdr>
        <w:bottom w:val="single" w:color="auto" w:sz="4" w:space="0"/>
        <w:right w:val="single" w:color="auto" w:sz="4" w:space="0"/>
      </w:pBdr>
      <w:spacing w:before="100" w:beforeLines="0" w:beforeAutospacing="1" w:after="100" w:afterLines="0" w:afterAutospacing="1" w:line="240" w:lineRule="auto"/>
      <w:ind w:firstLine="0" w:firstLineChars="0"/>
      <w:jc w:val="center"/>
    </w:pPr>
    <w:rPr>
      <w:rFonts w:ascii="Times New Roman" w:hAnsi="Times New Roman"/>
      <w:kern w:val="0"/>
      <w:sz w:val="21"/>
      <w:szCs w:val="21"/>
    </w:rPr>
  </w:style>
  <w:style w:type="paragraph" w:customStyle="1" w:styleId="319">
    <w:name w:val="Char1 Char Char Char Char Char Char2 Char Char Char Char Char Char Char Char Char Char Char Char Char Char Char Char Char Char"/>
    <w:basedOn w:val="1"/>
    <w:uiPriority w:val="0"/>
    <w:pPr>
      <w:spacing w:line="460" w:lineRule="exact"/>
    </w:pPr>
    <w:rPr>
      <w:sz w:val="21"/>
    </w:rPr>
  </w:style>
  <w:style w:type="paragraph" w:customStyle="1" w:styleId="320">
    <w:name w:val="正文2"/>
    <w:basedOn w:val="1"/>
    <w:uiPriority w:val="0"/>
    <w:pPr>
      <w:adjustRightInd w:val="0"/>
      <w:snapToGrid w:val="0"/>
      <w:spacing w:line="440" w:lineRule="atLeast"/>
      <w:ind w:firstLine="567"/>
    </w:pPr>
    <w:rPr>
      <w:szCs w:val="20"/>
    </w:rPr>
  </w:style>
  <w:style w:type="paragraph" w:customStyle="1" w:styleId="321">
    <w:name w:val="xl66"/>
    <w:basedOn w:val="1"/>
    <w:uiPriority w:val="0"/>
    <w:pPr>
      <w:widowControl/>
      <w:pBdr>
        <w:top w:val="single" w:color="auto" w:sz="8" w:space="0"/>
        <w:bottom w:val="single" w:color="auto" w:sz="8" w:space="0"/>
        <w:right w:val="single" w:color="auto" w:sz="8" w:space="0"/>
      </w:pBdr>
      <w:spacing w:before="100" w:beforeLines="0" w:beforeAutospacing="1" w:after="100" w:afterLines="0" w:afterAutospacing="1" w:line="240" w:lineRule="auto"/>
      <w:ind w:firstLine="0" w:firstLineChars="0"/>
      <w:jc w:val="center"/>
    </w:pPr>
    <w:rPr>
      <w:rFonts w:ascii="宋体" w:hAnsi="宋体" w:cs="宋体"/>
      <w:color w:val="000000"/>
      <w:kern w:val="0"/>
      <w:sz w:val="20"/>
      <w:szCs w:val="20"/>
    </w:rPr>
  </w:style>
  <w:style w:type="paragraph" w:customStyle="1" w:styleId="322">
    <w:name w:val="xl72"/>
    <w:basedOn w:val="1"/>
    <w:uiPriority w:val="0"/>
    <w:pPr>
      <w:widowControl/>
      <w:pBdr>
        <w:bottom w:val="single" w:color="auto" w:sz="8" w:space="0"/>
        <w:right w:val="single" w:color="auto" w:sz="8" w:space="0"/>
      </w:pBdr>
      <w:spacing w:before="100" w:beforeLines="0" w:beforeAutospacing="1" w:after="100" w:afterLines="0" w:afterAutospacing="1" w:line="240" w:lineRule="auto"/>
      <w:ind w:firstLine="0" w:firstLineChars="0"/>
      <w:jc w:val="left"/>
    </w:pPr>
    <w:rPr>
      <w:rFonts w:ascii="宋体" w:hAnsi="宋体" w:cs="宋体"/>
      <w:color w:val="000000"/>
      <w:kern w:val="0"/>
      <w:sz w:val="20"/>
      <w:szCs w:val="20"/>
    </w:rPr>
  </w:style>
  <w:style w:type="paragraph" w:customStyle="1" w:styleId="323">
    <w:name w:val="小于节标题"/>
    <w:basedOn w:val="1"/>
    <w:uiPriority w:val="0"/>
    <w:pPr>
      <w:tabs>
        <w:tab w:val="left" w:pos="567"/>
      </w:tabs>
      <w:spacing w:line="360" w:lineRule="auto"/>
      <w:ind w:firstLine="0" w:firstLineChars="0"/>
      <w:jc w:val="left"/>
    </w:pPr>
    <w:rPr>
      <w:rFonts w:ascii="Times New Roman" w:hAnsi="Times New Roman" w:eastAsia="华文中宋"/>
      <w:spacing w:val="20"/>
      <w:szCs w:val="20"/>
    </w:rPr>
  </w:style>
  <w:style w:type="paragraph" w:customStyle="1" w:styleId="324">
    <w:name w:val="流程图等"/>
    <w:basedOn w:val="1"/>
    <w:uiPriority w:val="0"/>
    <w:pPr>
      <w:spacing w:before="60" w:beforeLines="0" w:line="240" w:lineRule="auto"/>
      <w:ind w:firstLine="0" w:firstLineChars="0"/>
      <w:jc w:val="center"/>
    </w:pPr>
    <w:rPr>
      <w:rFonts w:ascii="Arial Unicode MS" w:hAnsi="Arial Unicode MS" w:eastAsia="黑体"/>
      <w:b/>
      <w:sz w:val="21"/>
    </w:rPr>
  </w:style>
  <w:style w:type="paragraph" w:customStyle="1" w:styleId="325">
    <w:name w:val="++样式1.1"/>
    <w:basedOn w:val="7"/>
    <w:uiPriority w:val="0"/>
    <w:pPr>
      <w:numPr>
        <w:ilvl w:val="1"/>
        <w:numId w:val="0"/>
      </w:numPr>
      <w:adjustRightInd w:val="0"/>
      <w:snapToGrid w:val="0"/>
      <w:spacing w:before="0" w:beforeLines="0" w:after="0" w:afterLines="0" w:line="360" w:lineRule="auto"/>
    </w:pPr>
    <w:rPr>
      <w:rFonts w:ascii="Times New Roman" w:hAnsi="Times New Roman"/>
      <w:color w:val="FF0000"/>
      <w:sz w:val="32"/>
    </w:rPr>
  </w:style>
  <w:style w:type="paragraph" w:customStyle="1" w:styleId="326">
    <w:name w:val="默认段落字体 Para Char"/>
    <w:basedOn w:val="1"/>
    <w:uiPriority w:val="0"/>
    <w:pPr>
      <w:spacing w:line="240" w:lineRule="auto"/>
      <w:ind w:firstLine="0" w:firstLineChars="0"/>
    </w:pPr>
    <w:rPr>
      <w:rFonts w:ascii="Times New Roman" w:hAnsi="Times New Roman"/>
      <w:sz w:val="28"/>
      <w:szCs w:val="20"/>
    </w:rPr>
  </w:style>
  <w:style w:type="paragraph" w:customStyle="1" w:styleId="327">
    <w:name w:val="xl73"/>
    <w:basedOn w:val="1"/>
    <w:uiPriority w:val="0"/>
    <w:pPr>
      <w:widowControl/>
      <w:pBdr>
        <w:bottom w:val="single" w:color="auto" w:sz="8" w:space="0"/>
        <w:right w:val="single" w:color="auto" w:sz="8" w:space="0"/>
      </w:pBdr>
      <w:spacing w:before="100" w:beforeLines="0" w:beforeAutospacing="1" w:after="100" w:afterLines="0" w:afterAutospacing="1" w:line="240" w:lineRule="auto"/>
      <w:ind w:firstLine="0" w:firstLineChars="0"/>
      <w:jc w:val="left"/>
      <w:textAlignment w:val="bottom"/>
    </w:pPr>
    <w:rPr>
      <w:rFonts w:ascii="Calibri" w:hAnsi="Calibri" w:cs="宋体"/>
      <w:kern w:val="0"/>
      <w:sz w:val="20"/>
      <w:szCs w:val="20"/>
    </w:rPr>
  </w:style>
  <w:style w:type="paragraph" w:customStyle="1" w:styleId="328">
    <w:name w:val=" Char Char Char Char Char Char1 Char Char Char Char Char Char1 Char"/>
    <w:basedOn w:val="1"/>
    <w:next w:val="5"/>
    <w:uiPriority w:val="0"/>
    <w:pPr>
      <w:spacing w:line="240" w:lineRule="auto"/>
      <w:ind w:firstLine="0" w:firstLineChars="0"/>
    </w:pPr>
    <w:rPr>
      <w:sz w:val="28"/>
      <w:szCs w:val="28"/>
    </w:rPr>
  </w:style>
  <w:style w:type="paragraph" w:customStyle="1" w:styleId="329">
    <w:name w:val="正文-蓝色"/>
    <w:basedOn w:val="306"/>
    <w:qFormat/>
    <w:uiPriority w:val="0"/>
    <w:pPr>
      <w:ind w:firstLine="480"/>
    </w:pPr>
    <w:rPr>
      <w:color w:val="0000FF"/>
      <w:lang w:val="en-US" w:eastAsia="zh-CN" w:bidi="ar-SA"/>
    </w:rPr>
  </w:style>
  <w:style w:type="paragraph" w:customStyle="1" w:styleId="330">
    <w:name w:val="正文01"/>
    <w:basedOn w:val="1"/>
    <w:uiPriority w:val="0"/>
    <w:pPr>
      <w:adjustRightInd w:val="0"/>
      <w:snapToGrid w:val="0"/>
      <w:spacing w:before="60" w:beforeLines="0"/>
    </w:pPr>
    <w:rPr>
      <w:rFonts w:ascii="Times New Roman" w:hAnsi="Times New Roman"/>
    </w:rPr>
  </w:style>
  <w:style w:type="paragraph" w:customStyle="1" w:styleId="331">
    <w:name w:val="表1表2"/>
    <w:basedOn w:val="1"/>
    <w:uiPriority w:val="0"/>
    <w:pPr>
      <w:topLinePunct/>
      <w:autoSpaceDE w:val="0"/>
      <w:autoSpaceDN w:val="0"/>
      <w:adjustRightInd w:val="0"/>
      <w:spacing w:line="360" w:lineRule="auto"/>
      <w:ind w:firstLine="425" w:firstLineChars="0"/>
      <w:jc w:val="center"/>
      <w:textAlignment w:val="center"/>
    </w:pPr>
    <w:rPr>
      <w:rFonts w:ascii="Times New Roman" w:hAnsi="Times New Roman" w:eastAsia="仿宋体"/>
      <w:kern w:val="0"/>
      <w:szCs w:val="20"/>
    </w:rPr>
  </w:style>
  <w:style w:type="paragraph" w:customStyle="1" w:styleId="332">
    <w:name w:val="Table Paragraph"/>
    <w:basedOn w:val="1"/>
    <w:qFormat/>
    <w:uiPriority w:val="1"/>
    <w:pPr>
      <w:autoSpaceDE w:val="0"/>
      <w:autoSpaceDN w:val="0"/>
      <w:adjustRightInd w:val="0"/>
      <w:spacing w:line="240" w:lineRule="auto"/>
      <w:ind w:firstLine="0" w:firstLineChars="0"/>
      <w:jc w:val="left"/>
    </w:pPr>
    <w:rPr>
      <w:rFonts w:eastAsia="宋体"/>
      <w:kern w:val="0"/>
    </w:rPr>
  </w:style>
  <w:style w:type="paragraph" w:customStyle="1" w:styleId="333">
    <w:name w:val="Bt1.1"/>
    <w:basedOn w:val="7"/>
    <w:next w:val="1"/>
    <w:uiPriority w:val="0"/>
    <w:pPr>
      <w:numPr>
        <w:ilvl w:val="1"/>
        <w:numId w:val="1"/>
      </w:numPr>
      <w:adjustRightInd w:val="0"/>
      <w:spacing w:before="120" w:beforeLines="0" w:after="120" w:afterLines="0" w:line="360" w:lineRule="auto"/>
      <w:jc w:val="left"/>
    </w:pPr>
    <w:rPr>
      <w:rFonts w:ascii="Times New Roman" w:hAnsi="Arial Unicode MS" w:eastAsia="黑体"/>
      <w:b w:val="0"/>
      <w:bCs w:val="0"/>
      <w:szCs w:val="20"/>
    </w:rPr>
  </w:style>
  <w:style w:type="paragraph" w:styleId="334">
    <w:name w:val=""/>
    <w:basedOn w:val="6"/>
    <w:next w:val="1"/>
    <w:qFormat/>
    <w:uiPriority w:val="39"/>
    <w:pPr>
      <w:widowControl/>
      <w:numPr>
        <w:ilvl w:val="0"/>
        <w:numId w:val="0"/>
      </w:numPr>
      <w:spacing w:before="480" w:beforeLines="0" w:after="0" w:afterLines="0" w:line="276" w:lineRule="auto"/>
      <w:jc w:val="left"/>
      <w:outlineLvl w:val="9"/>
    </w:pPr>
    <w:rPr>
      <w:rFonts w:ascii="Cambria" w:hAnsi="Cambria" w:eastAsia="宋体" w:cs="Times New Roman"/>
      <w:color w:val="365F91"/>
      <w:kern w:val="0"/>
      <w:sz w:val="28"/>
      <w:szCs w:val="28"/>
    </w:rPr>
  </w:style>
  <w:style w:type="paragraph" w:customStyle="1" w:styleId="335">
    <w:name w:val="表格首行"/>
    <w:basedOn w:val="1"/>
    <w:next w:val="1"/>
    <w:uiPriority w:val="0"/>
    <w:pPr>
      <w:spacing w:line="240" w:lineRule="auto"/>
      <w:ind w:left="0"/>
      <w:jc w:val="center"/>
    </w:pPr>
    <w:rPr>
      <w:rFonts w:cs="宋体"/>
      <w:b/>
      <w:sz w:val="21"/>
      <w:szCs w:val="20"/>
    </w:rPr>
  </w:style>
  <w:style w:type="paragraph" w:customStyle="1" w:styleId="336">
    <w:name w:val="msonormal"/>
    <w:basedOn w:val="1"/>
    <w:uiPriority w:val="0"/>
    <w:pPr>
      <w:widowControl/>
      <w:spacing w:before="100" w:beforeLines="0" w:beforeAutospacing="1" w:after="100" w:afterLines="0" w:afterAutospacing="1" w:line="240" w:lineRule="auto"/>
      <w:ind w:firstLine="0" w:firstLineChars="0"/>
      <w:jc w:val="left"/>
    </w:pPr>
    <w:rPr>
      <w:rFonts w:ascii="宋体" w:hAnsi="宋体" w:cs="宋体"/>
      <w:kern w:val="0"/>
    </w:rPr>
  </w:style>
  <w:style w:type="paragraph" w:customStyle="1" w:styleId="337">
    <w:name w:val="Default1"/>
    <w:uiPriority w:val="0"/>
    <w:pPr>
      <w:widowControl w:val="0"/>
      <w:autoSpaceDE w:val="0"/>
      <w:autoSpaceDN w:val="0"/>
      <w:adjustRightInd w:val="0"/>
    </w:pPr>
    <w:rPr>
      <w:rFonts w:ascii="宋体" w:cs="宋体"/>
      <w:color w:val="000000"/>
      <w:sz w:val="24"/>
      <w:szCs w:val="24"/>
      <w:lang w:val="en-US" w:eastAsia="zh-CN" w:bidi="ar-SA"/>
    </w:rPr>
  </w:style>
  <w:style w:type="table" w:customStyle="1" w:styleId="338">
    <w:name w:val="Table Normal"/>
    <w:unhideWhenUsed/>
    <w:qFormat/>
    <w:uiPriority w:val="2"/>
    <w:pPr>
      <w:widowControl w:val="0"/>
      <w:autoSpaceDE w:val="0"/>
      <w:autoSpaceDN w:val="0"/>
    </w:pPr>
    <w:rPr>
      <w:rFonts w:ascii="Calibri" w:hAnsi="Calibri"/>
      <w:sz w:val="22"/>
      <w:szCs w:val="22"/>
      <w:lang w:val="en-US" w:eastAsia="en-US" w:bidi="ar-SA"/>
    </w:rPr>
    <w:tblPr>
      <w:tblStyle w:val="51"/>
      <w:tblCellMar>
        <w:top w:w="0" w:type="dxa"/>
        <w:left w:w="0" w:type="dxa"/>
        <w:bottom w:w="0" w:type="dxa"/>
        <w:right w:w="0" w:type="dxa"/>
      </w:tblCellMar>
    </w:tblPr>
  </w:style>
  <w:style w:type="paragraph" w:customStyle="1" w:styleId="339">
    <w:name w:val="正本文字"/>
    <w:basedOn w:val="1"/>
    <w:qFormat/>
    <w:uiPriority w:val="0"/>
    <w:pPr>
      <w:adjustRightInd w:val="0"/>
      <w:snapToGrid w:val="0"/>
      <w:spacing w:line="360" w:lineRule="auto"/>
      <w:ind w:firstLine="200" w:firstLineChars="200"/>
      <w:jc w:val="left"/>
    </w:pPr>
    <w:rPr>
      <w:rFonts w:ascii="Times New Roman" w:hAnsi="Times New Roman" w:eastAsia="宋体" w:cs="宋体"/>
      <w:kern w:val="18"/>
      <w:sz w:val="24"/>
      <w:szCs w:val="20"/>
    </w:rPr>
  </w:style>
  <w:style w:type="paragraph" w:customStyle="1" w:styleId="340">
    <w:name w:val="报告书正文"/>
    <w:qFormat/>
    <w:uiPriority w:val="0"/>
    <w:pPr>
      <w:spacing w:line="360" w:lineRule="auto"/>
      <w:ind w:firstLine="200" w:firstLineChars="200"/>
    </w:pPr>
    <w:rPr>
      <w:rFonts w:ascii="Times New Roman" w:hAnsi="Times New Roman" w:eastAsia="宋体" w:cs="Times New Roman"/>
      <w:sz w:val="24"/>
      <w:szCs w:val="22"/>
      <w:lang w:val="en-US" w:eastAsia="zh-CN" w:bidi="ar-SA"/>
    </w:rPr>
  </w:style>
  <w:style w:type="paragraph" w:customStyle="1" w:styleId="341">
    <w:name w:val="标准正文"/>
    <w:qFormat/>
    <w:uiPriority w:val="0"/>
    <w:pPr>
      <w:keepNext/>
      <w:keepLines/>
      <w:snapToGrid w:val="0"/>
      <w:spacing w:beforeLines="50" w:afterLines="50" w:line="360" w:lineRule="auto"/>
      <w:ind w:firstLine="200" w:firstLineChars="200"/>
      <w:jc w:val="both"/>
    </w:pPr>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1" Type="http://schemas.openxmlformats.org/officeDocument/2006/relationships/fontTable" Target="fontTable.xml"/><Relationship Id="rId90" Type="http://schemas.openxmlformats.org/officeDocument/2006/relationships/numbering" Target="numbering.xml"/><Relationship Id="rId9" Type="http://schemas.openxmlformats.org/officeDocument/2006/relationships/footer" Target="footer2.xml"/><Relationship Id="rId89" Type="http://schemas.openxmlformats.org/officeDocument/2006/relationships/customXml" Target="../customXml/item1.xml"/><Relationship Id="rId88" Type="http://schemas.openxmlformats.org/officeDocument/2006/relationships/image" Target="media/image45.png"/><Relationship Id="rId87" Type="http://schemas.openxmlformats.org/officeDocument/2006/relationships/image" Target="media/image44.png"/><Relationship Id="rId86" Type="http://schemas.openxmlformats.org/officeDocument/2006/relationships/image" Target="media/image43.jpeg"/><Relationship Id="rId85" Type="http://schemas.openxmlformats.org/officeDocument/2006/relationships/image" Target="media/image42.jpeg"/><Relationship Id="rId84" Type="http://schemas.openxmlformats.org/officeDocument/2006/relationships/image" Target="media/image41.jpeg"/><Relationship Id="rId83" Type="http://schemas.openxmlformats.org/officeDocument/2006/relationships/image" Target="media/image40.png"/><Relationship Id="rId82" Type="http://schemas.openxmlformats.org/officeDocument/2006/relationships/image" Target="media/image39.png"/><Relationship Id="rId81" Type="http://schemas.openxmlformats.org/officeDocument/2006/relationships/image" Target="media/image38.wmf"/><Relationship Id="rId80" Type="http://schemas.openxmlformats.org/officeDocument/2006/relationships/oleObject" Target="embeddings/oleObject18.bin"/><Relationship Id="rId8" Type="http://schemas.openxmlformats.org/officeDocument/2006/relationships/footer" Target="footer1.xml"/><Relationship Id="rId79" Type="http://schemas.openxmlformats.org/officeDocument/2006/relationships/image" Target="media/image37.wmf"/><Relationship Id="rId78" Type="http://schemas.openxmlformats.org/officeDocument/2006/relationships/oleObject" Target="embeddings/oleObject17.bin"/><Relationship Id="rId77" Type="http://schemas.openxmlformats.org/officeDocument/2006/relationships/image" Target="media/image36.wmf"/><Relationship Id="rId76" Type="http://schemas.openxmlformats.org/officeDocument/2006/relationships/oleObject" Target="embeddings/oleObject16.bin"/><Relationship Id="rId75" Type="http://schemas.openxmlformats.org/officeDocument/2006/relationships/image" Target="media/image35.emf"/><Relationship Id="rId74" Type="http://schemas.openxmlformats.org/officeDocument/2006/relationships/image" Target="media/image34.wmf"/><Relationship Id="rId73" Type="http://schemas.openxmlformats.org/officeDocument/2006/relationships/oleObject" Target="embeddings/oleObject15.bin"/><Relationship Id="rId72" Type="http://schemas.openxmlformats.org/officeDocument/2006/relationships/image" Target="media/image33.wmf"/><Relationship Id="rId71" Type="http://schemas.openxmlformats.org/officeDocument/2006/relationships/oleObject" Target="embeddings/oleObject14.bin"/><Relationship Id="rId70" Type="http://schemas.openxmlformats.org/officeDocument/2006/relationships/image" Target="media/image32.wmf"/><Relationship Id="rId7" Type="http://schemas.openxmlformats.org/officeDocument/2006/relationships/header" Target="header3.xml"/><Relationship Id="rId69" Type="http://schemas.openxmlformats.org/officeDocument/2006/relationships/oleObject" Target="embeddings/oleObject13.bin"/><Relationship Id="rId68" Type="http://schemas.openxmlformats.org/officeDocument/2006/relationships/image" Target="media/image31.wmf"/><Relationship Id="rId67" Type="http://schemas.openxmlformats.org/officeDocument/2006/relationships/oleObject" Target="embeddings/oleObject12.bin"/><Relationship Id="rId66" Type="http://schemas.openxmlformats.org/officeDocument/2006/relationships/image" Target="media/image30.wmf"/><Relationship Id="rId65" Type="http://schemas.openxmlformats.org/officeDocument/2006/relationships/oleObject" Target="embeddings/oleObject11.bin"/><Relationship Id="rId64" Type="http://schemas.openxmlformats.org/officeDocument/2006/relationships/image" Target="media/image29.wmf"/><Relationship Id="rId63" Type="http://schemas.openxmlformats.org/officeDocument/2006/relationships/image" Target="media/image28.png"/><Relationship Id="rId62" Type="http://schemas.openxmlformats.org/officeDocument/2006/relationships/image" Target="media/image27.jpeg"/><Relationship Id="rId61" Type="http://schemas.openxmlformats.org/officeDocument/2006/relationships/image" Target="media/image26.png"/><Relationship Id="rId60" Type="http://schemas.openxmlformats.org/officeDocument/2006/relationships/image" Target="media/image25.png"/><Relationship Id="rId6" Type="http://schemas.openxmlformats.org/officeDocument/2006/relationships/header" Target="header2.xml"/><Relationship Id="rId59" Type="http://schemas.openxmlformats.org/officeDocument/2006/relationships/image" Target="media/image24.png"/><Relationship Id="rId58" Type="http://schemas.openxmlformats.org/officeDocument/2006/relationships/image" Target="media/image23.png"/><Relationship Id="rId57" Type="http://schemas.openxmlformats.org/officeDocument/2006/relationships/image" Target="media/image22.png"/><Relationship Id="rId56" Type="http://schemas.openxmlformats.org/officeDocument/2006/relationships/image" Target="media/image21.png"/><Relationship Id="rId55" Type="http://schemas.openxmlformats.org/officeDocument/2006/relationships/image" Target="media/image20.png"/><Relationship Id="rId54" Type="http://schemas.openxmlformats.org/officeDocument/2006/relationships/image" Target="media/image19.wmf"/><Relationship Id="rId53" Type="http://schemas.openxmlformats.org/officeDocument/2006/relationships/oleObject" Target="embeddings/oleObject10.bin"/><Relationship Id="rId52" Type="http://schemas.openxmlformats.org/officeDocument/2006/relationships/image" Target="media/image18.jpeg"/><Relationship Id="rId51" Type="http://schemas.openxmlformats.org/officeDocument/2006/relationships/image" Target="media/image17.emf"/><Relationship Id="rId50" Type="http://schemas.openxmlformats.org/officeDocument/2006/relationships/oleObject" Target="embeddings/oleObject9.bin"/><Relationship Id="rId5" Type="http://schemas.openxmlformats.org/officeDocument/2006/relationships/header" Target="header1.xml"/><Relationship Id="rId49" Type="http://schemas.openxmlformats.org/officeDocument/2006/relationships/image" Target="media/image16.emf"/><Relationship Id="rId48" Type="http://schemas.openxmlformats.org/officeDocument/2006/relationships/oleObject" Target="embeddings/oleObject8.bin"/><Relationship Id="rId47" Type="http://schemas.openxmlformats.org/officeDocument/2006/relationships/image" Target="media/image15.emf"/><Relationship Id="rId46" Type="http://schemas.openxmlformats.org/officeDocument/2006/relationships/oleObject" Target="embeddings/oleObject7.bin"/><Relationship Id="rId45" Type="http://schemas.openxmlformats.org/officeDocument/2006/relationships/image" Target="media/image14.emf"/><Relationship Id="rId44" Type="http://schemas.openxmlformats.org/officeDocument/2006/relationships/oleObject" Target="embeddings/oleObject6.bin"/><Relationship Id="rId43" Type="http://schemas.openxmlformats.org/officeDocument/2006/relationships/image" Target="media/image13.emf"/><Relationship Id="rId42" Type="http://schemas.openxmlformats.org/officeDocument/2006/relationships/oleObject" Target="embeddings/oleObject5.bin"/><Relationship Id="rId41" Type="http://schemas.openxmlformats.org/officeDocument/2006/relationships/image" Target="media/image12.emf"/><Relationship Id="rId40" Type="http://schemas.openxmlformats.org/officeDocument/2006/relationships/image" Target="media/image11.emf"/><Relationship Id="rId4" Type="http://schemas.openxmlformats.org/officeDocument/2006/relationships/endnotes" Target="endnotes.xml"/><Relationship Id="rId39" Type="http://schemas.openxmlformats.org/officeDocument/2006/relationships/oleObject" Target="embeddings/oleObject4.bin"/><Relationship Id="rId38" Type="http://schemas.openxmlformats.org/officeDocument/2006/relationships/image" Target="media/image10.png"/><Relationship Id="rId37" Type="http://schemas.openxmlformats.org/officeDocument/2006/relationships/image" Target="media/image9.png"/><Relationship Id="rId36" Type="http://schemas.openxmlformats.org/officeDocument/2006/relationships/image" Target="media/image8.emf"/><Relationship Id="rId35" Type="http://schemas.openxmlformats.org/officeDocument/2006/relationships/oleObject" Target="embeddings/oleObject3.bin"/><Relationship Id="rId34" Type="http://schemas.openxmlformats.org/officeDocument/2006/relationships/image" Target="media/image7.png"/><Relationship Id="rId33" Type="http://schemas.openxmlformats.org/officeDocument/2006/relationships/image" Target="media/image6.wmf"/><Relationship Id="rId32" Type="http://schemas.openxmlformats.org/officeDocument/2006/relationships/oleObject" Target="embeddings/oleObject2.bin"/><Relationship Id="rId31" Type="http://schemas.openxmlformats.org/officeDocument/2006/relationships/image" Target="media/image5.png"/><Relationship Id="rId30" Type="http://schemas.openxmlformats.org/officeDocument/2006/relationships/image" Target="media/image4.png"/><Relationship Id="rId3" Type="http://schemas.openxmlformats.org/officeDocument/2006/relationships/footnotes" Target="footnotes.xml"/><Relationship Id="rId29" Type="http://schemas.openxmlformats.org/officeDocument/2006/relationships/image" Target="media/image3.jpeg"/><Relationship Id="rId28" Type="http://schemas.openxmlformats.org/officeDocument/2006/relationships/image" Target="media/image2.wmf"/><Relationship Id="rId27" Type="http://schemas.openxmlformats.org/officeDocument/2006/relationships/oleObject" Target="embeddings/oleObject1.bin"/><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header" Target="header16.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251</Pages>
  <Words>30510</Words>
  <Characters>173910</Characters>
  <Lines>1449</Lines>
  <Paragraphs>408</Paragraphs>
  <TotalTime>4</TotalTime>
  <ScaleCrop>false</ScaleCrop>
  <LinksUpToDate>false</LinksUpToDate>
  <CharactersWithSpaces>204012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2020-05-28T09:20:00Z</dcterms:created>
  <dc:creator>廖丽</dc:creator>
  <cp:lastModifiedBy>叶八两</cp:lastModifiedBy>
  <cp:lastPrinted>2020-05-28T09:21:00Z</cp:lastPrinted>
  <dcterms:modified xsi:type="dcterms:W3CDTF">2021-03-31T01:57:46Z</dcterms:modified>
  <dc:title>巴中五仓宝裕农牧有限公司</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0B39579D91D1466689CBFC1D71FB4330</vt:lpwstr>
  </property>
</Properties>
</file>